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865721954"/>
          <w:lock w:val="sdtLocked"/>
          <w:placeholder>
            <w:docPart w:val="GBC22222222222222222222222222222"/>
          </w:placeholder>
        </w:sdtPr>
        <w:sdtEndPr>
          <w:rPr>
            <w:rFonts w:hint="default" w:ascii="Times New Roman" w:hAnsi="Times New Roman" w:cs="Times New Roman"/>
            <w:bCs/>
            <w:szCs w:val="21"/>
          </w:rPr>
        </w:sdtEndPr>
        <w:sdtContent>
          <w:r>
            <w:rPr>
              <w:rFonts w:ascii="Times New Roman" w:hAnsi="Times New Roman" w:cs="Times New Roman"/>
              <w:bCs/>
              <w:szCs w:val="21"/>
            </w:rPr>
            <w:t>600249</w:t>
          </w:r>
        </w:sdtContent>
      </w:sdt>
      <w:r>
        <w:rPr>
          <w:rFonts w:ascii="Times New Roman" w:hAnsi="Times New Roman" w:cs="Times New Roman"/>
          <w:bCs/>
          <w:szCs w:val="21"/>
        </w:rPr>
        <w:t xml:space="preserve">    </w:t>
      </w:r>
      <w:r>
        <w:rPr>
          <w:rFonts w:hint="eastAsia"/>
          <w:bCs/>
          <w:szCs w:val="21"/>
        </w:rPr>
        <w:t xml:space="preserve">                                               公司简称：</w:t>
      </w:r>
      <w:sdt>
        <w:sdtPr>
          <w:rPr>
            <w:rFonts w:hint="eastAsia"/>
            <w:bCs/>
            <w:szCs w:val="21"/>
          </w:rPr>
          <w:alias w:val="公司简称"/>
          <w:tag w:val="_GBC_0384ae715a1e4b4894a29e4d27f5bef4"/>
          <w:id w:val="865721955"/>
          <w:lock w:val="sdtLocked"/>
          <w:placeholder>
            <w:docPart w:val="GBC22222222222222222222222222222"/>
          </w:placeholder>
        </w:sdtPr>
        <w:sdtEndPr>
          <w:rPr>
            <w:rFonts w:hint="eastAsia"/>
            <w:bCs/>
            <w:szCs w:val="21"/>
          </w:rPr>
        </w:sdtEndPr>
        <w:sdtContent>
          <w:r>
            <w:rPr>
              <w:rFonts w:hint="eastAsia"/>
              <w:bCs/>
              <w:szCs w:val="21"/>
            </w:rPr>
            <w:t>两面针</w:t>
          </w:r>
        </w:sdtContent>
      </w:sdt>
    </w:p>
    <w:p/>
    <w:p/>
    <w:p/>
    <w:p/>
    <w:p/>
    <w:p/>
    <w:p>
      <w:pPr>
        <w:rPr>
          <w:b/>
          <w:bCs/>
          <w:szCs w:val="21"/>
        </w:rPr>
      </w:pPr>
    </w:p>
    <w:p>
      <w:pPr>
        <w:rPr>
          <w:b/>
          <w:bCs/>
          <w:szCs w:val="21"/>
        </w:rPr>
      </w:pPr>
    </w:p>
    <w:sdt>
      <w:sdtPr>
        <w:rPr>
          <w:b/>
          <w:bCs/>
          <w:szCs w:val="21"/>
        </w:rPr>
        <w:alias w:val="模块:股份有限公司"/>
        <w:tag w:val="_SEC_053d5dad2cbb4a7e949bd9642e6c577f"/>
        <w:id w:val="865721957"/>
        <w:lock w:val="sdtLocked"/>
        <w:placeholder>
          <w:docPart w:val="GBC22222222222222222222222222222"/>
        </w:placeholder>
      </w:sdtPr>
      <w:sdtEndPr>
        <w:rPr>
          <w:rFonts w:ascii="黑体" w:hAnsi="黑体" w:eastAsia="黑体"/>
          <w:b/>
          <w:bCs/>
          <w:color w:val="FF0000"/>
          <w:sz w:val="44"/>
          <w:szCs w:val="44"/>
        </w:rPr>
      </w:sdtEndPr>
      <w:sdtContent>
        <w:p>
          <w:pPr>
            <w:jc w:val="center"/>
            <w:rPr>
              <w:rFonts w:ascii="黑体" w:hAnsi="黑体" w:eastAsia="黑体"/>
              <w:b/>
              <w:bCs/>
              <w:color w:val="FF0000"/>
              <w:sz w:val="44"/>
              <w:szCs w:val="44"/>
            </w:rPr>
          </w:pPr>
          <w:sdt>
            <w:sdtPr>
              <w:rPr>
                <w:rFonts w:hint="eastAsia" w:ascii="黑体" w:hAnsi="黑体" w:eastAsia="黑体"/>
                <w:b/>
                <w:bCs/>
                <w:color w:val="FF0000"/>
                <w:sz w:val="44"/>
                <w:szCs w:val="44"/>
              </w:rPr>
              <w:alias w:val="公司法定中文名称"/>
              <w:tag w:val="_GBC_47adbfeb6fae494fb72f2a2b2c73d969"/>
              <w:id w:val="865721956"/>
              <w:lock w:val="sdtLocked"/>
              <w:placeholder>
                <w:docPart w:val="GBC22222222222222222222222222222"/>
              </w:placeholder>
              <w15:dataBinding w:prefixMappings="xmlns:clcid-cgi='clcid-cgi'" w:xpath="/*/clcid-cgi:GongSiFaDingZhongWenMingCheng" w:storeItemID="{89EBAB94-44A0-46A2-B712-30D997D04A6D}"/>
              <w:text/>
            </w:sdtPr>
            <w:sdtEndPr>
              <w:rPr>
                <w:rFonts w:hint="eastAsia" w:ascii="黑体" w:hAnsi="黑体" w:eastAsia="黑体"/>
                <w:b/>
                <w:bCs/>
                <w:color w:val="FF0000"/>
                <w:sz w:val="44"/>
                <w:szCs w:val="44"/>
              </w:rPr>
            </w:sdtEndPr>
            <w:sdtContent>
              <w:r>
                <w:rPr>
                  <w:rFonts w:hint="eastAsia" w:ascii="黑体" w:hAnsi="黑体" w:eastAsia="黑体"/>
                  <w:b/>
                  <w:bCs/>
                  <w:color w:val="FF0000"/>
                  <w:sz w:val="44"/>
                  <w:szCs w:val="44"/>
                </w:rPr>
                <w:t>柳州两面针股份有限公司</w:t>
              </w:r>
            </w:sdtContent>
          </w:sdt>
        </w:p>
      </w:sdtContent>
    </w:sdt>
    <w:p>
      <w:pPr>
        <w:jc w:val="center"/>
        <w:rPr>
          <w:rFonts w:ascii="黑体" w:hAnsi="黑体" w:eastAsia="黑体"/>
          <w:b/>
          <w:bCs/>
          <w:color w:val="FF0000"/>
          <w:sz w:val="44"/>
          <w:szCs w:val="44"/>
        </w:rPr>
      </w:pPr>
      <w:r>
        <w:rPr>
          <w:rFonts w:ascii="黑体" w:hAnsi="黑体" w:eastAsia="黑体"/>
          <w:b/>
          <w:bCs/>
          <w:color w:val="FF0000"/>
          <w:sz w:val="44"/>
          <w:szCs w:val="44"/>
        </w:rPr>
        <w:t>2021</w:t>
      </w:r>
      <w:r>
        <w:rPr>
          <w:rFonts w:hint="eastAsia" w:ascii="黑体" w:hAnsi="黑体" w:eastAsia="黑体"/>
          <w:b/>
          <w:bCs/>
          <w:color w:val="FF0000"/>
          <w:sz w:val="44"/>
          <w:szCs w:val="44"/>
        </w:rPr>
        <w:t>年年度报告</w:t>
      </w:r>
    </w:p>
    <w:p/>
    <w:p/>
    <w:p/>
    <w:p/>
    <w:p/>
    <w:p/>
    <w:p/>
    <w:p/>
    <w:p>
      <w:pPr>
        <w:rPr>
          <w:rFonts w:ascii="黑体" w:hAnsi="黑体" w:eastAsia="黑体"/>
          <w:b/>
          <w:bCs/>
          <w:color w:val="FF0000"/>
          <w:sz w:val="44"/>
          <w:szCs w:val="44"/>
        </w:rPr>
        <w:sectPr>
          <w:headerReference r:id="rId3" w:type="default"/>
          <w:footerReference r:id="rId4" w:type="default"/>
          <w:pgSz w:w="11906" w:h="16838"/>
          <w:pgMar w:top="1525" w:right="1276" w:bottom="1440" w:left="1797" w:header="855" w:footer="992" w:gutter="0"/>
          <w:cols w:space="425" w:num="1"/>
          <w:docGrid w:linePitch="312" w:charSpace="0"/>
        </w:sectPr>
      </w:pPr>
    </w:p>
    <w:p>
      <w:pPr>
        <w:pStyle w:val="33"/>
        <w:spacing w:after="280" w:afterAutospacing="0"/>
        <w:jc w:val="center"/>
        <w:rPr>
          <w:rFonts w:ascii="黑体" w:eastAsia="黑体"/>
          <w:b/>
          <w:bCs/>
          <w:sz w:val="28"/>
          <w:szCs w:val="28"/>
        </w:rPr>
      </w:pPr>
      <w:bookmarkStart w:id="0" w:name="_Toc387656034"/>
      <w:r>
        <w:rPr>
          <w:rFonts w:hint="eastAsia" w:ascii="黑体" w:eastAsia="黑体"/>
          <w:b/>
          <w:bCs/>
          <w:sz w:val="28"/>
          <w:szCs w:val="28"/>
        </w:rPr>
        <w:t>重要提示</w:t>
      </w:r>
      <w:bookmarkEnd w:id="0"/>
    </w:p>
    <w:sdt>
      <w:sdtPr>
        <w:rPr>
          <w:rFonts w:hint="eastAsia" w:ascii="宋体" w:hAnsi="宋体" w:cs="宋体"/>
          <w:b w:val="0"/>
          <w:bCs w:val="0"/>
          <w:kern w:val="0"/>
          <w:szCs w:val="24"/>
        </w:rPr>
        <w:alias w:val="选项模块:董事会及董事声明"/>
        <w:tag w:val="_SEC_7d2cef92505949c6b5bd6a9bd88e1b07"/>
        <w:id w:val="865721959"/>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1"/>
            </w:numPr>
            <w:tabs>
              <w:tab w:val="left" w:pos="434"/>
            </w:tabs>
            <w:spacing w:before="0" w:after="0" w:line="360" w:lineRule="auto"/>
            <w:ind w:left="368" w:hanging="367" w:hangingChars="175"/>
          </w:pPr>
          <w:sdt>
            <w:sdtPr>
              <w:rPr>
                <w:rFonts w:hint="eastAsia"/>
              </w:rPr>
              <w:alias w:val="董事会及董事声明"/>
              <w:tag w:val="_GBC_7a4abe6548364d7e8583e54b6ff64105"/>
              <w:id w:val="865721958"/>
              <w:lock w:val="sdtLocked"/>
              <w:placeholder>
                <w:docPart w:val="GBC22222222222222222222222222222"/>
              </w:placeholder>
            </w:sdtPr>
            <w:sdtEndPr>
              <w:rPr>
                <w:rFonts w:hint="eastAsia"/>
              </w:rPr>
            </w:sdtEndPr>
            <w:sdtContent>
              <w:r>
                <w:rPr>
                  <w:rFonts w:ascii="Times New Roman" w:hAnsi="宋体" w:cs="宋体"/>
                  <w:bCs w:val="0"/>
                </w:rPr>
                <w:t>本公司董事会、监事会及董事、监事、高级管理人员保证年度报告内容的真实</w:t>
              </w:r>
              <w:r>
                <w:rPr>
                  <w:rFonts w:hint="eastAsia" w:ascii="Times New Roman" w:hAnsi="宋体" w:cs="宋体"/>
                  <w:bCs w:val="0"/>
                </w:rPr>
                <w:t>性</w:t>
              </w:r>
              <w:r>
                <w:rPr>
                  <w:rFonts w:ascii="Times New Roman" w:hAnsi="宋体" w:cs="宋体"/>
                  <w:bCs w:val="0"/>
                </w:rPr>
                <w:t>、准确</w:t>
              </w:r>
              <w:r>
                <w:rPr>
                  <w:rFonts w:hint="eastAsia" w:ascii="Times New Roman" w:hAnsi="宋体" w:cs="宋体"/>
                  <w:bCs w:val="0"/>
                </w:rPr>
                <w:t>性</w:t>
              </w:r>
              <w:r>
                <w:rPr>
                  <w:rFonts w:ascii="Times New Roman" w:hAnsi="宋体" w:cs="宋体"/>
                  <w:bCs w:val="0"/>
                </w:rPr>
                <w:t>、完整</w:t>
              </w:r>
              <w:r>
                <w:rPr>
                  <w:rFonts w:hint="eastAsia" w:ascii="Times New Roman" w:hAnsi="宋体" w:cs="宋体"/>
                  <w:bCs w:val="0"/>
                </w:rPr>
                <w:t>性</w:t>
              </w:r>
              <w:r>
                <w:rPr>
                  <w:rFonts w:ascii="Times New Roman" w:hAnsi="宋体" w:cs="宋体"/>
                  <w:bCs w:val="0"/>
                </w:rPr>
                <w:t>，不存在虚假记载、误导性陈述或重大遗漏，并承担个别和连带的法律责任。</w:t>
              </w:r>
            </w:sdtContent>
          </w:sdt>
        </w:p>
        <w:p/>
      </w:sdtContent>
    </w:sdt>
    <w:sdt>
      <w:sdtPr>
        <w:rPr>
          <w:rFonts w:hint="eastAsia" w:ascii="Calibri" w:hAnsi="Calibri" w:cs="宋体"/>
          <w:b w:val="0"/>
          <w:bCs w:val="0"/>
          <w:kern w:val="0"/>
          <w:sz w:val="24"/>
          <w:szCs w:val="22"/>
        </w:rPr>
        <w:alias w:val="选项模块:公司全体董事出席董事会会议。"/>
        <w:tag w:val="_SEC_22f2821f4b8f443f90d5135b8aaff83a"/>
        <w:id w:val="865721961"/>
        <w:lock w:val="sdtLocked"/>
        <w:placeholder>
          <w:docPart w:val="GBC22222222222222222222222222222"/>
        </w:placeholder>
      </w:sdtPr>
      <w:sdtEndPr>
        <w:rPr>
          <w:rFonts w:hint="default" w:ascii="宋体" w:hAnsi="宋体" w:cs="宋体"/>
          <w:b w:val="0"/>
          <w:bCs w:val="0"/>
          <w:kern w:val="0"/>
          <w:sz w:val="21"/>
          <w:szCs w:val="21"/>
        </w:rPr>
      </w:sdtEndPr>
      <w:sdtContent>
        <w:p>
          <w:pPr>
            <w:pStyle w:val="3"/>
            <w:numPr>
              <w:ilvl w:val="0"/>
              <w:numId w:val="1"/>
            </w:numPr>
            <w:tabs>
              <w:tab w:val="left" w:pos="448"/>
            </w:tabs>
            <w:spacing w:before="0" w:after="0" w:line="360" w:lineRule="auto"/>
            <w:ind w:left="420" w:hangingChars="175"/>
          </w:pPr>
          <w:r>
            <w:rPr>
              <w:rFonts w:hint="eastAsia"/>
            </w:rPr>
            <w:t>公司</w:t>
          </w:r>
          <w:sdt>
            <w:sdtPr>
              <w:rPr>
                <w:rFonts w:hint="eastAsia"/>
              </w:rPr>
              <w:tag w:val="_PLD_67dfe594d3e24f69b6f9757d86ded61b"/>
              <w:id w:val="865721960"/>
              <w:lock w:val="sdtLocked"/>
              <w:placeholder>
                <w:docPart w:val="GBC22222222222222222222222222222"/>
              </w:placeholder>
            </w:sdtPr>
            <w:sdtEndPr>
              <w:rPr>
                <w:rFonts w:hint="eastAsia"/>
              </w:rPr>
            </w:sdtEndPr>
            <w:sdtContent>
              <w:r>
                <w:rPr>
                  <w:rFonts w:hint="eastAsia"/>
                </w:rPr>
                <w:t>全体董事出席</w:t>
              </w:r>
            </w:sdtContent>
          </w:sdt>
          <w:r>
            <w:rPr>
              <w:rFonts w:hint="eastAsia"/>
            </w:rPr>
            <w:t>董事会会议。</w:t>
          </w:r>
        </w:p>
        <w:p>
          <w:pPr>
            <w:rPr>
              <w:szCs w:val="21"/>
            </w:rPr>
          </w:pPr>
        </w:p>
      </w:sdtContent>
    </w:sdt>
    <w:sdt>
      <w:sdtPr>
        <w:rPr>
          <w:rFonts w:hint="eastAsia" w:ascii="Calibri" w:hAnsi="Calibri" w:cs="宋体"/>
          <w:b w:val="0"/>
          <w:bCs w:val="0"/>
          <w:kern w:val="0"/>
          <w:sz w:val="24"/>
          <w:szCs w:val="24"/>
        </w:rPr>
        <w:alias w:val="选项模块:事务所为本公司出具了标准无保留意见的审计报告。"/>
        <w:tag w:val="_SEC_40fba4905c084fec81ccf5c248050f25"/>
        <w:id w:val="865721964"/>
        <w:lock w:val="sdtLocked"/>
        <w:placeholder>
          <w:docPart w:val="GBC22222222222222222222222222222"/>
        </w:placeholder>
      </w:sdtPr>
      <w:sdtEndPr>
        <w:rPr>
          <w:rFonts w:hint="default" w:ascii="宋体" w:hAnsi="宋体" w:cs="宋体"/>
          <w:b w:val="0"/>
          <w:bCs w:val="0"/>
          <w:kern w:val="0"/>
          <w:sz w:val="21"/>
          <w:szCs w:val="24"/>
        </w:rPr>
      </w:sdtEndPr>
      <w:sdtContent>
        <w:p>
          <w:pPr>
            <w:pStyle w:val="3"/>
            <w:numPr>
              <w:ilvl w:val="0"/>
              <w:numId w:val="1"/>
            </w:numPr>
            <w:tabs>
              <w:tab w:val="left" w:pos="518"/>
            </w:tabs>
            <w:spacing w:before="0" w:after="0" w:line="360" w:lineRule="auto"/>
            <w:ind w:left="420" w:hangingChars="175"/>
            <w:jc w:val="left"/>
            <w:rPr>
              <w:rFonts w:ascii="宋体" w:hAnsi="宋体"/>
            </w:rPr>
          </w:pPr>
          <w:sdt>
            <w:sdtPr>
              <w:rPr>
                <w:rFonts w:hint="eastAsia" w:ascii="宋体" w:hAnsi="宋体"/>
              </w:rPr>
              <w:alias w:val="公司聘请的境内会计师事务所名称"/>
              <w:tag w:val="_GBC_ad504284986e4ab994733d7125ba1c33"/>
              <w:id w:val="865721962"/>
              <w:lock w:val="sdtLocked"/>
              <w:placeholder>
                <w:docPart w:val="GBC22222222222222222222222222222"/>
              </w:placeholder>
            </w:sdtPr>
            <w:sdtEndPr>
              <w:rPr>
                <w:rFonts w:hint="eastAsia" w:ascii="宋体" w:hAnsi="宋体"/>
              </w:rPr>
            </w:sdtEndPr>
            <w:sdtContent>
              <w:r>
                <w:rPr>
                  <w:rFonts w:hint="eastAsia" w:ascii="宋体" w:hAnsi="宋体"/>
                </w:rPr>
                <w:t>永拓会计师事务所（特殊普通合伙）</w:t>
              </w:r>
            </w:sdtContent>
          </w:sdt>
          <w:r>
            <w:rPr>
              <w:rFonts w:hint="eastAsia" w:ascii="宋体" w:hAnsi="宋体"/>
            </w:rPr>
            <w:t>为本公司出具了</w:t>
          </w:r>
          <w:sdt>
            <w:sdtPr>
              <w:rPr>
                <w:rFonts w:hint="eastAsia" w:ascii="宋体" w:hAnsi="宋体"/>
              </w:rPr>
              <w:alias w:val="会计师事务所审计意见类型"/>
              <w:tag w:val="_GBC_fc66ac35f9514436909a413223854389"/>
              <w:id w:val="865721963"/>
              <w:lock w:val="sdtContentLocked"/>
              <w:placeholder>
                <w:docPart w:val="GBC22222222222222222222222222222"/>
              </w:placeholder>
            </w:sdtPr>
            <w:sdtEndPr>
              <w:rPr>
                <w:rFonts w:hint="eastAsia" w:ascii="宋体" w:hAnsi="宋体"/>
              </w:rPr>
            </w:sdtEndPr>
            <w:sdtContent>
              <w:r>
                <w:rPr>
                  <w:rFonts w:hint="eastAsia" w:ascii="宋体" w:hAnsi="宋体"/>
                </w:rPr>
                <w:t>标准无保留意见</w:t>
              </w:r>
            </w:sdtContent>
          </w:sdt>
          <w:r>
            <w:rPr>
              <w:rFonts w:hint="eastAsia" w:ascii="宋体" w:hAnsi="宋体"/>
            </w:rPr>
            <w:t>的审计报告。</w:t>
          </w:r>
        </w:p>
        <w:p>
          <w:pPr>
            <w:rPr>
              <w:szCs w:val="21"/>
            </w:rPr>
          </w:pPr>
        </w:p>
      </w:sdtContent>
    </w:sdt>
    <w:sdt>
      <w:sdtPr>
        <w:rPr>
          <w:rFonts w:hint="eastAsia" w:ascii="宋体" w:hAnsi="宋体" w:cs="宋体"/>
          <w:b w:val="0"/>
          <w:bCs w:val="0"/>
          <w:kern w:val="0"/>
          <w:szCs w:val="24"/>
        </w:rPr>
        <w:alias w:val="模块:公司负责人等声明"/>
        <w:tag w:val="_SEC_aa772887f17444efa3f14932a3ab86a1"/>
        <w:id w:val="865721968"/>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
            </w:numPr>
            <w:tabs>
              <w:tab w:val="left" w:pos="434"/>
            </w:tabs>
            <w:spacing w:before="0" w:after="0" w:line="360" w:lineRule="auto"/>
            <w:ind w:left="368" w:hanging="367" w:hangingChars="175"/>
            <w:rPr>
              <w:rFonts w:ascii="宋体" w:hAnsi="宋体"/>
            </w:rPr>
          </w:pPr>
          <w:r>
            <w:rPr>
              <w:rFonts w:hint="eastAsia" w:ascii="宋体" w:hAnsi="宋体"/>
            </w:rPr>
            <w:t>公司负责人</w:t>
          </w:r>
          <w:sdt>
            <w:sdtPr>
              <w:rPr>
                <w:rFonts w:hint="eastAsia" w:ascii="宋体" w:hAnsi="宋体"/>
              </w:rPr>
              <w:alias w:val="公司负责人姓名"/>
              <w:tag w:val="_GBC_ba0728eaa9a342098d20addcde59ed31"/>
              <w:id w:val="865721965"/>
              <w:lock w:val="sdtLocked"/>
              <w:placeholder>
                <w:docPart w:val="GBC22222222222222222222222222222"/>
              </w:placeholder>
              <w15:dataBinding w:prefixMappings="xmlns:clcid-mr='clcid-mr'" w:xpath="/*/clcid-mr:GongSiFuZeRenXingMing[not(@periodRef)]" w:storeItemID="{89EBAB94-44A0-46A2-B712-30D997D04A6D}"/>
              <w:text/>
            </w:sdtPr>
            <w:sdtEndPr>
              <w:rPr>
                <w:rFonts w:hint="eastAsia" w:ascii="宋体" w:hAnsi="宋体"/>
              </w:rPr>
            </w:sdtEndPr>
            <w:sdtContent>
              <w:r>
                <w:rPr>
                  <w:rFonts w:hint="eastAsia" w:ascii="宋体" w:hAnsi="宋体"/>
                </w:rPr>
                <w:t xml:space="preserve">林钻煌 </w:t>
              </w:r>
            </w:sdtContent>
          </w:sdt>
          <w:r>
            <w:rPr>
              <w:rFonts w:hint="eastAsia" w:ascii="宋体" w:hAnsi="宋体"/>
            </w:rPr>
            <w:t>、主管会计工作负责人</w:t>
          </w:r>
          <w:sdt>
            <w:sdtPr>
              <w:rPr>
                <w:rFonts w:ascii="宋体" w:hAnsi="宋体"/>
              </w:rPr>
              <w:alias w:val="主管会计工作负责人姓名"/>
              <w:tag w:val="_GBC_9ac791ae357946e68402505d2aa6b3b9"/>
              <w:id w:val="865721966"/>
              <w:lock w:val="sdtLocked"/>
              <w:placeholder>
                <w:docPart w:val="GBC22222222222222222222222222222"/>
              </w:placeholder>
              <w15:dataBinding w:prefixMappings="xmlns:clcid-mr='clcid-mr'" w:xpath="/*/clcid-mr:ZhuGuanKuaiJiGongZuoFuZeRenXingMing[not(@periodRef)]" w:storeItemID="{89EBAB94-44A0-46A2-B712-30D997D04A6D}"/>
              <w:text/>
            </w:sdtPr>
            <w:sdtEndPr>
              <w:rPr>
                <w:rFonts w:ascii="宋体" w:hAnsi="宋体"/>
              </w:rPr>
            </w:sdtEndPr>
            <w:sdtContent>
              <w:r>
                <w:rPr>
                  <w:rFonts w:hint="eastAsia" w:ascii="宋体" w:hAnsi="宋体"/>
                </w:rPr>
                <w:t>王为民</w:t>
              </w:r>
            </w:sdtContent>
          </w:sdt>
          <w:r>
            <w:rPr>
              <w:rFonts w:hint="eastAsia" w:ascii="宋体" w:hAnsi="宋体"/>
            </w:rPr>
            <w:t>及会计机构负责人（会计主管人员）</w:t>
          </w:r>
          <w:sdt>
            <w:sdtPr>
              <w:rPr>
                <w:rFonts w:ascii="宋体" w:hAnsi="宋体"/>
              </w:rPr>
              <w:alias w:val="会计机构负责人姓名"/>
              <w:tag w:val="_GBC_c6edcd184788428d9dc08d896d5d98a9"/>
              <w:id w:val="865721967"/>
              <w:lock w:val="sdtLocked"/>
              <w:placeholder>
                <w:docPart w:val="GBC22222222222222222222222222222"/>
              </w:placeholder>
              <w15:dataBinding w:prefixMappings="xmlns:clcid-mr='clcid-mr'" w:xpath="/*/clcid-mr:KuaiJiJiGouFuZeRenXingMing[not(@periodRef)]" w:storeItemID="{89EBAB94-44A0-46A2-B712-30D997D04A6D}"/>
              <w:text/>
            </w:sdtPr>
            <w:sdtEndPr>
              <w:rPr>
                <w:rFonts w:ascii="宋体" w:hAnsi="宋体"/>
              </w:rPr>
            </w:sdtEndPr>
            <w:sdtContent>
              <w:r>
                <w:rPr>
                  <w:rFonts w:hint="eastAsia" w:ascii="宋体" w:hAnsi="宋体"/>
                </w:rPr>
                <w:t xml:space="preserve">游发禄 </w:t>
              </w:r>
            </w:sdtContent>
          </w:sdt>
          <w:r>
            <w:rPr>
              <w:rFonts w:hint="eastAsia" w:ascii="宋体" w:hAnsi="宋体"/>
            </w:rPr>
            <w:t>声明：保证年度报告中财务报告的真实、准确、完整。</w:t>
          </w:r>
        </w:p>
        <w:p>
          <w:pPr>
            <w:rPr>
              <w:rFonts w:asciiTheme="minorEastAsia" w:hAnsiTheme="minorEastAsia" w:eastAsiaTheme="minorEastAsia"/>
              <w:szCs w:val="21"/>
            </w:rPr>
          </w:pPr>
        </w:p>
      </w:sdtContent>
    </w:sdt>
    <w:sdt>
      <w:sdtPr>
        <w:rPr>
          <w:rFonts w:cs="宋体" w:asciiTheme="minorEastAsia" w:hAnsiTheme="minorEastAsia" w:eastAsiaTheme="minorEastAsia"/>
          <w:b w:val="0"/>
          <w:bCs w:val="0"/>
          <w:kern w:val="0"/>
          <w:szCs w:val="24"/>
        </w:rPr>
        <w:alias w:val="模块:经董事会审议的报告期利润分配预案或公积金转增股本预案"/>
        <w:tag w:val="_SEC_a501adcd5b1e409f9a26e2205a1217af"/>
        <w:id w:val="865721970"/>
        <w:lock w:val="sdtLocked"/>
        <w:placeholder>
          <w:docPart w:val="GBC22222222222222222222222222222"/>
        </w:placeholder>
      </w:sdtPr>
      <w:sdtEndPr>
        <w:rPr>
          <w:rFonts w:hint="eastAsia" w:ascii="宋体" w:hAnsi="宋体" w:eastAsia="宋体" w:cs="宋体"/>
          <w:b w:val="0"/>
          <w:bCs w:val="0"/>
          <w:kern w:val="0"/>
          <w:szCs w:val="24"/>
          <w:shd w:val="pct10" w:color="auto" w:fill="FFFFFF"/>
        </w:rPr>
      </w:sdtEndPr>
      <w:sdtContent>
        <w:p>
          <w:pPr>
            <w:pStyle w:val="3"/>
            <w:numPr>
              <w:ilvl w:val="0"/>
              <w:numId w:val="1"/>
            </w:numPr>
            <w:tabs>
              <w:tab w:val="left" w:pos="490"/>
            </w:tabs>
            <w:spacing w:before="0" w:after="0" w:line="360" w:lineRule="auto"/>
            <w:ind w:left="368" w:hanging="367" w:hangingChars="175"/>
            <w:rPr>
              <w:rFonts w:asciiTheme="minorEastAsia" w:hAnsiTheme="minorEastAsia" w:eastAsiaTheme="minorEastAsia"/>
            </w:rPr>
          </w:pPr>
          <w:r>
            <w:rPr>
              <w:rFonts w:hint="eastAsia" w:cs="宋体" w:asciiTheme="minorEastAsia" w:hAnsiTheme="minorEastAsia" w:eastAsiaTheme="minorEastAsia"/>
              <w:kern w:val="0"/>
            </w:rPr>
            <w:t>董事会决议通过的本报告期利润分配预案或公积金转增股本预案</w:t>
          </w:r>
        </w:p>
        <w:sdt>
          <w:sdtPr>
            <w:rPr>
              <w:rFonts w:hint="eastAsia" w:asciiTheme="minorEastAsia" w:hAnsiTheme="minorEastAsia" w:eastAsiaTheme="minorEastAsia"/>
              <w:szCs w:val="21"/>
            </w:rPr>
            <w:alias w:val="经董事会审议的报告期利润分配预案或公积金转增股本预案"/>
            <w:tag w:val="_GBC_87fdd30c16df49cc824b47e55e4be6d9"/>
            <w:id w:val="865721969"/>
            <w:lock w:val="sdtLocked"/>
            <w:placeholder>
              <w:docPart w:val="GBC22222222222222222222222222222"/>
            </w:placeholder>
          </w:sdtPr>
          <w:sdtEndPr>
            <w:rPr>
              <w:rFonts w:hint="default" w:ascii="Times New Roman" w:hAnsi="Times New Roman" w:eastAsia="宋体" w:cs="Times New Roman"/>
              <w:szCs w:val="21"/>
              <w:shd w:val="pct10" w:color="auto" w:fill="FFFFFF"/>
            </w:rPr>
          </w:sdtEndPr>
          <w:sdtContent>
            <w:p>
              <w:pPr>
                <w:kinsoku w:val="0"/>
                <w:overflowPunct w:val="0"/>
                <w:autoSpaceDE w:val="0"/>
                <w:autoSpaceDN w:val="0"/>
                <w:adjustRightInd w:val="0"/>
                <w:snapToGrid w:val="0"/>
                <w:spacing w:line="400" w:lineRule="exact"/>
                <w:ind w:firstLine="420" w:firstLineChars="200"/>
                <w:rPr>
                  <w:rFonts w:ascii="Times New Roman" w:hAnsi="Times New Roman" w:cs="Times New Roman"/>
                  <w:szCs w:val="21"/>
                </w:rPr>
              </w:pPr>
              <w:r>
                <w:rPr>
                  <w:rFonts w:ascii="Times New Roman" w:hAnsi="Times New Roman" w:cs="Times New Roman"/>
                </w:rPr>
                <w:t>经永拓会计师事务所（特殊普通合伙）审计，母公司2021年初未分配利润为69,570.69 万元，加上本年度实现净利润-91.15万元，2021年末未分配利润为69,479.5</w:t>
              </w:r>
              <w:r>
                <w:rPr>
                  <w:rFonts w:hint="eastAsia" w:ascii="Times New Roman" w:hAnsi="Times New Roman" w:cs="Times New Roman"/>
                </w:rPr>
                <w:t>5</w:t>
              </w:r>
              <w:r>
                <w:rPr>
                  <w:rFonts w:ascii="Times New Roman" w:hAnsi="Times New Roman" w:cs="Times New Roman"/>
                </w:rPr>
                <w:t> 万元。</w:t>
              </w:r>
              <w:r>
                <w:rPr>
                  <w:rFonts w:ascii="Times New Roman" w:hAnsi="Times New Roman" w:cs="Times New Roman"/>
                </w:rPr>
                <w:br w:type="textWrapping"/>
              </w:r>
              <w:r>
                <w:rPr>
                  <w:rFonts w:hint="eastAsia" w:ascii="Times New Roman" w:hAnsi="Times New Roman" w:cs="Times New Roman"/>
                </w:rPr>
                <w:t xml:space="preserve">    </w:t>
              </w:r>
              <w:r>
                <w:rPr>
                  <w:rFonts w:ascii="Times New Roman" w:hAnsi="Times New Roman" w:cs="Times New Roman"/>
                </w:rPr>
                <w:t>公司2021年度合并报表净利润盈利，但母公司经营亏损，根据《公司章程》关于利润分配和现金分红的规定，公司2021年度拟不进行利润分配，也不进行资本公积金转增股本。未分配的利润用于公司新产品开发、品牌推广、营销投入及补充日常流动资金。</w:t>
              </w:r>
            </w:p>
          </w:sdtContent>
        </w:sdt>
        <w:p>
          <w:pPr>
            <w:kinsoku w:val="0"/>
            <w:overflowPunct w:val="0"/>
            <w:autoSpaceDE w:val="0"/>
            <w:autoSpaceDN w:val="0"/>
            <w:adjustRightInd w:val="0"/>
            <w:snapToGrid w:val="0"/>
            <w:spacing w:line="360" w:lineRule="exact"/>
            <w:rPr>
              <w:shd w:val="pct10"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865721973"/>
        <w:lock w:val="sdtLocked"/>
        <w:placeholder>
          <w:docPart w:val="GBC22222222222222222222222222222"/>
        </w:placeholder>
      </w:sdtPr>
      <w:sdtEndPr>
        <w:rPr>
          <w:rFonts w:hint="eastAsia" w:ascii="宋体" w:hAnsi="宋体" w:cs="宋体"/>
          <w:b w:val="0"/>
          <w:bCs w:val="0"/>
          <w:kern w:val="0"/>
          <w:sz w:val="21"/>
          <w:szCs w:val="24"/>
          <w:shd w:val="pct10" w:color="auto" w:fill="FFFFFF"/>
        </w:rPr>
      </w:sdtEndPr>
      <w:sdtContent>
        <w:p>
          <w:pPr>
            <w:pStyle w:val="3"/>
            <w:numPr>
              <w:ilvl w:val="0"/>
              <w:numId w:val="1"/>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86572197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865721972"/>
            <w:lock w:val="sdtLocked"/>
            <w:placeholder>
              <w:docPart w:val="GBC22222222222222222222222222222"/>
            </w:placeholder>
          </w:sdtPr>
          <w:sdtEndPr>
            <w:rPr>
              <w:rFonts w:hint="eastAsia"/>
              <w:szCs w:val="21"/>
              <w:shd w:val="pct10" w:color="auto" w:fill="FFFFFF"/>
            </w:rPr>
          </w:sdtEndPr>
          <w:sdtContent>
            <w:p>
              <w:pPr>
                <w:kinsoku w:val="0"/>
                <w:overflowPunct w:val="0"/>
                <w:autoSpaceDE w:val="0"/>
                <w:autoSpaceDN w:val="0"/>
                <w:adjustRightInd w:val="0"/>
                <w:snapToGrid w:val="0"/>
                <w:spacing w:line="360" w:lineRule="exact"/>
                <w:ind w:firstLine="420" w:firstLineChars="200"/>
                <w:rPr>
                  <w:szCs w:val="21"/>
                </w:rPr>
              </w:pPr>
              <w:r>
                <w:rPr>
                  <w:rFonts w:hint="eastAsia"/>
                  <w:szCs w:val="21"/>
                </w:rPr>
                <w:t>本年度报告中涉及未来计划等前瞻性陈述，不构成公司对投资者的实质承诺，请投资者注意投资风险。</w:t>
              </w:r>
            </w:p>
          </w:sdtContent>
        </w:sdt>
        <w:p>
          <w:pPr>
            <w:kinsoku w:val="0"/>
            <w:overflowPunct w:val="0"/>
            <w:autoSpaceDE w:val="0"/>
            <w:autoSpaceDN w:val="0"/>
            <w:adjustRightInd w:val="0"/>
            <w:snapToGrid w:val="0"/>
            <w:spacing w:line="360" w:lineRule="exact"/>
            <w:rPr>
              <w:szCs w:val="21"/>
              <w:shd w:val="pct10" w:color="auto" w:fill="FFFFFF"/>
            </w:rPr>
          </w:pPr>
        </w:p>
      </w:sdtContent>
    </w:sdt>
    <w:sdt>
      <w:sdtPr>
        <w:rPr>
          <w:rFonts w:hint="eastAsia" w:ascii="Calibri" w:hAnsi="Calibri" w:cs="宋体"/>
          <w:b w:val="0"/>
          <w:bCs w:val="0"/>
          <w:kern w:val="0"/>
          <w:sz w:val="24"/>
          <w:szCs w:val="24"/>
          <w:shd w:val="pct10" w:color="auto" w:fill="FFFFFF"/>
        </w:rPr>
        <w:alias w:val="模块:本公司是否存在大股东占用资金情况"/>
        <w:tag w:val="_SEC_dd7ae952183947878c4ccc9b523f2fd5"/>
        <w:id w:val="865721975"/>
        <w:lock w:val="sdtLocked"/>
        <w:placeholder>
          <w:docPart w:val="GBC22222222222222222222222222222"/>
        </w:placeholder>
      </w:sdtPr>
      <w:sdtEndPr>
        <w:rPr>
          <w:rFonts w:hint="eastAsia" w:ascii="宋体" w:hAnsi="宋体" w:cs="宋体"/>
          <w:b w:val="0"/>
          <w:bCs w:val="0"/>
          <w:kern w:val="0"/>
          <w:sz w:val="21"/>
          <w:szCs w:val="24"/>
          <w:shd w:val="clear" w:color="auto" w:fill="auto"/>
        </w:rPr>
      </w:sdtEndPr>
      <w:sdtContent>
        <w:p>
          <w:pPr>
            <w:pStyle w:val="3"/>
            <w:numPr>
              <w:ilvl w:val="0"/>
              <w:numId w:val="1"/>
            </w:numPr>
            <w:tabs>
              <w:tab w:val="left" w:pos="434"/>
              <w:tab w:val="left" w:pos="644"/>
            </w:tabs>
            <w:spacing w:before="0" w:after="0" w:line="360" w:lineRule="auto"/>
            <w:ind w:left="420" w:hangingChars="175"/>
          </w:pPr>
          <w:r>
            <w:t>是否存在被控股股东及其关联方非经营性占用资金情况</w:t>
          </w:r>
        </w:p>
        <w:sdt>
          <w:sdtPr>
            <w:rPr>
              <w:rFonts w:hint="eastAsia" w:ascii="Arial" w:hAnsi="Arial"/>
              <w:bCs/>
              <w:szCs w:val="21"/>
            </w:rPr>
            <w:alias w:val="本公司是否存在大股东占用资金情况"/>
            <w:tag w:val="_GBC_a9b8d3170fbb4d50a645223c117f8b30"/>
            <w:id w:val="865721974"/>
            <w:lock w:val="sdtLocked"/>
            <w:placeholder>
              <w:docPart w:val="GBC22222222222222222222222222222"/>
            </w:placeholder>
            <w:comboBox>
              <w:listItem w:displayText="是" w:value="true"/>
              <w:listItem w:displayText="否" w:value="false"/>
            </w:comboBox>
          </w:sdtPr>
          <w:sdtEndPr>
            <w:rPr>
              <w:rFonts w:hint="eastAsia" w:ascii="Arial" w:hAnsi="Arial"/>
              <w:bCs/>
              <w:szCs w:val="21"/>
            </w:rPr>
          </w:sdtEndPr>
          <w:sdtContent>
            <w:p>
              <w:pPr>
                <w:kinsoku w:val="0"/>
                <w:overflowPunct w:val="0"/>
                <w:autoSpaceDE w:val="0"/>
                <w:autoSpaceDN w:val="0"/>
                <w:adjustRightInd w:val="0"/>
                <w:snapToGrid w:val="0"/>
                <w:spacing w:line="360" w:lineRule="exact"/>
                <w:rPr>
                  <w:rFonts w:ascii="Arial" w:hAnsi="Arial"/>
                  <w:bCs/>
                  <w:szCs w:val="21"/>
                </w:rPr>
              </w:pPr>
              <w:r>
                <w:rPr>
                  <w:rFonts w:hint="eastAsia" w:ascii="Arial" w:hAnsi="Arial"/>
                  <w:bCs/>
                  <w:szCs w:val="21"/>
                </w:rPr>
                <w:t>否</w:t>
              </w:r>
            </w:p>
          </w:sdtContent>
        </w:sdt>
        <w:p>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865721977"/>
        <w:lock w:val="sdtLocked"/>
        <w:placeholder>
          <w:docPart w:val="GBC22222222222222222222222222222"/>
        </w:placeholder>
      </w:sdtPr>
      <w:sdtEndPr>
        <w:rPr>
          <w:rFonts w:hint="eastAsia" w:ascii="宋体" w:hAnsi="宋体" w:cs="宋体"/>
          <w:b w:val="0"/>
          <w:bCs w:val="0"/>
          <w:kern w:val="0"/>
          <w:sz w:val="21"/>
          <w:szCs w:val="24"/>
        </w:rPr>
      </w:sdtEndPr>
      <w:sdtContent>
        <w:p>
          <w:pPr>
            <w:pStyle w:val="3"/>
            <w:numPr>
              <w:ilvl w:val="0"/>
              <w:numId w:val="1"/>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865721976"/>
            <w:lock w:val="sdtLocked"/>
            <w:placeholder>
              <w:docPart w:val="GBC22222222222222222222222222222"/>
            </w:placeholder>
            <w:comboBox>
              <w:listItem w:displayText="是" w:value="true"/>
              <w:listItem w:displayText="否" w:value="false"/>
            </w:comboBox>
          </w:sdtPr>
          <w:sdtEndPr>
            <w:rPr>
              <w:rFonts w:hint="eastAsia"/>
              <w:szCs w:val="21"/>
            </w:rPr>
          </w:sdtEndPr>
          <w:sdtContent>
            <w:p>
              <w:pPr>
                <w:rPr>
                  <w:szCs w:val="21"/>
                </w:rPr>
              </w:pPr>
              <w:r>
                <w:rPr>
                  <w:rFonts w:hint="eastAsia"/>
                  <w:szCs w:val="21"/>
                </w:rPr>
                <w:t>否</w:t>
              </w:r>
            </w:p>
          </w:sdtContent>
        </w:sdt>
        <w:p/>
      </w:sdtContent>
    </w:sdt>
    <w:sdt>
      <w:sdtPr>
        <w:rPr>
          <w:rFonts w:ascii="Calibri" w:hAnsi="Calibri" w:cs="宋体"/>
          <w:b w:val="0"/>
          <w:bCs w:val="0"/>
          <w:kern w:val="0"/>
          <w:szCs w:val="24"/>
        </w:rPr>
        <w:alias w:val="模块:是否存在半数以上董事无法保证公司所披露年度报告的真实性、准确..."/>
        <w:tag w:val="_SEC_48356da23f6a4bf99307cdd80c7327ad"/>
        <w:id w:val="865721979"/>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
            </w:numPr>
            <w:tabs>
              <w:tab w:val="left" w:pos="644"/>
            </w:tabs>
            <w:spacing w:before="0" w:after="0" w:line="360" w:lineRule="auto"/>
            <w:ind w:left="368" w:hanging="367" w:hangingChars="175"/>
            <w:rPr>
              <w:rFonts w:ascii="Calibri" w:hAnsi="Calibri" w:cs="宋体"/>
              <w:kern w:val="0"/>
            </w:rPr>
          </w:pPr>
          <w:bookmarkStart w:id="1" w:name="_Hlk61881950"/>
          <w:r>
            <w:rPr>
              <w:rFonts w:ascii="Calibri" w:hAnsi="Calibri" w:cs="宋体"/>
              <w:kern w:val="0"/>
            </w:rPr>
            <w:t>是否存在半数</w:t>
          </w:r>
          <w:r>
            <w:rPr>
              <w:rFonts w:hint="eastAsia" w:ascii="Calibri" w:hAnsi="Calibri" w:cs="宋体"/>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865721978"/>
            <w:lock w:val="sdtLocked"/>
            <w:placeholder>
              <w:docPart w:val="GBC22222222222222222222222222222"/>
            </w:placeholder>
            <w:comboBox>
              <w:listItem w:displayText="是" w:value="是"/>
              <w:listItem w:displayText="否" w:value="否"/>
            </w:comboBox>
          </w:sdtPr>
          <w:sdtEndPr>
            <w:rPr>
              <w:rFonts w:hint="eastAsia"/>
            </w:rPr>
          </w:sdtEndPr>
          <w:sdtContent>
            <w:p>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865721981"/>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1"/>
            </w:numPr>
            <w:tabs>
              <w:tab w:val="left" w:pos="644"/>
            </w:tabs>
            <w:spacing w:before="0" w:after="0" w:line="360" w:lineRule="auto"/>
            <w:ind w:left="368" w:hanging="367" w:hangingChars="175"/>
          </w:pPr>
          <w:r>
            <w:rPr>
              <w:rFonts w:hint="eastAsia"/>
            </w:rPr>
            <w:t>重大风险提示</w:t>
          </w:r>
        </w:p>
        <w:p>
          <w:pPr>
            <w:spacing w:line="400" w:lineRule="exact"/>
            <w:ind w:firstLine="420" w:firstLineChars="200"/>
          </w:pPr>
          <w:sdt>
            <w:sdtPr>
              <w:alias w:val="重大风险提示"/>
              <w:tag w:val="_GBC_43a6b8847e0241f1af5326af848c7cec"/>
              <w:id w:val="865721980"/>
              <w:lock w:val="sdtLocked"/>
              <w:placeholder>
                <w:docPart w:val="GBC22222222222222222222222222222"/>
              </w:placeholder>
            </w:sdtPr>
            <w:sdtContent>
              <w:r>
                <w:rPr>
                  <w:rFonts w:hint="eastAsia"/>
                </w:rPr>
                <w:t>公司已在本报告中详细描述了存在的行业风险、市场风险、经营风险等，敬请查阅“第三节 管理层讨论与分析”之“六、公司关于公司未来发展的讨论与分析”之“（四）可能面对的风险”。</w:t>
              </w:r>
            </w:sdtContent>
          </w:sdt>
        </w:p>
        <w:p/>
      </w:sdtContent>
    </w:sdt>
    <w:sdt>
      <w:sdtPr>
        <w:rPr>
          <w:rFonts w:ascii="宋体" w:hAnsi="宋体" w:cs="宋体"/>
          <w:b w:val="0"/>
          <w:bCs w:val="0"/>
          <w:kern w:val="0"/>
          <w:szCs w:val="24"/>
        </w:rPr>
        <w:alias w:val="模块:重要提示的其他情况说明"/>
        <w:tag w:val="_SEC_e9484471c6da4ac39a115f2e22fdac24"/>
        <w:id w:val="865721983"/>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1"/>
            </w:numPr>
            <w:tabs>
              <w:tab w:val="left" w:pos="588"/>
              <w:tab w:val="left" w:pos="644"/>
              <w:tab w:val="left" w:pos="672"/>
            </w:tabs>
            <w:spacing w:before="0" w:after="0" w:line="360" w:lineRule="auto"/>
            <w:ind w:left="368" w:hanging="367" w:hangingChars="175"/>
          </w:pPr>
          <w:r>
            <w:rPr>
              <w:rFonts w:hint="eastAsia"/>
            </w:rPr>
            <w:t>其他</w:t>
          </w:r>
        </w:p>
        <w:sdt>
          <w:sdtPr>
            <w:alias w:val="是否适用：其他重要提示[双击切换]"/>
            <w:tag w:val="_GBC_0eafa210a73340628544c13dacbc7643"/>
            <w:id w:val="865721982"/>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480" w:lineRule="auto"/>
        <w:jc w:val="center"/>
        <w:rPr>
          <w:b/>
          <w:sz w:val="28"/>
          <w:szCs w:val="28"/>
        </w:rPr>
      </w:pPr>
      <w:r>
        <w:rPr>
          <w:rFonts w:hint="eastAsia"/>
          <w:b/>
          <w:sz w:val="28"/>
          <w:szCs w:val="28"/>
        </w:rPr>
        <w:t>目录</w:t>
      </w:r>
    </w:p>
    <w:p>
      <w:pPr>
        <w:pStyle w:val="27"/>
        <w:rPr>
          <w:rFonts w:asciiTheme="minorHAnsi" w:hAnsiTheme="minorHAnsi" w:eastAsiaTheme="minorEastAsia" w:cstheme="minorBidi"/>
          <w:b/>
          <w:bCs/>
          <w:szCs w:val="22"/>
        </w:rPr>
      </w:pPr>
      <w:r>
        <w:rPr>
          <w:b/>
          <w:bCs/>
        </w:rPr>
        <w:fldChar w:fldCharType="begin"/>
      </w:r>
      <w:r>
        <w:rPr>
          <w:b/>
          <w:bCs/>
        </w:rPr>
        <w:instrText xml:space="preserve"> TOC \o "1-1" \h \z \u </w:instrText>
      </w:r>
      <w:r>
        <w:rPr>
          <w:b/>
          <w:bCs/>
        </w:rPr>
        <w:fldChar w:fldCharType="separate"/>
      </w:r>
      <w:r>
        <w:fldChar w:fldCharType="begin"/>
      </w:r>
      <w:r>
        <w:instrText xml:space="preserve"> HYPERLINK \l "_Toc89790248" </w:instrText>
      </w:r>
      <w:r>
        <w:fldChar w:fldCharType="separate"/>
      </w:r>
      <w:r>
        <w:rPr>
          <w:rStyle w:val="41"/>
          <w:b/>
          <w:bCs/>
        </w:rPr>
        <w:t>第一节</w:t>
      </w:r>
      <w:r>
        <w:rPr>
          <w:rFonts w:asciiTheme="minorHAnsi" w:hAnsiTheme="minorHAnsi" w:eastAsiaTheme="minorEastAsia" w:cstheme="minorBidi"/>
          <w:b/>
          <w:bCs/>
          <w:szCs w:val="22"/>
        </w:rPr>
        <w:tab/>
      </w:r>
      <w:r>
        <w:rPr>
          <w:rStyle w:val="41"/>
          <w:b/>
          <w:bCs/>
        </w:rPr>
        <w:t>释义</w:t>
      </w:r>
      <w:r>
        <w:rPr>
          <w:b/>
          <w:bCs/>
        </w:rPr>
        <w:tab/>
      </w:r>
      <w:r>
        <w:rPr>
          <w:b/>
          <w:bCs/>
        </w:rPr>
        <w:fldChar w:fldCharType="begin"/>
      </w:r>
      <w:r>
        <w:rPr>
          <w:b/>
          <w:bCs/>
        </w:rPr>
        <w:instrText xml:space="preserve"> PAGEREF _Toc89790248 \h </w:instrText>
      </w:r>
      <w:r>
        <w:rPr>
          <w:b/>
          <w:bCs/>
        </w:rPr>
        <w:fldChar w:fldCharType="separate"/>
      </w:r>
      <w:r>
        <w:rPr>
          <w:b/>
          <w:bCs/>
        </w:rPr>
        <w:t>3</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"_Toc89790249" </w:instrText>
      </w:r>
      <w:r>
        <w:fldChar w:fldCharType="separate"/>
      </w:r>
      <w:r>
        <w:rPr>
          <w:rStyle w:val="41"/>
          <w:b/>
          <w:bCs/>
        </w:rPr>
        <w:t>第二节</w:t>
      </w:r>
      <w:r>
        <w:rPr>
          <w:rFonts w:asciiTheme="minorHAnsi" w:hAnsiTheme="minorHAnsi" w:eastAsiaTheme="minorEastAsia" w:cstheme="minorBidi"/>
          <w:b/>
          <w:bCs/>
          <w:szCs w:val="22"/>
        </w:rPr>
        <w:tab/>
      </w:r>
      <w:r>
        <w:rPr>
          <w:rStyle w:val="41"/>
          <w:b/>
          <w:bCs/>
        </w:rPr>
        <w:t>公司简介和主要财务指标</w:t>
      </w:r>
      <w:r>
        <w:rPr>
          <w:b/>
          <w:bCs/>
        </w:rPr>
        <w:tab/>
      </w:r>
      <w:r>
        <w:rPr>
          <w:b/>
          <w:bCs/>
        </w:rPr>
        <w:fldChar w:fldCharType="begin"/>
      </w:r>
      <w:r>
        <w:rPr>
          <w:b/>
          <w:bCs/>
        </w:rPr>
        <w:instrText xml:space="preserve"> PAGEREF _Toc89790249 \h </w:instrText>
      </w:r>
      <w:r>
        <w:rPr>
          <w:b/>
          <w:bCs/>
        </w:rPr>
        <w:fldChar w:fldCharType="separate"/>
      </w:r>
      <w:r>
        <w:rPr>
          <w:b/>
          <w:bCs/>
        </w:rPr>
        <w:t>4</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"_Toc89790250" </w:instrText>
      </w:r>
      <w:r>
        <w:fldChar w:fldCharType="separate"/>
      </w:r>
      <w:r>
        <w:rPr>
          <w:rStyle w:val="41"/>
          <w:b/>
          <w:bCs/>
        </w:rPr>
        <w:t>第三节</w:t>
      </w:r>
      <w:r>
        <w:rPr>
          <w:rFonts w:asciiTheme="minorHAnsi" w:hAnsiTheme="minorHAnsi" w:eastAsiaTheme="minorEastAsia" w:cstheme="minorBidi"/>
          <w:b/>
          <w:bCs/>
          <w:szCs w:val="22"/>
        </w:rPr>
        <w:tab/>
      </w:r>
      <w:r>
        <w:rPr>
          <w:rStyle w:val="41"/>
          <w:b/>
          <w:bCs/>
        </w:rPr>
        <w:t>管理层讨论与分析</w:t>
      </w:r>
      <w:r>
        <w:rPr>
          <w:b/>
          <w:bCs/>
        </w:rPr>
        <w:tab/>
      </w:r>
      <w:r>
        <w:rPr>
          <w:b/>
          <w:bCs/>
        </w:rPr>
        <w:fldChar w:fldCharType="begin"/>
      </w:r>
      <w:r>
        <w:rPr>
          <w:b/>
          <w:bCs/>
        </w:rPr>
        <w:instrText xml:space="preserve"> PAGEREF _Toc89790250 \h </w:instrText>
      </w:r>
      <w:r>
        <w:rPr>
          <w:b/>
          <w:bCs/>
        </w:rPr>
        <w:fldChar w:fldCharType="separate"/>
      </w:r>
      <w:r>
        <w:rPr>
          <w:b/>
          <w:bCs/>
        </w:rPr>
        <w:t>9</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"_Toc89790251" </w:instrText>
      </w:r>
      <w:r>
        <w:fldChar w:fldCharType="separate"/>
      </w:r>
      <w:r>
        <w:rPr>
          <w:rStyle w:val="41"/>
          <w:b/>
          <w:bCs/>
        </w:rPr>
        <w:t>第四节</w:t>
      </w:r>
      <w:r>
        <w:rPr>
          <w:rFonts w:asciiTheme="minorHAnsi" w:hAnsiTheme="minorHAnsi" w:eastAsiaTheme="minorEastAsia" w:cstheme="minorBidi"/>
          <w:b/>
          <w:bCs/>
          <w:szCs w:val="22"/>
        </w:rPr>
        <w:tab/>
      </w:r>
      <w:r>
        <w:rPr>
          <w:rStyle w:val="41"/>
          <w:b/>
          <w:bCs/>
        </w:rPr>
        <w:t>公司治理</w:t>
      </w:r>
      <w:r>
        <w:rPr>
          <w:b/>
          <w:bCs/>
        </w:rPr>
        <w:tab/>
      </w:r>
      <w:r>
        <w:rPr>
          <w:b/>
          <w:bCs/>
        </w:rPr>
        <w:fldChar w:fldCharType="begin"/>
      </w:r>
      <w:r>
        <w:rPr>
          <w:b/>
          <w:bCs/>
        </w:rPr>
        <w:instrText xml:space="preserve"> PAGEREF _Toc89790251 \h </w:instrText>
      </w:r>
      <w:r>
        <w:rPr>
          <w:b/>
          <w:bCs/>
        </w:rPr>
        <w:fldChar w:fldCharType="separate"/>
      </w:r>
      <w:r>
        <w:rPr>
          <w:b/>
          <w:bCs/>
        </w:rPr>
        <w:t>26</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"_Toc89790252" </w:instrText>
      </w:r>
      <w:r>
        <w:fldChar w:fldCharType="separate"/>
      </w:r>
      <w:r>
        <w:rPr>
          <w:rStyle w:val="41"/>
          <w:b/>
          <w:bCs/>
        </w:rPr>
        <w:t>第五节</w:t>
      </w:r>
      <w:r>
        <w:rPr>
          <w:rFonts w:asciiTheme="minorHAnsi" w:hAnsiTheme="minorHAnsi" w:eastAsiaTheme="minorEastAsia" w:cstheme="minorBidi"/>
          <w:b/>
          <w:bCs/>
          <w:szCs w:val="22"/>
        </w:rPr>
        <w:tab/>
      </w:r>
      <w:r>
        <w:rPr>
          <w:rStyle w:val="41"/>
          <w:b/>
          <w:bCs/>
        </w:rPr>
        <w:t>环境与社会责任</w:t>
      </w:r>
      <w:r>
        <w:rPr>
          <w:b/>
          <w:bCs/>
        </w:rPr>
        <w:tab/>
      </w:r>
      <w:r>
        <w:rPr>
          <w:b/>
          <w:bCs/>
        </w:rPr>
        <w:fldChar w:fldCharType="begin"/>
      </w:r>
      <w:r>
        <w:rPr>
          <w:b/>
          <w:bCs/>
        </w:rPr>
        <w:instrText xml:space="preserve"> PAGEREF _Toc89790252 \h </w:instrText>
      </w:r>
      <w:r>
        <w:rPr>
          <w:b/>
          <w:bCs/>
        </w:rPr>
        <w:fldChar w:fldCharType="separate"/>
      </w:r>
      <w:r>
        <w:rPr>
          <w:b/>
          <w:bCs/>
        </w:rPr>
        <w:t>42</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"_Toc89790253" </w:instrText>
      </w:r>
      <w:r>
        <w:fldChar w:fldCharType="separate"/>
      </w:r>
      <w:r>
        <w:rPr>
          <w:rStyle w:val="41"/>
          <w:b/>
          <w:bCs/>
        </w:rPr>
        <w:t>第六节</w:t>
      </w:r>
      <w:r>
        <w:rPr>
          <w:rFonts w:asciiTheme="minorHAnsi" w:hAnsiTheme="minorHAnsi" w:eastAsiaTheme="minorEastAsia" w:cstheme="minorBidi"/>
          <w:b/>
          <w:bCs/>
          <w:szCs w:val="22"/>
        </w:rPr>
        <w:tab/>
      </w:r>
      <w:r>
        <w:rPr>
          <w:rStyle w:val="41"/>
          <w:b/>
          <w:bCs/>
        </w:rPr>
        <w:t>重要事项</w:t>
      </w:r>
      <w:r>
        <w:rPr>
          <w:b/>
          <w:bCs/>
        </w:rPr>
        <w:tab/>
      </w:r>
      <w:r>
        <w:rPr>
          <w:b/>
          <w:bCs/>
        </w:rPr>
        <w:fldChar w:fldCharType="begin"/>
      </w:r>
      <w:r>
        <w:rPr>
          <w:b/>
          <w:bCs/>
        </w:rPr>
        <w:instrText xml:space="preserve"> PAGEREF _Toc89790253 \h </w:instrText>
      </w:r>
      <w:r>
        <w:rPr>
          <w:b/>
          <w:bCs/>
        </w:rPr>
        <w:fldChar w:fldCharType="separate"/>
      </w:r>
      <w:r>
        <w:rPr>
          <w:b/>
          <w:bCs/>
        </w:rPr>
        <w:t>45</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"_Toc89790254" </w:instrText>
      </w:r>
      <w:r>
        <w:fldChar w:fldCharType="separate"/>
      </w:r>
      <w:r>
        <w:rPr>
          <w:rStyle w:val="41"/>
          <w:b/>
          <w:bCs/>
        </w:rPr>
        <w:t>第七节</w:t>
      </w:r>
      <w:r>
        <w:rPr>
          <w:rFonts w:asciiTheme="minorHAnsi" w:hAnsiTheme="minorHAnsi" w:eastAsiaTheme="minorEastAsia" w:cstheme="minorBidi"/>
          <w:b/>
          <w:bCs/>
          <w:szCs w:val="22"/>
        </w:rPr>
        <w:tab/>
      </w:r>
      <w:r>
        <w:rPr>
          <w:rStyle w:val="41"/>
          <w:b/>
          <w:bCs/>
        </w:rPr>
        <w:t>股份变动及股东情况</w:t>
      </w:r>
      <w:r>
        <w:rPr>
          <w:b/>
          <w:bCs/>
        </w:rPr>
        <w:tab/>
      </w:r>
      <w:r>
        <w:rPr>
          <w:b/>
          <w:bCs/>
        </w:rPr>
        <w:fldChar w:fldCharType="begin"/>
      </w:r>
      <w:r>
        <w:rPr>
          <w:b/>
          <w:bCs/>
        </w:rPr>
        <w:instrText xml:space="preserve"> PAGEREF _Toc89790254 \h </w:instrText>
      </w:r>
      <w:r>
        <w:rPr>
          <w:b/>
          <w:bCs/>
        </w:rPr>
        <w:fldChar w:fldCharType="separate"/>
      </w:r>
      <w:r>
        <w:rPr>
          <w:b/>
          <w:bCs/>
        </w:rPr>
        <w:t>57</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"_Toc89790255" </w:instrText>
      </w:r>
      <w:r>
        <w:fldChar w:fldCharType="separate"/>
      </w:r>
      <w:r>
        <w:rPr>
          <w:rStyle w:val="41"/>
          <w:b/>
          <w:bCs/>
        </w:rPr>
        <w:t>第八节</w:t>
      </w:r>
      <w:r>
        <w:rPr>
          <w:rFonts w:asciiTheme="minorHAnsi" w:hAnsiTheme="minorHAnsi" w:eastAsiaTheme="minorEastAsia" w:cstheme="minorBidi"/>
          <w:b/>
          <w:bCs/>
          <w:szCs w:val="22"/>
        </w:rPr>
        <w:tab/>
      </w:r>
      <w:r>
        <w:rPr>
          <w:rStyle w:val="41"/>
          <w:b/>
          <w:bCs/>
        </w:rPr>
        <w:t>优先股相关情况</w:t>
      </w:r>
      <w:r>
        <w:rPr>
          <w:b/>
          <w:bCs/>
        </w:rPr>
        <w:tab/>
      </w:r>
      <w:r>
        <w:rPr>
          <w:b/>
          <w:bCs/>
        </w:rPr>
        <w:fldChar w:fldCharType="begin"/>
      </w:r>
      <w:r>
        <w:rPr>
          <w:b/>
          <w:bCs/>
        </w:rPr>
        <w:instrText xml:space="preserve"> PAGEREF _Toc89790255 \h </w:instrText>
      </w:r>
      <w:r>
        <w:rPr>
          <w:b/>
          <w:bCs/>
        </w:rPr>
        <w:fldChar w:fldCharType="separate"/>
      </w:r>
      <w:r>
        <w:rPr>
          <w:b/>
          <w:bCs/>
        </w:rPr>
        <w:t>61</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"_Toc89790256" </w:instrText>
      </w:r>
      <w:r>
        <w:fldChar w:fldCharType="separate"/>
      </w:r>
      <w:r>
        <w:rPr>
          <w:rStyle w:val="41"/>
          <w:b/>
          <w:bCs/>
        </w:rPr>
        <w:t>第九节</w:t>
      </w:r>
      <w:r>
        <w:rPr>
          <w:rFonts w:asciiTheme="minorHAnsi" w:hAnsiTheme="minorHAnsi" w:eastAsiaTheme="minorEastAsia" w:cstheme="minorBidi"/>
          <w:b/>
          <w:bCs/>
          <w:szCs w:val="22"/>
        </w:rPr>
        <w:tab/>
      </w:r>
      <w:r>
        <w:rPr>
          <w:rStyle w:val="41"/>
          <w:b/>
          <w:bCs/>
        </w:rPr>
        <w:t>债券相关情况</w:t>
      </w:r>
      <w:r>
        <w:rPr>
          <w:b/>
          <w:bCs/>
        </w:rPr>
        <w:tab/>
      </w:r>
      <w:r>
        <w:rPr>
          <w:b/>
          <w:bCs/>
        </w:rPr>
        <w:fldChar w:fldCharType="begin"/>
      </w:r>
      <w:r>
        <w:rPr>
          <w:b/>
          <w:bCs/>
        </w:rPr>
        <w:instrText xml:space="preserve"> PAGEREF _Toc89790256 \h </w:instrText>
      </w:r>
      <w:r>
        <w:rPr>
          <w:b/>
          <w:bCs/>
        </w:rPr>
        <w:fldChar w:fldCharType="separate"/>
      </w:r>
      <w:r>
        <w:rPr>
          <w:b/>
          <w:bCs/>
        </w:rPr>
        <w:t>62</w:t>
      </w:r>
      <w:r>
        <w:rPr>
          <w:b/>
          <w:bCs/>
        </w:rPr>
        <w:fldChar w:fldCharType="end"/>
      </w:r>
      <w:r>
        <w:rPr>
          <w:b/>
          <w:bCs/>
        </w:rPr>
        <w:fldChar w:fldCharType="end"/>
      </w:r>
    </w:p>
    <w:p>
      <w:pPr>
        <w:pStyle w:val="27"/>
        <w:rPr>
          <w:rStyle w:val="41"/>
          <w:b/>
          <w:bCs/>
        </w:rPr>
      </w:pPr>
      <w:r>
        <w:fldChar w:fldCharType="begin"/>
      </w:r>
      <w:r>
        <w:instrText xml:space="preserve"> HYPERLINK \l "_Toc89790257" </w:instrText>
      </w:r>
      <w:r>
        <w:fldChar w:fldCharType="separate"/>
      </w:r>
      <w:r>
        <w:rPr>
          <w:rStyle w:val="41"/>
          <w:rFonts w:ascii="宋体" w:hAnsi="宋体"/>
          <w:b/>
          <w:bCs/>
        </w:rPr>
        <w:t>第十节</w:t>
      </w:r>
      <w:r>
        <w:rPr>
          <w:rFonts w:asciiTheme="minorHAnsi" w:hAnsiTheme="minorHAnsi" w:eastAsiaTheme="minorEastAsia" w:cstheme="minorBidi"/>
          <w:b/>
          <w:bCs/>
          <w:szCs w:val="22"/>
        </w:rPr>
        <w:tab/>
      </w:r>
      <w:r>
        <w:rPr>
          <w:rStyle w:val="41"/>
          <w:rFonts w:ascii="宋体" w:hAnsi="宋体"/>
          <w:b/>
          <w:bCs/>
        </w:rPr>
        <w:t>财务报告</w:t>
      </w:r>
      <w:r>
        <w:rPr>
          <w:b/>
          <w:bCs/>
        </w:rPr>
        <w:tab/>
      </w:r>
      <w:r>
        <w:rPr>
          <w:b/>
          <w:bCs/>
        </w:rPr>
        <w:fldChar w:fldCharType="begin"/>
      </w:r>
      <w:r>
        <w:rPr>
          <w:b/>
          <w:bCs/>
        </w:rPr>
        <w:instrText xml:space="preserve"> PAGEREF _Toc89790257 \h </w:instrText>
      </w:r>
      <w:r>
        <w:rPr>
          <w:b/>
          <w:bCs/>
        </w:rPr>
        <w:fldChar w:fldCharType="separate"/>
      </w:r>
      <w:r>
        <w:rPr>
          <w:b/>
          <w:bCs/>
        </w:rPr>
        <w:t>63</w:t>
      </w:r>
      <w:r>
        <w:rPr>
          <w:b/>
          <w:bCs/>
        </w:rPr>
        <w:fldChar w:fldCharType="end"/>
      </w:r>
      <w:r>
        <w:rPr>
          <w:b/>
          <w:bCs/>
        </w:rPr>
        <w:fldChar w:fldCharType="end"/>
      </w:r>
    </w:p>
    <w:p/>
    <w:p>
      <w:r>
        <w:rPr>
          <w:b/>
          <w:bCs/>
        </w:rPr>
        <w:fldChar w:fldCharType="end"/>
      </w:r>
      <w:bookmarkStart w:id="2" w:name="_Toc436392761"/>
      <w:bookmarkStart w:id="3" w:name="_Toc437440708"/>
      <w:bookmarkStart w:id="4" w:name="_Toc89790248"/>
      <w:bookmarkStart w:id="5" w:name="_Toc407111354"/>
    </w:p>
    <w:sdt>
      <w:sdtPr>
        <w:rPr>
          <w:b/>
          <w:bCs/>
          <w:sz w:val="24"/>
        </w:rPr>
        <w:alias w:val="模块:备查文件目录"/>
        <w:tag w:val="_SEC_e649d09f3b7f42b7b4f14c158bb328aa"/>
        <w:id w:val="865721989"/>
        <w:lock w:val="sdtLocked"/>
        <w:placeholder>
          <w:docPart w:val="GBC22222222222222222222222222222"/>
        </w:placeholder>
      </w:sdtPr>
      <w:sdtEndPr>
        <w:rPr>
          <w:b w:val="0"/>
          <w:bCs w:val="0"/>
          <w:sz w:val="21"/>
        </w:rPr>
      </w:sdtEndPr>
      <w:sdtContent>
        <w:p>
          <w:pPr>
            <w:spacing w:line="360" w:lineRule="exact"/>
            <w:ind w:right="5"/>
            <w:rPr>
              <w:b/>
              <w:bCs/>
              <w:sz w:val="24"/>
            </w:rPr>
          </w:pPr>
          <w:bookmarkStart w:id="6" w:name="_Hlk90888086"/>
          <w:bookmarkStart w:id="7" w:name="_Hlk90893687"/>
          <w:bookmarkStart w:id="8" w:name="_Hlk90891770"/>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48"/>
            <w:gridCol w:w="7445"/>
          </w:tblGrid>
          <w:sdt>
            <w:sdtPr>
              <w:alias w:val="备查文件情况"/>
              <w:tag w:val="_TUP_bb3c6eba15bb4f89aaabf5b28bea5766"/>
              <w:id w:val="865721986"/>
              <w:lock w:val="sdtLocked"/>
              <w:placeholder>
                <w:docPart w:val="GBC11111111111111111111111111111"/>
              </w:placeholder>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97" w:hRule="atLeast"/>
                </w:trPr>
                <w:tc>
                  <w:tcPr>
                    <w:tcW w:w="814" w:type="pct"/>
                    <w:vMerge w:val="restart"/>
                    <w:tcBorders>
                      <w:top w:val="single" w:color="auto" w:sz="4" w:space="0"/>
                      <w:left w:val="single" w:color="auto" w:sz="4" w:space="0"/>
                      <w:bottom w:val="single" w:color="auto" w:sz="4" w:space="0"/>
                      <w:right w:val="single" w:color="auto" w:sz="4" w:space="0"/>
                    </w:tcBorders>
                    <w:vAlign w:val="center"/>
                  </w:tcPr>
                  <w:sdt>
                    <w:sdtPr>
                      <w:tag w:val="_PLD_a77548a64feb4f70a4cecbb587219734"/>
                      <w:id w:val="865721984"/>
                      <w:lock w:val="sdtLocked"/>
                    </w:sdtPr>
                    <w:sdtContent>
                      <w:p>
                        <w:pPr>
                          <w:autoSpaceDE w:val="0"/>
                          <w:autoSpaceDN w:val="0"/>
                          <w:adjustRightInd w:val="0"/>
                          <w:jc w:val="center"/>
                        </w:pPr>
                        <w:r>
                          <w:t>备查文件目录</w:t>
                        </w:r>
                      </w:p>
                    </w:sdtContent>
                  </w:sdt>
                </w:tc>
                <w:sdt>
                  <w:sdtPr>
                    <w:alias w:val="备查文件目录"/>
                    <w:tag w:val="_GBC_0c6e892b0eee4faaa5b2883811d0eed4"/>
                    <w:id w:val="865721985"/>
                    <w:lock w:val="sdtLocked"/>
                  </w:sdtPr>
                  <w:sdtContent>
                    <w:tc>
                      <w:tcPr>
                        <w:tcW w:w="418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pPr>
                        <w:r>
                          <w:rPr>
                            <w:rFonts w:hint="eastAsia"/>
                          </w:rPr>
                          <w:t>载有公司负责人、主管会计工作负责人、会计机构负责人签名并盖章的财务报表</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97" w:hRule="atLeast"/>
            </w:trPr>
            <w:tc>
              <w:tcPr>
                <w:tcW w:w="814" w:type="pct"/>
                <w:vMerge w:val="continue"/>
                <w:tcBorders>
                  <w:top w:val="single" w:color="auto" w:sz="4" w:space="0"/>
                  <w:left w:val="single" w:color="auto" w:sz="4" w:space="0"/>
                  <w:bottom w:val="single" w:color="auto" w:sz="4" w:space="0"/>
                  <w:right w:val="single" w:color="auto" w:sz="4" w:space="0"/>
                </w:tcBorders>
                <w:vAlign w:val="center"/>
              </w:tcPr>
              <w:p/>
            </w:tc>
            <w:sdt>
              <w:sdtPr>
                <w:alias w:val="备查文件目录"/>
                <w:tag w:val="_GBC_0c6e892b0eee4faaa5b2883811d0eed4"/>
                <w:id w:val="865721987"/>
                <w:lock w:val="sdtLocked"/>
              </w:sdtPr>
              <w:sdtContent>
                <w:tc>
                  <w:tcPr>
                    <w:tcW w:w="418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pPr>
                    <w:r>
                      <w:rPr>
                        <w:rFonts w:hint="eastAsia"/>
                      </w:rPr>
                      <w:t>载有会计师事务所盖章、中国注册会计师签名并盖章并盖章的审计报告原稿</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97" w:hRule="atLeast"/>
            </w:trPr>
            <w:tc>
              <w:tcPr>
                <w:tcW w:w="814" w:type="pct"/>
                <w:vMerge w:val="continue"/>
                <w:tcBorders>
                  <w:top w:val="single" w:color="auto" w:sz="4" w:space="0"/>
                  <w:left w:val="single" w:color="auto" w:sz="4" w:space="0"/>
                  <w:bottom w:val="single" w:color="auto" w:sz="4" w:space="0"/>
                  <w:right w:val="single" w:color="auto" w:sz="4" w:space="0"/>
                </w:tcBorders>
                <w:vAlign w:val="center"/>
              </w:tcPr>
              <w:p/>
            </w:tc>
            <w:sdt>
              <w:sdtPr>
                <w:alias w:val="备查文件目录"/>
                <w:tag w:val="_GBC_0c6e892b0eee4faaa5b2883811d0eed4"/>
                <w:id w:val="865721988"/>
                <w:lock w:val="sdtLocked"/>
              </w:sdtPr>
              <w:sdtContent>
                <w:tc>
                  <w:tcPr>
                    <w:tcW w:w="418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报告期内在中国证监会指定报刊公开披露过的所有公司文件的正文及公告的原稿</w:t>
                    </w:r>
                  </w:p>
                </w:tc>
              </w:sdtContent>
            </w:sdt>
          </w:tr>
        </w:tbl>
        <w:p>
          <w:pPr>
            <w:spacing w:line="360" w:lineRule="exact"/>
            <w:jc w:val="right"/>
          </w:pPr>
        </w:p>
      </w:sdtContent>
    </w:sdt>
    <w:bookmarkEnd w:id="6"/>
    <w:bookmarkEnd w:id="7"/>
    <w:p/>
    <w:p/>
    <w:bookmarkEnd w:id="8"/>
    <w:p>
      <w:pPr>
        <w:sectPr>
          <w:pgSz w:w="11906" w:h="16838"/>
          <w:pgMar w:top="1440" w:right="1797" w:bottom="1525" w:left="1276" w:header="855" w:footer="992" w:gutter="0"/>
          <w:cols w:space="425" w:num="1"/>
          <w:docGrid w:linePitch="312" w:charSpace="0"/>
        </w:sectPr>
      </w:pPr>
    </w:p>
    <w:p>
      <w:pPr>
        <w:pStyle w:val="2"/>
        <w:numPr>
          <w:ilvl w:val="0"/>
          <w:numId w:val="2"/>
        </w:numPr>
      </w:pPr>
      <w:r>
        <w:rPr>
          <w:rFonts w:hint="eastAsia"/>
        </w:rPr>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865722025"/>
        <w:lock w:val="sdtLocked"/>
        <w:placeholder>
          <w:docPart w:val="GBC22222222222222222222222222222"/>
        </w:placeholder>
      </w:sdtPr>
      <w:sdtEndPr>
        <w:rPr>
          <w:rFonts w:ascii="宋体" w:hAnsi="宋体" w:cs="宋体"/>
          <w:b w:val="0"/>
          <w:bCs w:val="0"/>
          <w:kern w:val="0"/>
          <w:sz w:val="21"/>
          <w:szCs w:val="24"/>
        </w:rPr>
      </w:sdtEndPr>
      <w:sdtContent>
        <w:p>
          <w:pPr>
            <w:pStyle w:val="3"/>
            <w:numPr>
              <w:ilvl w:val="0"/>
              <w:numId w:val="3"/>
            </w:numPr>
            <w:tabs>
              <w:tab w:val="left" w:pos="588"/>
            </w:tabs>
            <w:ind w:hangingChars="175"/>
          </w:pPr>
          <w:r>
            <w:t>释义</w:t>
          </w:r>
        </w:p>
        <w:p>
          <w:pPr>
            <w:rPr>
              <w:szCs w:val="21"/>
            </w:rPr>
          </w:pPr>
          <w:r>
            <w:rPr>
              <w:szCs w:val="21"/>
            </w:rPr>
            <w:t>在本报告书中，除非文义另有所指，下列词语具有如下含义：</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1487"/>
            <w:gridCol w:w="4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Cs w:val="21"/>
                </w:rPr>
                <w:tag w:val="_PLD_bf37a984a1d34209a94aac58652eb6b9"/>
                <w:id w:val="865721990"/>
                <w:lock w:val="sdtLocked"/>
              </w:sdtPr>
              <w:sdtEndPr>
                <w:rPr>
                  <w:rFonts w:ascii="Times New Roman" w:hAnsi="Times New Roman" w:cs="Times New Roman"/>
                  <w:szCs w:val="21"/>
                </w:rPr>
              </w:sdtEndPr>
              <w:sdtContent>
                <w:tc>
                  <w:tcPr>
                    <w:tcW w:w="9048" w:type="dxa"/>
                    <w:gridSpan w:val="3"/>
                    <w:vAlign w:val="center"/>
                  </w:tcPr>
                  <w:p>
                    <w:pPr>
                      <w:widowControl w:val="0"/>
                      <w:jc w:val="both"/>
                      <w:rPr>
                        <w:rFonts w:ascii="Times New Roman" w:hAnsi="Times New Roman" w:cs="Times New Roman"/>
                        <w:szCs w:val="21"/>
                      </w:rPr>
                    </w:pPr>
                    <w:r>
                      <w:rPr>
                        <w:rFonts w:ascii="Times New Roman" w:cs="Times New Roman"/>
                        <w:szCs w:val="21"/>
                      </w:rPr>
                      <w:t>常用词语释义</w:t>
                    </w:r>
                  </w:p>
                </w:tc>
              </w:sdtContent>
            </w:sdt>
          </w:tr>
          <w:sdt>
            <w:sdtPr>
              <w:rPr>
                <w:rFonts w:ascii="Times New Roman" w:hAnsi="Times New Roman" w:cs="Times New Roman" w:eastAsiaTheme="minorEastAsia"/>
                <w:kern w:val="2"/>
                <w:szCs w:val="21"/>
              </w:rPr>
              <w:alias w:val="释义"/>
              <w:tag w:val="_TUP_44bf5f5b8d4e40a1afa2f3a4be6551b6"/>
              <w:id w:val="86572199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公司或本公司</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1991"/>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柳州两面针股份有限公司</w:t>
                        </w:r>
                      </w:p>
                    </w:tc>
                  </w:sdtContent>
                </w:sdt>
              </w:tr>
            </w:sdtContent>
          </w:sdt>
          <w:sdt>
            <w:sdtPr>
              <w:rPr>
                <w:rFonts w:ascii="Times New Roman" w:hAnsi="Times New Roman" w:cs="Times New Roman" w:eastAsiaTheme="minorEastAsia"/>
                <w:kern w:val="2"/>
                <w:szCs w:val="21"/>
              </w:rPr>
              <w:alias w:val="释义"/>
              <w:tag w:val="_TUP_44bf5f5b8d4e40a1afa2f3a4be6551b6"/>
              <w:id w:val="86572199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江苏实业公司</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1993"/>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两面针（江苏）实业有限公司</w:t>
                        </w:r>
                      </w:p>
                    </w:tc>
                  </w:sdtContent>
                </w:sdt>
              </w:tr>
            </w:sdtContent>
          </w:sdt>
          <w:sdt>
            <w:sdtPr>
              <w:rPr>
                <w:rFonts w:ascii="Times New Roman" w:hAnsi="Times New Roman" w:cs="Times New Roman" w:eastAsiaTheme="minorEastAsia"/>
                <w:kern w:val="2"/>
                <w:szCs w:val="21"/>
              </w:rPr>
              <w:alias w:val="释义"/>
              <w:tag w:val="_TUP_44bf5f5b8d4e40a1afa2f3a4be6551b6"/>
              <w:id w:val="865721996"/>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亿康药业</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1995"/>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广西两面针亿康药业股份有限公司</w:t>
                        </w:r>
                      </w:p>
                    </w:tc>
                  </w:sdtContent>
                </w:sdt>
              </w:tr>
            </w:sdtContent>
          </w:sdt>
          <w:sdt>
            <w:sdtPr>
              <w:rPr>
                <w:rFonts w:ascii="Times New Roman" w:hAnsi="Times New Roman" w:cs="Times New Roman" w:eastAsiaTheme="minorEastAsia"/>
                <w:kern w:val="2"/>
                <w:szCs w:val="21"/>
              </w:rPr>
              <w:alias w:val="释义"/>
              <w:tag w:val="_TUP_44bf5f5b8d4e40a1afa2f3a4be6551b6"/>
              <w:id w:val="865721998"/>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房开公司</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1997"/>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柳州两面针房地产开发有限公司</w:t>
                        </w:r>
                      </w:p>
                    </w:tc>
                  </w:sdtContent>
                </w:sdt>
              </w:tr>
            </w:sdtContent>
          </w:sdt>
          <w:sdt>
            <w:sdtPr>
              <w:rPr>
                <w:rFonts w:ascii="Times New Roman" w:hAnsi="Times New Roman" w:cs="Times New Roman" w:eastAsiaTheme="minorEastAsia"/>
                <w:kern w:val="2"/>
                <w:szCs w:val="21"/>
              </w:rPr>
              <w:alias w:val="释义"/>
              <w:tag w:val="_TUP_44bf5f5b8d4e40a1afa2f3a4be6551b6"/>
              <w:id w:val="865722000"/>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芳草公司</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1999"/>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安徽两面针</w:t>
                        </w:r>
                        <w:r>
                          <w:rPr>
                            <w:rFonts w:ascii="Times New Roman" w:hAnsi="Times New Roman" w:cs="Times New Roman"/>
                            <w:szCs w:val="21"/>
                          </w:rPr>
                          <w:t>•</w:t>
                        </w:r>
                        <w:r>
                          <w:rPr>
                            <w:rFonts w:ascii="Times New Roman" w:cs="Times New Roman"/>
                            <w:szCs w:val="21"/>
                          </w:rPr>
                          <w:t>芳草日化有限公司</w:t>
                        </w:r>
                      </w:p>
                    </w:tc>
                  </w:sdtContent>
                </w:sdt>
              </w:tr>
            </w:sdtContent>
          </w:sdt>
          <w:sdt>
            <w:sdtPr>
              <w:rPr>
                <w:rFonts w:ascii="Times New Roman" w:hAnsi="Times New Roman" w:cs="Times New Roman" w:eastAsiaTheme="minorEastAsia"/>
                <w:kern w:val="2"/>
                <w:szCs w:val="21"/>
              </w:rPr>
              <w:alias w:val="释义"/>
              <w:tag w:val="_TUP_44bf5f5b8d4e40a1afa2f3a4be6551b6"/>
              <w:id w:val="86572200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纸品公司</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01"/>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柳州两面针纸品有限公司</w:t>
                        </w:r>
                      </w:p>
                    </w:tc>
                  </w:sdtContent>
                </w:sdt>
              </w:tr>
            </w:sdtContent>
          </w:sdt>
          <w:sdt>
            <w:sdtPr>
              <w:rPr>
                <w:rFonts w:ascii="Times New Roman" w:hAnsi="Times New Roman" w:cs="Times New Roman" w:eastAsiaTheme="minorEastAsia"/>
                <w:kern w:val="2"/>
                <w:szCs w:val="21"/>
              </w:rPr>
              <w:alias w:val="释义"/>
              <w:tag w:val="_TUP_44bf5f5b8d4e40a1afa2f3a4be6551b6"/>
              <w:id w:val="86572200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纸业公司</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03"/>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柳州两面针纸业有限公司</w:t>
                        </w:r>
                      </w:p>
                    </w:tc>
                  </w:sdtContent>
                </w:sdt>
              </w:tr>
            </w:sdtContent>
          </w:sdt>
          <w:sdt>
            <w:sdtPr>
              <w:rPr>
                <w:rFonts w:ascii="Times New Roman" w:hAnsi="Times New Roman" w:cs="Times New Roman" w:eastAsiaTheme="minorEastAsia"/>
                <w:kern w:val="2"/>
                <w:szCs w:val="21"/>
              </w:rPr>
              <w:alias w:val="释义"/>
              <w:tag w:val="_TUP_44bf5f5b8d4e40a1afa2f3a4be6551b6"/>
              <w:id w:val="865722006"/>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惠好公司</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05"/>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柳州惠好卫生用品有限公司</w:t>
                        </w:r>
                      </w:p>
                    </w:tc>
                  </w:sdtContent>
                </w:sdt>
              </w:tr>
            </w:sdtContent>
          </w:sdt>
          <w:sdt>
            <w:sdtPr>
              <w:rPr>
                <w:rFonts w:ascii="Times New Roman" w:hAnsi="Times New Roman" w:cs="Times New Roman" w:eastAsiaTheme="minorEastAsia"/>
                <w:kern w:val="2"/>
                <w:szCs w:val="21"/>
              </w:rPr>
              <w:alias w:val="释义"/>
              <w:tag w:val="_TUP_44bf5f5b8d4e40a1afa2f3a4be6551b6"/>
              <w:id w:val="865722008"/>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进出口公司</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07"/>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柳州两面针进出口贸易有限公司</w:t>
                        </w:r>
                      </w:p>
                    </w:tc>
                  </w:sdtContent>
                </w:sdt>
              </w:tr>
            </w:sdtContent>
          </w:sdt>
          <w:sdt>
            <w:sdtPr>
              <w:rPr>
                <w:rFonts w:ascii="Times New Roman" w:hAnsi="Times New Roman" w:cs="Times New Roman" w:eastAsiaTheme="minorEastAsia"/>
                <w:kern w:val="2"/>
                <w:szCs w:val="21"/>
              </w:rPr>
              <w:alias w:val="释义"/>
              <w:tag w:val="_TUP_44bf5f5b8d4e40a1afa2f3a4be6551b6"/>
              <w:id w:val="865722010"/>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柳州市产投公司或产投集团</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09"/>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广西柳州市产业投资发展集团有限公司</w:t>
                        </w:r>
                      </w:p>
                    </w:tc>
                  </w:sdtContent>
                </w:sdt>
              </w:tr>
            </w:sdtContent>
          </w:sdt>
          <w:sdt>
            <w:sdtPr>
              <w:rPr>
                <w:rFonts w:ascii="Times New Roman" w:hAnsi="Times New Roman" w:cs="Times New Roman" w:eastAsiaTheme="minorEastAsia"/>
                <w:kern w:val="2"/>
                <w:szCs w:val="21"/>
              </w:rPr>
              <w:alias w:val="释义"/>
              <w:tag w:val="_TUP_44bf5f5b8d4e40a1afa2f3a4be6551b6"/>
              <w:id w:val="86572201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柳州市国资委</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11"/>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柳州市人民政府国有资产监督管理委员会</w:t>
                        </w:r>
                      </w:p>
                    </w:tc>
                  </w:sdtContent>
                </w:sdt>
              </w:tr>
            </w:sdtContent>
          </w:sdt>
          <w:sdt>
            <w:sdtPr>
              <w:rPr>
                <w:rFonts w:ascii="Times New Roman" w:hAnsi="Times New Roman" w:cs="Times New Roman" w:eastAsiaTheme="minorEastAsia"/>
                <w:kern w:val="2"/>
                <w:szCs w:val="21"/>
              </w:rPr>
              <w:alias w:val="释义"/>
              <w:tag w:val="_TUP_44bf5f5b8d4e40a1afa2f3a4be6551b6"/>
              <w:id w:val="86572201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永拓所</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13"/>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永拓会计师事务所（特殊普通合伙）</w:t>
                        </w:r>
                      </w:p>
                    </w:tc>
                  </w:sdtContent>
                </w:sdt>
              </w:tr>
            </w:sdtContent>
          </w:sdt>
          <w:sdt>
            <w:sdtPr>
              <w:rPr>
                <w:rFonts w:ascii="Times New Roman" w:hAnsi="Times New Roman" w:cs="Times New Roman" w:eastAsiaTheme="minorEastAsia"/>
                <w:kern w:val="2"/>
                <w:szCs w:val="21"/>
              </w:rPr>
              <w:alias w:val="释义"/>
              <w:tag w:val="_TUP_44bf5f5b8d4e40a1afa2f3a4be6551b6"/>
              <w:id w:val="865722016"/>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证监局</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15"/>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中国证券监督管理委员会广西监管局</w:t>
                        </w:r>
                      </w:p>
                    </w:tc>
                  </w:sdtContent>
                </w:sdt>
              </w:tr>
            </w:sdtContent>
          </w:sdt>
          <w:sdt>
            <w:sdtPr>
              <w:rPr>
                <w:rFonts w:ascii="Times New Roman" w:hAnsi="Times New Roman" w:cs="Times New Roman" w:eastAsiaTheme="minorEastAsia"/>
                <w:kern w:val="2"/>
                <w:szCs w:val="21"/>
              </w:rPr>
              <w:alias w:val="释义"/>
              <w:tag w:val="_TUP_44bf5f5b8d4e40a1afa2f3a4be6551b6"/>
              <w:id w:val="865722018"/>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上交所</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17"/>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上海证券交易所</w:t>
                        </w:r>
                      </w:p>
                    </w:tc>
                  </w:sdtContent>
                </w:sdt>
              </w:tr>
            </w:sdtContent>
          </w:sdt>
          <w:sdt>
            <w:sdtPr>
              <w:rPr>
                <w:rFonts w:ascii="Times New Roman" w:hAnsi="Times New Roman" w:cs="Times New Roman" w:eastAsiaTheme="minorEastAsia"/>
                <w:kern w:val="2"/>
                <w:szCs w:val="21"/>
              </w:rPr>
              <w:alias w:val="释义"/>
              <w:tag w:val="_TUP_44bf5f5b8d4e40a1afa2f3a4be6551b6"/>
              <w:id w:val="865722020"/>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证监会</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19"/>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中国证券监督管理委员会</w:t>
                        </w:r>
                      </w:p>
                    </w:tc>
                  </w:sdtContent>
                </w:sdt>
              </w:tr>
            </w:sdtContent>
          </w:sdt>
          <w:sdt>
            <w:sdtPr>
              <w:rPr>
                <w:rFonts w:ascii="Times New Roman" w:hAnsi="Times New Roman" w:cs="Times New Roman" w:eastAsiaTheme="minorEastAsia"/>
                <w:kern w:val="2"/>
                <w:szCs w:val="21"/>
              </w:rPr>
              <w:alias w:val="释义"/>
              <w:tag w:val="_TUP_44bf5f5b8d4e40a1afa2f3a4be6551b6"/>
              <w:id w:val="86572202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报告期</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21"/>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年度</w:t>
                        </w:r>
                        <w:r>
                          <w:rPr>
                            <w:rFonts w:ascii="Times New Roman" w:hAnsi="Times New Roman" w:cs="Times New Roman"/>
                            <w:szCs w:val="21"/>
                          </w:rPr>
                          <w:t>1</w:t>
                        </w:r>
                        <w:r>
                          <w:rPr>
                            <w:rFonts w:ascii="Times New Roman" w:cs="Times New Roman"/>
                            <w:szCs w:val="21"/>
                          </w:rPr>
                          <w:t>月</w:t>
                        </w:r>
                        <w:r>
                          <w:rPr>
                            <w:rFonts w:ascii="Times New Roman" w:hAnsi="Times New Roman" w:cs="Times New Roman"/>
                            <w:szCs w:val="21"/>
                          </w:rPr>
                          <w:t>1</w:t>
                        </w:r>
                        <w:r>
                          <w:rPr>
                            <w:rFonts w:ascii="Times New Roman" w:cs="Times New Roman"/>
                            <w:szCs w:val="21"/>
                          </w:rPr>
                          <w:t>日至</w:t>
                        </w: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12</w:t>
                        </w:r>
                        <w:r>
                          <w:rPr>
                            <w:rFonts w:ascii="Times New Roman" w:cs="Times New Roman"/>
                            <w:szCs w:val="21"/>
                          </w:rPr>
                          <w:t>月</w:t>
                        </w:r>
                        <w:r>
                          <w:rPr>
                            <w:rFonts w:ascii="Times New Roman" w:hAnsi="Times New Roman" w:cs="Times New Roman"/>
                            <w:szCs w:val="21"/>
                          </w:rPr>
                          <w:t>31</w:t>
                        </w:r>
                        <w:r>
                          <w:rPr>
                            <w:rFonts w:ascii="Times New Roman" w:cs="Times New Roman"/>
                            <w:szCs w:val="21"/>
                          </w:rPr>
                          <w:t>日</w:t>
                        </w:r>
                      </w:p>
                    </w:tc>
                  </w:sdtContent>
                </w:sdt>
              </w:tr>
            </w:sdtContent>
          </w:sdt>
          <w:sdt>
            <w:sdtPr>
              <w:rPr>
                <w:rFonts w:ascii="Times New Roman" w:hAnsi="Times New Roman" w:cs="Times New Roman" w:eastAsiaTheme="minorEastAsia"/>
                <w:kern w:val="2"/>
                <w:szCs w:val="21"/>
              </w:rPr>
              <w:alias w:val="释义"/>
              <w:tag w:val="_TUP_44bf5f5b8d4e40a1afa2f3a4be6551b6"/>
              <w:id w:val="86572202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pPr>
                      <w:widowControl w:val="0"/>
                      <w:jc w:val="both"/>
                      <w:rPr>
                        <w:rFonts w:ascii="Times New Roman" w:hAnsi="Times New Roman" w:cs="Times New Roman"/>
                        <w:szCs w:val="21"/>
                      </w:rPr>
                    </w:pPr>
                    <w:r>
                      <w:rPr>
                        <w:rFonts w:ascii="Times New Roman" w:cs="Times New Roman"/>
                        <w:szCs w:val="21"/>
                      </w:rPr>
                      <w:t>元、万元、亿元</w:t>
                    </w:r>
                  </w:p>
                </w:tc>
                <w:tc>
                  <w:tcPr>
                    <w:tcW w:w="1487" w:type="dxa"/>
                    <w:vAlign w:val="center"/>
                  </w:tcPr>
                  <w:p>
                    <w:pPr>
                      <w:widowControl w:val="0"/>
                      <w:jc w:val="center"/>
                      <w:rPr>
                        <w:rFonts w:ascii="Times New Roman" w:hAnsi="Times New Roman" w:cs="Times New Roman"/>
                        <w:szCs w:val="21"/>
                        <w:highlight w:val="lightGray"/>
                      </w:rPr>
                    </w:pPr>
                    <w:r>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865722023"/>
                    <w:lock w:val="sdtLocked"/>
                  </w:sdtPr>
                  <w:sdtEndPr>
                    <w:rPr>
                      <w:rFonts w:ascii="Times New Roman" w:hAnsi="Times New Roman" w:cs="Times New Roman"/>
                      <w:szCs w:val="21"/>
                    </w:rPr>
                  </w:sdtEndPr>
                  <w:sdtContent>
                    <w:tc>
                      <w:tcPr>
                        <w:tcW w:w="4545" w:type="dxa"/>
                        <w:vAlign w:val="center"/>
                      </w:tcPr>
                      <w:p>
                        <w:pPr>
                          <w:widowControl w:val="0"/>
                          <w:jc w:val="both"/>
                          <w:rPr>
                            <w:rFonts w:ascii="Times New Roman" w:hAnsi="Times New Roman" w:cs="Times New Roman"/>
                            <w:szCs w:val="21"/>
                          </w:rPr>
                        </w:pPr>
                        <w:r>
                          <w:rPr>
                            <w:rFonts w:ascii="Times New Roman" w:cs="Times New Roman"/>
                            <w:szCs w:val="21"/>
                          </w:rPr>
                          <w:t>人民币元、万元、亿元，中国法定流通货币单位</w:t>
                        </w:r>
                      </w:p>
                    </w:tc>
                  </w:sdtContent>
                </w:sdt>
              </w:tr>
            </w:sdtContent>
          </w:sdt>
        </w:tbl>
        <w:p/>
        <w:p/>
      </w:sdtContent>
    </w:sdt>
    <w:p>
      <w:pPr>
        <w:pStyle w:val="2"/>
        <w:numPr>
          <w:ilvl w:val="0"/>
          <w:numId w:val="2"/>
        </w:numPr>
        <w:rPr>
          <w:color w:val="FF0000"/>
          <w:u w:val="single"/>
        </w:rPr>
      </w:pPr>
      <w:bookmarkStart w:id="9" w:name="_Toc436392762"/>
      <w:bookmarkStart w:id="10" w:name="_Toc407111355"/>
      <w:bookmarkStart w:id="11" w:name="_Toc89790249"/>
      <w:bookmarkStart w:id="12" w:name="_Toc437440709"/>
      <w:r>
        <w:rPr>
          <w:rFonts w:hint="eastAsia"/>
        </w:rPr>
        <w:t>公司简介</w:t>
      </w:r>
      <w:bookmarkEnd w:id="9"/>
      <w:bookmarkEnd w:id="10"/>
      <w:r>
        <w:rPr>
          <w:rFonts w:hint="eastAsia"/>
        </w:rPr>
        <w:t>和主要财务指标</w:t>
      </w:r>
      <w:bookmarkEnd w:id="11"/>
      <w:bookmarkEnd w:id="12"/>
    </w:p>
    <w:sdt>
      <w:sdtPr>
        <w:rPr>
          <w:rFonts w:hint="eastAsia" w:ascii="Calibri" w:hAnsi="Calibri" w:cs="宋体"/>
          <w:b w:val="0"/>
          <w:bCs w:val="0"/>
          <w:kern w:val="0"/>
          <w:sz w:val="24"/>
          <w:szCs w:val="22"/>
        </w:rPr>
        <w:alias w:val="模块:公司信息"/>
        <w:tag w:val="_SEC_21d2355d13dd4c3a8618d612216e1d43"/>
        <w:id w:val="865722033"/>
        <w:lock w:val="sdtLocked"/>
        <w:placeholder>
          <w:docPart w:val="GBC22222222222222222222222222222"/>
        </w:placeholder>
      </w:sdtPr>
      <w:sdtEndPr>
        <w:rPr>
          <w:rFonts w:hint="default" w:ascii="宋体" w:hAnsi="宋体" w:cs="宋体"/>
          <w:b w:val="0"/>
          <w:bCs w:val="0"/>
          <w:kern w:val="0"/>
          <w:sz w:val="21"/>
          <w:szCs w:val="24"/>
        </w:rPr>
      </w:sdtEndPr>
      <w:sdtContent>
        <w:p>
          <w:pPr>
            <w:pStyle w:val="3"/>
            <w:numPr>
              <w:ilvl w:val="1"/>
              <w:numId w:val="4"/>
            </w:numPr>
            <w:ind w:left="566" w:hanging="566" w:hangingChars="236"/>
            <w:rPr>
              <w:color w:val="FF0000"/>
              <w:u w:val="single"/>
            </w:rPr>
          </w:pPr>
          <w:bookmarkStart w:id="13" w:name="_Toc342051041"/>
          <w:bookmarkStart w:id="14" w:name="_Toc342565881"/>
          <w:r>
            <w:rPr>
              <w:rFonts w:hint="eastAsia"/>
            </w:rPr>
            <w:t>公司信息</w:t>
          </w:r>
          <w:bookmarkEnd w:id="13"/>
          <w:bookmarkEnd w:id="14"/>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rPr>
                <w:tag w:val="_PLD_76a4e08611bc46959c5497248a51b877"/>
                <w:id w:val="865722026"/>
                <w:lock w:val="sdtLocked"/>
              </w:sdtPr>
              <w:sdtEndPr>
                <w:rPr>
                  <w:rFonts w:ascii="Times New Roman" w:hAnsi="Times New Roman" w:cs="Times New Roman"/>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公司的中文名称</w:t>
                    </w:r>
                  </w:p>
                </w:tc>
              </w:sdtContent>
            </w:sdt>
            <w:sdt>
              <w:sdtPr>
                <w:rPr>
                  <w:rFonts w:ascii="Times New Roman" w:hAnsi="Times New Roman" w:cs="Times New Roman"/>
                  <w:szCs w:val="21"/>
                </w:rPr>
                <w:alias w:val="公司法定中文名称"/>
                <w:tag w:val="_GBC_7adfc39908d049d2970c391497a360e4"/>
                <w:id w:val="865722027"/>
                <w:lock w:val="sdtLocked"/>
                <w15:dataBinding w:prefixMappings="xmlns:clcid-cgi='clcid-cgi'" w:xpath="/*/clcid-cgi:GongSiFaDingZhongWenMingCheng[not(@periodRef)]" w:storeItemID="{89EBAB94-44A0-46A2-B712-30D997D04A6D}"/>
                <w:text/>
              </w:sdtPr>
              <w:sdtEndPr>
                <w:rPr>
                  <w:rFonts w:ascii="Times New Roman" w:hAnsi="Times New Roman" w:cs="Times New Roman"/>
                  <w:szCs w:val="21"/>
                </w:rPr>
              </w:sdtEndPr>
              <w:sdtConten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color w:val="FFC000"/>
                        <w:szCs w:val="21"/>
                      </w:rPr>
                    </w:pPr>
                    <w:r>
                      <w:rPr>
                        <w:rFonts w:ascii="Times New Roman" w:cs="Times New Roman"/>
                        <w:szCs w:val="21"/>
                      </w:rPr>
                      <w:t>柳州两面针股份有限公司</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rPr>
                <w:tag w:val="_PLD_3d8e18738ed5412e8760c2285c087dc8"/>
                <w:id w:val="865722028"/>
                <w:lock w:val="sdtLocked"/>
              </w:sdtPr>
              <w:sdtEndPr>
                <w:rPr>
                  <w:rFonts w:ascii="Times New Roman" w:hAnsi="Times New Roman" w:cs="Times New Roman"/>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公司的中文简称</w:t>
                    </w:r>
                  </w:p>
                </w:tc>
              </w:sdtContent>
            </w:sd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rPr>
                  <w:t>两面针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rPr>
                <w:tag w:val="_PLD_6ad5cbeacfc64a4d994ad6b8da3d46ce"/>
                <w:id w:val="865722029"/>
                <w:lock w:val="sdtLocked"/>
              </w:sdtPr>
              <w:sdtEndPr>
                <w:rPr>
                  <w:rFonts w:ascii="Times New Roman" w:hAnsi="Times New Roman" w:cs="Times New Roman"/>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公司的外文名称</w:t>
                    </w:r>
                  </w:p>
                </w:tc>
              </w:sdtContent>
            </w:sd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hAnsi="Times New Roman" w:cs="Times New Roman"/>
                  </w:rPr>
                  <w:t>LIUZHOU LIANGMIANZHEN Co.,Ltd.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rPr>
                <w:tag w:val="_PLD_72725d33fa5348b5b56757232178bc55"/>
                <w:id w:val="865722030"/>
                <w:lock w:val="sdtLocked"/>
              </w:sdtPr>
              <w:sdtEndPr>
                <w:rPr>
                  <w:rFonts w:ascii="Times New Roman" w:hAnsi="Times New Roman" w:cs="Times New Roman"/>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公司的外文名称缩写</w:t>
                    </w:r>
                  </w:p>
                </w:tc>
              </w:sdtContent>
            </w:sd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hAnsi="Times New Roman" w:cs="Times New Roman"/>
                  </w:rPr>
                  <w:t>LMZ</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rPr>
                <w:tag w:val="_PLD_7f7b4aabdee04e669a63fcdcfe41ffe0"/>
                <w:id w:val="865722031"/>
                <w:lock w:val="sdtLocked"/>
              </w:sdtPr>
              <w:sdtEndPr>
                <w:rPr>
                  <w:rFonts w:ascii="Times New Roman" w:hAnsi="Times New Roman" w:cs="Times New Roman"/>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公司的法定代表人</w:t>
                    </w:r>
                  </w:p>
                </w:tc>
              </w:sdtContent>
            </w:sdt>
            <w:sdt>
              <w:sdtPr>
                <w:rPr>
                  <w:rFonts w:ascii="Times New Roman" w:hAnsi="Times New Roman" w:cs="Times New Roman"/>
                  <w:szCs w:val="21"/>
                </w:rPr>
                <w:alias w:val="公司法定代表人"/>
                <w:tag w:val="_GBC_769fe82e3b744e0889d7c811ffa80455"/>
                <w:id w:val="865722032"/>
                <w:lock w:val="sdtLocked"/>
                <w15:dataBinding w:prefixMappings="xmlns:clcid-cgi='clcid-cgi'" w:xpath="/*/clcid-cgi:GongSiFaDingDaiBiaoRen[not(@periodRef)]" w:storeItemID="{89EBAB94-44A0-46A2-B712-30D997D04A6D}"/>
                <w:text/>
              </w:sdtPr>
              <w:sdtEndPr>
                <w:rPr>
                  <w:rFonts w:ascii="Times New Roman" w:hAnsi="Times New Roman" w:cs="Times New Roman"/>
                  <w:szCs w:val="21"/>
                </w:rPr>
              </w:sdtEndPr>
              <w:sdtConten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林钻煌</w:t>
                    </w:r>
                  </w:p>
                </w:tc>
              </w:sdtContent>
            </w:sdt>
          </w:tr>
        </w:tbl>
        <w:p/>
        <w:p/>
      </w:sdtContent>
    </w:sdt>
    <w:sdt>
      <w:sdtPr>
        <w:rPr>
          <w:rFonts w:hint="eastAsia" w:ascii="Calibri" w:hAnsi="Calibri" w:cs="宋体"/>
          <w:b w:val="0"/>
          <w:bCs w:val="0"/>
          <w:kern w:val="0"/>
          <w:sz w:val="24"/>
          <w:szCs w:val="22"/>
        </w:rPr>
        <w:alias w:val="模块:联系人和联系方式"/>
        <w:tag w:val="_SEC_c723c6b18eac4f1fa6cc19fd1ec13bac"/>
        <w:id w:val="865722041"/>
        <w:lock w:val="sdtLocked"/>
        <w:placeholder>
          <w:docPart w:val="GBC22222222222222222222222222222"/>
        </w:placeholder>
      </w:sdtPr>
      <w:sdtEndPr>
        <w:rPr>
          <w:rFonts w:hint="default" w:ascii="宋体" w:hAnsi="宋体" w:cs="宋体"/>
          <w:b w:val="0"/>
          <w:bCs w:val="0"/>
          <w:kern w:val="0"/>
          <w:sz w:val="21"/>
          <w:szCs w:val="24"/>
        </w:rPr>
      </w:sdtEndPr>
      <w:sdtContent>
        <w:p>
          <w:pPr>
            <w:pStyle w:val="3"/>
            <w:numPr>
              <w:ilvl w:val="1"/>
              <w:numId w:val="4"/>
            </w:numPr>
            <w:ind w:left="566" w:hanging="566" w:hangingChars="236"/>
          </w:pPr>
          <w:bookmarkStart w:id="15" w:name="_Toc342051042"/>
          <w:bookmarkStart w:id="16" w:name="_Toc342565882"/>
          <w:r>
            <w:rPr>
              <w:rFonts w:hint="eastAsia"/>
            </w:rPr>
            <w:t>联系人和联系方式</w:t>
          </w:r>
          <w:bookmarkEnd w:id="15"/>
          <w:bookmarkEnd w:id="16"/>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873"/>
            <w:gridCol w:w="3545"/>
            <w:gridCol w:w="34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93" w:hRule="atLeast"/>
            </w:trPr>
            <w:tc>
              <w:tcPr>
                <w:tcW w:w="1053"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p>
            </w:tc>
            <w:tc>
              <w:tcPr>
                <w:tcW w:w="19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5"/>
                  <w:kinsoku w:val="0"/>
                  <w:overflowPunct w:val="0"/>
                  <w:autoSpaceDE w:val="0"/>
                  <w:autoSpaceDN w:val="0"/>
                  <w:adjustRightInd w:val="0"/>
                  <w:snapToGrid w:val="0"/>
                  <w:rPr>
                    <w:color w:val="008000"/>
                  </w:rPr>
                </w:pPr>
                <w:sdt>
                  <w:sdtPr>
                    <w:tag w:val="_PLD_e3b56ea4d9044947a48312d084d6e0c4"/>
                    <w:id w:val="865722034"/>
                    <w:lock w:val="sdtLocked"/>
                  </w:sdtPr>
                  <w:sdtContent>
                    <w:r>
                      <w:rPr>
                        <w:rFonts w:hAnsi="宋体"/>
                      </w:rPr>
                      <w:t>董事会秘书</w:t>
                    </w:r>
                  </w:sdtContent>
                </w:sdt>
              </w:p>
            </w:tc>
            <w:sdt>
              <w:sdtPr>
                <w:tag w:val="_PLD_3c890d5ebae5433cbd8a04f8846a0d9c"/>
                <w:id w:val="865722035"/>
                <w:lock w:val="sdtLocked"/>
              </w:sdtPr>
              <w:sdtContent>
                <w:tc>
                  <w:tcPr>
                    <w:tcW w:w="1954" w:type="pct"/>
                    <w:tcBorders>
                      <w:top w:val="single" w:color="auto" w:sz="4" w:space="0"/>
                      <w:left w:val="single" w:color="auto" w:sz="4" w:space="0"/>
                      <w:bottom w:val="single" w:color="auto" w:sz="4" w:space="0"/>
                    </w:tcBorders>
                    <w:shd w:val="clear" w:color="auto" w:fill="auto"/>
                    <w:vAlign w:val="center"/>
                  </w:tcPr>
                  <w:p>
                    <w:pPr>
                      <w:pStyle w:val="15"/>
                      <w:kinsoku w:val="0"/>
                      <w:overflowPunct w:val="0"/>
                      <w:autoSpaceDE w:val="0"/>
                      <w:autoSpaceDN w:val="0"/>
                      <w:adjustRightInd w:val="0"/>
                      <w:snapToGrid w:val="0"/>
                    </w:pPr>
                    <w:r>
                      <w:rPr>
                        <w:rFonts w:hAnsi="宋体"/>
                      </w:rPr>
                      <w:t>证券事务代表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rPr>
                  <w:rFonts w:ascii="Times New Roman" w:hAnsi="Times New Roman" w:cs="Times New Roman"/>
                </w:rPr>
                <w:tag w:val="_PLD_b3cf3cc2950f4dda9f834cfc035f4162"/>
                <w:id w:val="865722036"/>
                <w:lock w:val="sdtLocked"/>
              </w:sdtPr>
              <w:sdtEndPr>
                <w:rPr>
                  <w:rFonts w:ascii="Times New Roman" w:hAnsi="Times New Roman" w:cs="Times New Roman"/>
                </w:rPr>
              </w:sdtEndPr>
              <w:sdtContent>
                <w:tc>
                  <w:tcPr>
                    <w:tcW w:w="1053"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姓名</w:t>
                    </w:r>
                  </w:p>
                </w:tc>
              </w:sdtContent>
            </w:sdt>
            <w:tc>
              <w:tcPr>
                <w:tcW w:w="1993"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 w:val="24"/>
                  </w:rPr>
                </w:pPr>
                <w:r>
                  <w:rPr>
                    <w:rFonts w:ascii="Times New Roman" w:cs="Times New Roman"/>
                  </w:rPr>
                  <w:t>韦元贤</w:t>
                </w:r>
              </w:p>
            </w:tc>
            <w:tc>
              <w:tcPr>
                <w:tcW w:w="1954" w:type="pct"/>
                <w:tcBorders>
                  <w:top w:val="single" w:color="auto" w:sz="4" w:space="0"/>
                  <w:left w:val="single" w:color="auto" w:sz="4" w:space="0"/>
                  <w:bottom w:val="single" w:color="auto" w:sz="4" w:space="0"/>
                </w:tcBorders>
                <w:vAlign w:val="center"/>
              </w:tcPr>
              <w:p>
                <w:pPr>
                  <w:jc w:val="both"/>
                  <w:rPr>
                    <w:rFonts w:ascii="Times New Roman" w:hAnsi="Times New Roman" w:cs="Times New Roman"/>
                    <w:sz w:val="24"/>
                  </w:rPr>
                </w:pPr>
                <w:r>
                  <w:rPr>
                    <w:rFonts w:ascii="Times New Roman" w:cs="Times New Roman"/>
                  </w:rPr>
                  <w:t>李小结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rPr>
                  <w:rFonts w:ascii="Times New Roman" w:hAnsi="Times New Roman" w:cs="Times New Roman"/>
                </w:rPr>
                <w:tag w:val="_PLD_96f7c5d10740423ea389d22caaba3d57"/>
                <w:id w:val="865722037"/>
                <w:lock w:val="sdtLocked"/>
              </w:sdtPr>
              <w:sdtEndPr>
                <w:rPr>
                  <w:rFonts w:ascii="Times New Roman" w:hAnsi="Times New Roman" w:cs="Times New Roman"/>
                </w:rPr>
              </w:sdtEndPr>
              <w:sdtContent>
                <w:tc>
                  <w:tcPr>
                    <w:tcW w:w="1053"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联系地址</w:t>
                    </w:r>
                  </w:p>
                </w:tc>
              </w:sdtContent>
            </w:sdt>
            <w:tc>
              <w:tcPr>
                <w:tcW w:w="1993"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 w:val="24"/>
                  </w:rPr>
                </w:pPr>
                <w:r>
                  <w:rPr>
                    <w:rFonts w:ascii="Times New Roman" w:cs="Times New Roman"/>
                  </w:rPr>
                  <w:t>广西柳州市东环大道</w:t>
                </w:r>
                <w:r>
                  <w:rPr>
                    <w:rFonts w:ascii="Times New Roman" w:hAnsi="Times New Roman" w:cs="Times New Roman"/>
                  </w:rPr>
                  <w:t>282</w:t>
                </w:r>
                <w:r>
                  <w:rPr>
                    <w:rFonts w:ascii="Times New Roman" w:cs="Times New Roman"/>
                  </w:rPr>
                  <w:t>号柳州两面针股份有限公司董事会办公室</w:t>
                </w:r>
              </w:p>
            </w:tc>
            <w:tc>
              <w:tcPr>
                <w:tcW w:w="1954" w:type="pct"/>
                <w:tcBorders>
                  <w:top w:val="single" w:color="auto" w:sz="4" w:space="0"/>
                  <w:left w:val="single" w:color="auto" w:sz="4" w:space="0"/>
                  <w:bottom w:val="single" w:color="auto" w:sz="4" w:space="0"/>
                </w:tcBorders>
                <w:vAlign w:val="center"/>
              </w:tcPr>
              <w:p>
                <w:pPr>
                  <w:jc w:val="both"/>
                  <w:rPr>
                    <w:rFonts w:ascii="Times New Roman" w:hAnsi="Times New Roman" w:cs="Times New Roman"/>
                    <w:sz w:val="24"/>
                  </w:rPr>
                </w:pPr>
                <w:r>
                  <w:rPr>
                    <w:rFonts w:ascii="Times New Roman" w:cs="Times New Roman"/>
                  </w:rPr>
                  <w:t>广西柳州市东环大道</w:t>
                </w:r>
                <w:r>
                  <w:rPr>
                    <w:rFonts w:ascii="Times New Roman" w:hAnsi="Times New Roman" w:cs="Times New Roman"/>
                  </w:rPr>
                  <w:t>282</w:t>
                </w:r>
                <w:r>
                  <w:rPr>
                    <w:rFonts w:ascii="Times New Roman" w:cs="Times New Roman"/>
                  </w:rPr>
                  <w:t>号柳州两面针股份有限公司董事会办公室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rPr>
                  <w:rFonts w:ascii="Times New Roman" w:hAnsi="Times New Roman" w:cs="Times New Roman"/>
                </w:rPr>
                <w:tag w:val="_PLD_d4e86ed7770a42129d9e099023bce649"/>
                <w:id w:val="865722038"/>
                <w:lock w:val="sdtLocked"/>
              </w:sdtPr>
              <w:sdtEndPr>
                <w:rPr>
                  <w:rFonts w:ascii="Times New Roman" w:hAnsi="Times New Roman" w:cs="Times New Roman"/>
                </w:rPr>
              </w:sdtEndPr>
              <w:sdtContent>
                <w:tc>
                  <w:tcPr>
                    <w:tcW w:w="1053"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电话</w:t>
                    </w:r>
                  </w:p>
                </w:tc>
              </w:sdtContent>
            </w:sdt>
            <w:tc>
              <w:tcPr>
                <w:tcW w:w="1993"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 w:val="24"/>
                  </w:rPr>
                </w:pPr>
                <w:r>
                  <w:rPr>
                    <w:rFonts w:ascii="Times New Roman" w:hAnsi="Times New Roman" w:cs="Times New Roman"/>
                  </w:rPr>
                  <w:t>0772-2506159</w:t>
                </w:r>
              </w:p>
            </w:tc>
            <w:tc>
              <w:tcPr>
                <w:tcW w:w="1954" w:type="pct"/>
                <w:tcBorders>
                  <w:top w:val="single" w:color="auto" w:sz="4" w:space="0"/>
                  <w:left w:val="single" w:color="auto" w:sz="4" w:space="0"/>
                  <w:bottom w:val="single" w:color="auto" w:sz="4" w:space="0"/>
                </w:tcBorders>
                <w:vAlign w:val="center"/>
              </w:tcPr>
              <w:p>
                <w:pPr>
                  <w:jc w:val="both"/>
                  <w:rPr>
                    <w:rFonts w:ascii="Times New Roman" w:hAnsi="Times New Roman" w:cs="Times New Roman"/>
                    <w:sz w:val="24"/>
                  </w:rPr>
                </w:pPr>
                <w:r>
                  <w:rPr>
                    <w:rFonts w:ascii="Times New Roman" w:hAnsi="Times New Roman" w:cs="Times New Roman"/>
                  </w:rPr>
                  <w:t>0772-2506159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rPr>
                  <w:rFonts w:ascii="Times New Roman" w:hAnsi="Times New Roman" w:cs="Times New Roman"/>
                </w:rPr>
                <w:tag w:val="_PLD_ac000fe0146046e69c0678d412246e74"/>
                <w:id w:val="865722039"/>
                <w:lock w:val="sdtLocked"/>
              </w:sdtPr>
              <w:sdtEndPr>
                <w:rPr>
                  <w:rFonts w:ascii="Times New Roman" w:hAnsi="Times New Roman" w:cs="Times New Roman"/>
                </w:rPr>
              </w:sdtEndPr>
              <w:sdtContent>
                <w:tc>
                  <w:tcPr>
                    <w:tcW w:w="1053"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传真</w:t>
                    </w:r>
                  </w:p>
                </w:tc>
              </w:sdtContent>
            </w:sdt>
            <w:tc>
              <w:tcPr>
                <w:tcW w:w="1993"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 w:val="24"/>
                  </w:rPr>
                </w:pPr>
                <w:r>
                  <w:rPr>
                    <w:rFonts w:ascii="Times New Roman" w:hAnsi="Times New Roman" w:cs="Times New Roman"/>
                  </w:rPr>
                  <w:t>0772-2506158</w:t>
                </w:r>
              </w:p>
            </w:tc>
            <w:tc>
              <w:tcPr>
                <w:tcW w:w="1954" w:type="pct"/>
                <w:tcBorders>
                  <w:top w:val="single" w:color="auto" w:sz="4" w:space="0"/>
                  <w:left w:val="single" w:color="auto" w:sz="4" w:space="0"/>
                  <w:bottom w:val="single" w:color="auto" w:sz="4" w:space="0"/>
                </w:tcBorders>
                <w:vAlign w:val="center"/>
              </w:tcPr>
              <w:p>
                <w:pPr>
                  <w:jc w:val="both"/>
                  <w:rPr>
                    <w:rFonts w:ascii="Times New Roman" w:hAnsi="Times New Roman" w:cs="Times New Roman"/>
                    <w:sz w:val="24"/>
                  </w:rPr>
                </w:pPr>
                <w:r>
                  <w:rPr>
                    <w:rFonts w:ascii="Times New Roman" w:hAnsi="Times New Roman" w:cs="Times New Roman"/>
                  </w:rPr>
                  <w:t>0772-2506158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rPr>
                  <w:rFonts w:ascii="Times New Roman" w:hAnsi="Times New Roman" w:cs="Times New Roman"/>
                </w:rPr>
                <w:tag w:val="_PLD_2043b13d40b44118ab0841c72e6e7478"/>
                <w:id w:val="865722040"/>
                <w:lock w:val="sdtLocked"/>
              </w:sdtPr>
              <w:sdtEndPr>
                <w:rPr>
                  <w:rFonts w:ascii="Times New Roman" w:hAnsi="Times New Roman" w:cs="Times New Roman"/>
                </w:rPr>
              </w:sdtEndPr>
              <w:sdtContent>
                <w:tc>
                  <w:tcPr>
                    <w:tcW w:w="1053"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电子信箱</w:t>
                    </w:r>
                  </w:p>
                </w:tc>
              </w:sdtContent>
            </w:sdt>
            <w:tc>
              <w:tcPr>
                <w:tcW w:w="1993"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 w:val="24"/>
                  </w:rPr>
                </w:pPr>
                <w:r>
                  <w:rPr>
                    <w:rFonts w:ascii="Times New Roman" w:hAnsi="Times New Roman" w:cs="Times New Roman"/>
                  </w:rPr>
                  <w:t>lmzstock@lmz.com.cn</w:t>
                </w:r>
              </w:p>
            </w:tc>
            <w:tc>
              <w:tcPr>
                <w:tcW w:w="1954" w:type="pct"/>
                <w:tcBorders>
                  <w:top w:val="single" w:color="auto" w:sz="4" w:space="0"/>
                  <w:left w:val="single" w:color="auto" w:sz="4" w:space="0"/>
                  <w:bottom w:val="single" w:color="auto" w:sz="4" w:space="0"/>
                </w:tcBorders>
                <w:vAlign w:val="center"/>
              </w:tcPr>
              <w:p>
                <w:pPr>
                  <w:jc w:val="both"/>
                  <w:rPr>
                    <w:rFonts w:ascii="Times New Roman" w:hAnsi="Times New Roman" w:cs="Times New Roman"/>
                    <w:sz w:val="24"/>
                  </w:rPr>
                </w:pPr>
                <w:r>
                  <w:rPr>
                    <w:rFonts w:ascii="Times New Roman" w:hAnsi="Times New Roman" w:cs="Times New Roman"/>
                  </w:rPr>
                  <w:t>lmzstock@lmz.com.cn</w:t>
                </w:r>
              </w:p>
            </w:tc>
          </w:tr>
        </w:tbl>
        <w:p/>
      </w:sdtContent>
    </w:sdt>
    <w:sdt>
      <w:sdtPr>
        <w:rPr>
          <w:rFonts w:ascii="宋体" w:hAnsi="宋体" w:cs="宋体"/>
          <w:b w:val="0"/>
          <w:bCs w:val="0"/>
          <w:kern w:val="0"/>
          <w:szCs w:val="24"/>
        </w:rPr>
        <w:alias w:val="模块:基本情况变更简介"/>
        <w:tag w:val="_SEC_956d025c8a1d451390392ecb3e2602be"/>
        <w:id w:val="865722049"/>
        <w:lock w:val="sdtLocked"/>
        <w:placeholder>
          <w:docPart w:val="GBC22222222222222222222222222222"/>
        </w:placeholder>
      </w:sdtPr>
      <w:sdtEndPr>
        <w:rPr>
          <w:rFonts w:ascii="宋体" w:hAnsi="宋体" w:cs="宋体"/>
          <w:b w:val="0"/>
          <w:bCs w:val="0"/>
          <w:kern w:val="0"/>
          <w:szCs w:val="24"/>
        </w:rPr>
      </w:sdtEndPr>
      <w:sdtContent>
        <w:p>
          <w:pPr>
            <w:pStyle w:val="3"/>
            <w:numPr>
              <w:ilvl w:val="1"/>
              <w:numId w:val="4"/>
            </w:numPr>
            <w:ind w:left="496" w:hanging="495" w:hangingChars="236"/>
            <w:rPr>
              <w:rFonts w:ascii="宋体" w:hAnsi="宋体"/>
            </w:rPr>
          </w:pPr>
          <w:r>
            <w:t>基本情况</w:t>
          </w:r>
          <w:r>
            <w:rPr>
              <w:rFonts w:hint="eastAsia"/>
            </w:rPr>
            <w:t>简介</w:t>
          </w:r>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93" w:hRule="atLeast"/>
            </w:trPr>
            <w:sdt>
              <w:sdtPr>
                <w:rPr>
                  <w:rFonts w:ascii="Times New Roman" w:hAnsi="Times New Roman" w:cs="Times New Roman" w:eastAsiaTheme="minorEastAsia"/>
                </w:rPr>
                <w:tag w:val="_PLD_65800154c9f246eeaabfb6d49f89b105"/>
                <w:id w:val="865722042"/>
                <w:lock w:val="sdtLocked"/>
              </w:sdtPr>
              <w:sdtEndPr>
                <w:rPr>
                  <w:rFonts w:ascii="Times New Roman" w:hAnsi="Times New Roman" w:cs="Times New Roman" w:eastAsiaTheme="minorEastAsia"/>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cs="Times New Roman" w:hAnsiTheme="minorEastAsia" w:eastAsiaTheme="minorEastAsia"/>
                        <w:szCs w:val="21"/>
                      </w:rPr>
                      <w:t>公司注册地址</w:t>
                    </w:r>
                  </w:p>
                </w:tc>
              </w:sdtContent>
            </w:sdt>
            <w:sdt>
              <w:sdtPr>
                <w:rPr>
                  <w:rFonts w:ascii="Times New Roman" w:hAnsi="Times New Roman" w:cs="Times New Roman" w:eastAsiaTheme="minorEastAsia"/>
                  <w:szCs w:val="21"/>
                </w:rPr>
                <w:alias w:val="公司注册地址"/>
                <w:tag w:val="_GBC_89833c4f8593417f8d5751e5d0001721"/>
                <w:id w:val="865722043"/>
                <w:lock w:val="sdtLocked"/>
              </w:sdtPr>
              <w:sdtEndPr>
                <w:rPr>
                  <w:rFonts w:ascii="Times New Roman" w:hAnsi="Times New Roman" w:cs="Times New Roman" w:eastAsiaTheme="minorEastAsia"/>
                  <w:szCs w:val="21"/>
                </w:rPr>
              </w:sdtEndPr>
              <w:sdtConten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cs="Times New Roman" w:hAnsiTheme="minorEastAsia" w:eastAsiaTheme="minorEastAsia"/>
                        <w:szCs w:val="21"/>
                      </w:rPr>
                      <w:t>广西柳州市东环大道</w:t>
                    </w:r>
                    <w:r>
                      <w:rPr>
                        <w:rFonts w:ascii="Times New Roman" w:hAnsi="Times New Roman" w:cs="Times New Roman" w:eastAsiaTheme="minorEastAsia"/>
                        <w:szCs w:val="21"/>
                      </w:rPr>
                      <w:t>282</w:t>
                    </w:r>
                    <w:r>
                      <w:rPr>
                        <w:rFonts w:ascii="Times New Roman" w:cs="Times New Roman" w:hAnsiTheme="minorEastAsia" w:eastAsiaTheme="minorEastAsia"/>
                        <w:szCs w:val="21"/>
                      </w:rPr>
                      <w:t>号</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eastAsiaTheme="minorEastAsia"/>
                </w:rPr>
                <w:tag w:val="_PLD_ac2707d2ebd340138473eb9d4270baf7"/>
                <w:id w:val="865722044"/>
                <w:lock w:val="sdtLocked"/>
              </w:sdtPr>
              <w:sdtEndPr>
                <w:rPr>
                  <w:rFonts w:ascii="Times New Roman" w:hAnsi="Times New Roman" w:cs="Times New Roman" w:eastAsiaTheme="minorEastAsia"/>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eastAsiaTheme="minorEastAsia"/>
                      </w:rPr>
                    </w:pPr>
                    <w:r>
                      <w:rPr>
                        <w:rFonts w:ascii="Times New Roman" w:cs="Times New Roman" w:hAnsiTheme="minorEastAsia" w:eastAsiaTheme="minorEastAsia"/>
                      </w:rPr>
                      <w:t>公司注册地址的历史变更情况</w:t>
                    </w:r>
                  </w:p>
                </w:tc>
              </w:sdtContent>
            </w:sd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hAnsi="Times New Roman" w:cs="Times New Roman" w:eastAsiaTheme="minorEastAsia"/>
                    <w:szCs w:val="21"/>
                  </w:rPr>
                  <w:t>2015</w:t>
                </w:r>
                <w:r>
                  <w:rPr>
                    <w:rFonts w:ascii="Times New Roman" w:cs="Times New Roman" w:hAnsiTheme="minorEastAsia" w:eastAsiaTheme="minorEastAsia"/>
                    <w:szCs w:val="21"/>
                  </w:rPr>
                  <w:t>年</w:t>
                </w:r>
                <w:r>
                  <w:rPr>
                    <w:rFonts w:ascii="Times New Roman" w:hAnsi="Times New Roman" w:cs="Times New Roman" w:eastAsiaTheme="minorEastAsia"/>
                    <w:szCs w:val="21"/>
                  </w:rPr>
                  <w:t>10</w:t>
                </w:r>
                <w:r>
                  <w:rPr>
                    <w:rFonts w:ascii="Times New Roman" w:cs="Times New Roman" w:hAnsiTheme="minorEastAsia" w:eastAsiaTheme="minorEastAsia"/>
                    <w:szCs w:val="21"/>
                  </w:rPr>
                  <w:t>月</w:t>
                </w:r>
                <w:r>
                  <w:rPr>
                    <w:rFonts w:ascii="Times New Roman" w:hAnsi="Times New Roman" w:cs="Times New Roman" w:eastAsiaTheme="minorEastAsia"/>
                    <w:szCs w:val="21"/>
                  </w:rPr>
                  <w:t>15</w:t>
                </w:r>
                <w:r>
                  <w:rPr>
                    <w:rFonts w:ascii="Times New Roman" w:cs="Times New Roman" w:hAnsiTheme="minorEastAsia" w:eastAsiaTheme="minorEastAsia"/>
                    <w:szCs w:val="21"/>
                  </w:rPr>
                  <w:t>日将注册地址由</w:t>
                </w:r>
                <w:r>
                  <w:rPr>
                    <w:rFonts w:ascii="Times New Roman" w:hAnsi="Times New Roman" w:cs="Times New Roman" w:eastAsiaTheme="minorEastAsia"/>
                    <w:szCs w:val="21"/>
                  </w:rPr>
                  <w:t>“</w:t>
                </w:r>
                <w:r>
                  <w:rPr>
                    <w:rFonts w:ascii="Times New Roman" w:cs="Times New Roman" w:hAnsiTheme="minorEastAsia" w:eastAsiaTheme="minorEastAsia"/>
                    <w:szCs w:val="21"/>
                  </w:rPr>
                  <w:t>广西柳州市柳北区长风路</w:t>
                </w:r>
                <w:r>
                  <w:rPr>
                    <w:rFonts w:ascii="Times New Roman" w:hAnsi="Times New Roman" w:cs="Times New Roman" w:eastAsiaTheme="minorEastAsia"/>
                    <w:szCs w:val="21"/>
                  </w:rPr>
                  <w:t>2</w:t>
                </w:r>
                <w:r>
                  <w:rPr>
                    <w:rFonts w:ascii="Times New Roman" w:cs="Times New Roman" w:hAnsiTheme="minorEastAsia" w:eastAsiaTheme="minorEastAsia"/>
                    <w:szCs w:val="21"/>
                  </w:rPr>
                  <w:t>号</w:t>
                </w:r>
                <w:r>
                  <w:rPr>
                    <w:rFonts w:ascii="Times New Roman" w:hAnsi="Times New Roman" w:cs="Times New Roman" w:eastAsiaTheme="minorEastAsia"/>
                    <w:szCs w:val="21"/>
                  </w:rPr>
                  <w:t>”</w:t>
                </w:r>
                <w:r>
                  <w:rPr>
                    <w:rFonts w:ascii="Times New Roman" w:cs="Times New Roman" w:hAnsiTheme="minorEastAsia" w:eastAsiaTheme="minorEastAsia"/>
                    <w:szCs w:val="21"/>
                  </w:rPr>
                  <w:t>变更为</w:t>
                </w:r>
                <w:r>
                  <w:rPr>
                    <w:rFonts w:ascii="Times New Roman" w:hAnsi="Times New Roman" w:cs="Times New Roman" w:eastAsiaTheme="minorEastAsia"/>
                    <w:szCs w:val="21"/>
                  </w:rPr>
                  <w:t>“</w:t>
                </w:r>
                <w:r>
                  <w:rPr>
                    <w:rFonts w:ascii="Times New Roman" w:cs="Times New Roman" w:hAnsiTheme="minorEastAsia" w:eastAsiaTheme="minorEastAsia"/>
                    <w:szCs w:val="21"/>
                  </w:rPr>
                  <w:t>广西柳州市东环大道</w:t>
                </w:r>
                <w:r>
                  <w:rPr>
                    <w:rFonts w:ascii="Times New Roman" w:hAnsi="Times New Roman" w:cs="Times New Roman" w:eastAsiaTheme="minorEastAsia"/>
                    <w:szCs w:val="21"/>
                  </w:rPr>
                  <w:t>282</w:t>
                </w:r>
                <w:r>
                  <w:rPr>
                    <w:rFonts w:ascii="Times New Roman" w:cs="Times New Roman" w:hAnsiTheme="minorEastAsia" w:eastAsiaTheme="minorEastAsia"/>
                    <w:szCs w:val="21"/>
                  </w:rPr>
                  <w:t>号</w:t>
                </w:r>
                <w:r>
                  <w:rPr>
                    <w:rFonts w:ascii="Times New Roman" w:hAnsi="Times New Roman" w:cs="Times New Roman" w:eastAsiaTheme="minorEastAsia"/>
                    <w:szCs w:val="21"/>
                  </w:rPr>
                  <w:t>”</w:t>
                </w:r>
                <w:r>
                  <w:rPr>
                    <w:rFonts w:ascii="Times New Roman" w:cs="Times New Roman" w:hAnsiTheme="minorEastAsia" w:eastAsiaTheme="minorEastAsia"/>
                    <w:szCs w:val="21"/>
                  </w:rPr>
                  <w:t>，详见</w:t>
                </w:r>
                <w:r>
                  <w:rPr>
                    <w:rFonts w:hint="eastAsia" w:ascii="Times New Roman" w:cs="Times New Roman" w:hAnsiTheme="minorEastAsia" w:eastAsiaTheme="minorEastAsia"/>
                    <w:szCs w:val="21"/>
                  </w:rPr>
                  <w:t>公告</w:t>
                </w:r>
                <w:r>
                  <w:rPr>
                    <w:rFonts w:hint="eastAsia" w:ascii="Times New Roman" w:cs="Times New Roman" w:hAnsiTheme="minorEastAsia" w:eastAsiaTheme="minorEastAsia"/>
                    <w:szCs w:val="21"/>
                    <w:highlight w:val="none"/>
                  </w:rPr>
                  <w:t>临2</w:t>
                </w:r>
                <w:r>
                  <w:rPr>
                    <w:rFonts w:ascii="Times New Roman" w:hAnsi="Times New Roman" w:cs="Times New Roman" w:eastAsiaTheme="minorEastAsia"/>
                    <w:szCs w:val="21"/>
                    <w:highlight w:val="none"/>
                  </w:rPr>
                  <w:t>015-038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eastAsiaTheme="minorEastAsia"/>
                </w:rPr>
                <w:tag w:val="_PLD_c5cbfe8381724c20914d7847d169547b"/>
                <w:id w:val="865722045"/>
                <w:lock w:val="sdtLocked"/>
              </w:sdtPr>
              <w:sdtEndPr>
                <w:rPr>
                  <w:rFonts w:ascii="Times New Roman" w:hAnsi="Times New Roman" w:cs="Times New Roman" w:eastAsiaTheme="minorEastAsia"/>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cs="Times New Roman" w:hAnsiTheme="minorEastAsia" w:eastAsiaTheme="minorEastAsia"/>
                        <w:szCs w:val="21"/>
                      </w:rPr>
                      <w:t>公司办公地址</w:t>
                    </w:r>
                  </w:p>
                </w:tc>
              </w:sdtContent>
            </w:sd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cs="Times New Roman" w:hAnsiTheme="minorEastAsia" w:eastAsiaTheme="minorEastAsia"/>
                  </w:rPr>
                  <w:t>广西柳州市东环大道</w:t>
                </w:r>
                <w:r>
                  <w:rPr>
                    <w:rFonts w:ascii="Times New Roman" w:hAnsi="Times New Roman" w:cs="Times New Roman" w:eastAsiaTheme="minorEastAsia"/>
                  </w:rPr>
                  <w:t>282</w:t>
                </w:r>
                <w:r>
                  <w:rPr>
                    <w:rFonts w:ascii="Times New Roman" w:cs="Times New Roman" w:hAnsiTheme="minorEastAsia" w:eastAsiaTheme="minorEastAsia"/>
                  </w:rPr>
                  <w:t>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eastAsiaTheme="minorEastAsia"/>
                </w:rPr>
                <w:tag w:val="_PLD_c0f9f2f044124800b7edc314d8f4bf39"/>
                <w:id w:val="865722046"/>
                <w:lock w:val="sdtLocked"/>
              </w:sdtPr>
              <w:sdtEndPr>
                <w:rPr>
                  <w:rFonts w:ascii="Times New Roman" w:hAnsi="Times New Roman" w:cs="Times New Roman" w:eastAsiaTheme="minorEastAsia"/>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cs="Times New Roman" w:hAnsiTheme="minorEastAsia" w:eastAsiaTheme="minorEastAsia"/>
                        <w:szCs w:val="21"/>
                      </w:rPr>
                      <w:t>公司办公地址的邮政编码</w:t>
                    </w:r>
                  </w:p>
                </w:tc>
              </w:sdtContent>
            </w:sd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hAnsi="Times New Roman" w:cs="Times New Roman" w:eastAsiaTheme="minorEastAsia"/>
                  </w:rPr>
                  <w:t>545006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eastAsiaTheme="minorEastAsia"/>
                </w:rPr>
                <w:tag w:val="_PLD_33c5fab8bd79464e94b1e64f18ac73f7"/>
                <w:id w:val="865722047"/>
                <w:lock w:val="sdtLocked"/>
              </w:sdtPr>
              <w:sdtEndPr>
                <w:rPr>
                  <w:rFonts w:ascii="Times New Roman" w:hAnsi="Times New Roman" w:cs="Times New Roman" w:eastAsiaTheme="minorEastAsia"/>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cs="Times New Roman" w:hAnsiTheme="minorEastAsia" w:eastAsiaTheme="minorEastAsia"/>
                        <w:szCs w:val="21"/>
                      </w:rPr>
                      <w:t>公司网址</w:t>
                    </w:r>
                  </w:p>
                </w:tc>
              </w:sdtContent>
            </w:sd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hAnsi="Times New Roman" w:cs="Times New Roman" w:eastAsiaTheme="minorEastAsia"/>
                  </w:rPr>
                  <w:t>www.lmz.com.cn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eastAsiaTheme="minorEastAsia"/>
                </w:rPr>
                <w:tag w:val="_PLD_ea428593a2c548b2b1d58ce3789bf356"/>
                <w:id w:val="865722048"/>
                <w:lock w:val="sdtLocked"/>
              </w:sdtPr>
              <w:sdtEndPr>
                <w:rPr>
                  <w:rFonts w:ascii="Times New Roman" w:hAnsi="Times New Roman" w:cs="Times New Roman" w:eastAsiaTheme="minorEastAsia"/>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cs="Times New Roman" w:hAnsiTheme="minorEastAsia" w:eastAsiaTheme="minorEastAsia"/>
                        <w:szCs w:val="21"/>
                      </w:rPr>
                      <w:t>电子信箱</w:t>
                    </w:r>
                  </w:p>
                </w:tc>
              </w:sdtContent>
            </w:sdt>
            <w:tc>
              <w:tcPr>
                <w:tcW w:w="2831"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eastAsiaTheme="minorEastAsia"/>
                    <w:szCs w:val="21"/>
                  </w:rPr>
                </w:pPr>
                <w:r>
                  <w:rPr>
                    <w:rFonts w:ascii="Times New Roman" w:hAnsi="Times New Roman" w:cs="Times New Roman" w:eastAsiaTheme="minorEastAsia"/>
                  </w:rPr>
                  <w:t>lmzstock@lmz.com.cn</w:t>
                </w:r>
              </w:p>
            </w:tc>
          </w:tr>
        </w:tbl>
        <w:p/>
        <w:p/>
      </w:sdtContent>
    </w:sdt>
    <w:sdt>
      <w:sdtPr>
        <w:rPr>
          <w:rFonts w:ascii="宋体" w:hAnsi="宋体" w:cs="宋体"/>
          <w:b w:val="0"/>
          <w:bCs w:val="0"/>
          <w:kern w:val="0"/>
          <w:szCs w:val="24"/>
        </w:rPr>
        <w:alias w:val="模块:信息披露及备置地点变更情况简介"/>
        <w:tag w:val="_SEC_0df805cd09bf439989b9eac11c342a74"/>
        <w:id w:val="865722054"/>
        <w:lock w:val="sdtLocked"/>
        <w:placeholder>
          <w:docPart w:val="GBC22222222222222222222222222222"/>
        </w:placeholder>
      </w:sdtPr>
      <w:sdtEndPr>
        <w:rPr>
          <w:rFonts w:ascii="宋体" w:hAnsi="宋体" w:cs="宋体"/>
          <w:b w:val="0"/>
          <w:bCs w:val="0"/>
          <w:kern w:val="0"/>
          <w:szCs w:val="24"/>
        </w:rPr>
      </w:sdtEndPr>
      <w:sdtContent>
        <w:p>
          <w:pPr>
            <w:pStyle w:val="3"/>
            <w:numPr>
              <w:ilvl w:val="1"/>
              <w:numId w:val="4"/>
            </w:numPr>
            <w:ind w:left="496" w:hanging="495" w:hangingChars="236"/>
            <w:rPr>
              <w:rFonts w:ascii="宋体" w:hAnsi="宋体"/>
            </w:rPr>
          </w:pPr>
          <w:r>
            <w:t>信息披露及备置地点</w:t>
          </w:r>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4141"/>
            <w:gridCol w:w="47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rPr>
                <w:tag w:val="_PLD_bbba55a3ebda46da946a09caf15c63b6"/>
                <w:id w:val="865722050"/>
                <w:lock w:val="sdtLocked"/>
              </w:sdtPr>
              <w:sdtEndPr>
                <w:rPr>
                  <w:rFonts w:ascii="Times New Roman" w:hAnsi="Times New Roman" w:cs="Times New Roman"/>
                </w:rPr>
              </w:sdtEndPr>
              <w:sdtContent>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公司披露年度报告的媒体名称及网址</w:t>
                    </w:r>
                  </w:p>
                </w:tc>
              </w:sdtContent>
            </w:sdt>
            <w:tc>
              <w:tcPr>
                <w:tcW w:w="2672"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szCs w:val="21"/>
                  </w:rPr>
                </w:pPr>
                <w:sdt>
                  <w:sdtPr>
                    <w:rPr>
                      <w:rFonts w:ascii="Times New Roman" w:hAnsi="Times New Roman" w:cs="Times New Roman"/>
                      <w:kern w:val="2"/>
                      <w:szCs w:val="21"/>
                    </w:rPr>
                    <w:alias w:val="公司选定的信息披露报纸名称"/>
                    <w:tag w:val="_GBC_001b00e5e370415c93177612f89840ec"/>
                    <w:id w:val="865722051"/>
                    <w:lock w:val="sdtLocked"/>
                  </w:sdtPr>
                  <w:sdtEndPr>
                    <w:rPr>
                      <w:rFonts w:ascii="Times New Roman" w:hAnsi="Times New Roman" w:cs="Times New Roman"/>
                      <w:kern w:val="2"/>
                      <w:szCs w:val="21"/>
                    </w:rPr>
                  </w:sdtEndPr>
                  <w:sdtContent>
                    <w:r>
                      <w:rPr>
                        <w:rFonts w:ascii="Times New Roman" w:cs="Times New Roman"/>
                      </w:rPr>
                      <w:t>《中国证券报》《上海证券报》</w:t>
                    </w:r>
                  </w:sdtContent>
                </w:sdt>
                <w:r>
                  <w:rPr>
                    <w:rFonts w:hint="eastAsia" w:ascii="Times New Roman" w:hAnsi="Times New Roman" w:cs="Times New Roman"/>
                    <w:kern w:val="2"/>
                    <w:szCs w:val="21"/>
                  </w:rPr>
                  <w:t>《证券日报》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93" w:hRule="atLeast"/>
            </w:trPr>
            <w:sdt>
              <w:sdtPr>
                <w:rPr>
                  <w:rFonts w:ascii="Times New Roman" w:hAnsi="Times New Roman" w:cs="Times New Roman"/>
                </w:rPr>
                <w:tag w:val="_PLD_31f320acb6ad4f508259e25ef7cbc0f5"/>
                <w:id w:val="865722052"/>
                <w:lock w:val="sdtLocked"/>
              </w:sdtPr>
              <w:sdtEndPr>
                <w:rPr>
                  <w:rFonts w:ascii="Times New Roman" w:hAnsi="Times New Roman" w:cs="Times New Roman"/>
                </w:rPr>
              </w:sdtEndPr>
              <w:sdtContent>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公司披露年度报告的证券交易所网址</w:t>
                    </w:r>
                  </w:p>
                </w:tc>
              </w:sdtContent>
            </w:sdt>
            <w:tc>
              <w:tcPr>
                <w:tcW w:w="2672"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hAnsi="Times New Roman" w:cs="Times New Roman"/>
                    <w:szCs w:val="21"/>
                  </w:rPr>
                  <w:t>www.sse.com.cn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rPr>
                <w:tag w:val="_PLD_50e24717ca4f4b96aa76957c34f09561"/>
                <w:id w:val="865722053"/>
                <w:lock w:val="sdtLocked"/>
              </w:sdtPr>
              <w:sdtEndPr>
                <w:rPr>
                  <w:rFonts w:ascii="Times New Roman" w:hAnsi="Times New Roman" w:cs="Times New Roman"/>
                </w:rPr>
              </w:sdtEndPr>
              <w:sdtContent>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公司年度报告备置地点</w:t>
                    </w:r>
                  </w:p>
                </w:tc>
              </w:sdtContent>
            </w:sdt>
            <w:tc>
              <w:tcPr>
                <w:tcW w:w="2672"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jc w:val="both"/>
                  <w:rPr>
                    <w:rFonts w:ascii="Times New Roman" w:hAnsi="Times New Roman" w:cs="Times New Roman"/>
                    <w:szCs w:val="21"/>
                  </w:rPr>
                </w:pPr>
                <w:r>
                  <w:rPr>
                    <w:rFonts w:ascii="Times New Roman" w:cs="Times New Roman"/>
                    <w:szCs w:val="21"/>
                  </w:rPr>
                  <w:t>本公司董事会办公室</w:t>
                </w:r>
              </w:p>
            </w:tc>
          </w:tr>
        </w:tbl>
        <w:p/>
      </w:sdtContent>
    </w:sdt>
    <w:sdt>
      <w:sdtPr>
        <w:rPr>
          <w:rFonts w:hint="eastAsia" w:ascii="Calibri" w:hAnsi="Calibri" w:cs="宋体"/>
          <w:b w:val="0"/>
          <w:bCs w:val="0"/>
          <w:kern w:val="0"/>
          <w:sz w:val="24"/>
          <w:szCs w:val="22"/>
        </w:rPr>
        <w:alias w:val="模块:公司股票简况"/>
        <w:tag w:val="_SEC_58c4b7a4d9a845aea87791adfb6845e7"/>
        <w:id w:val="865722062"/>
        <w:lock w:val="sdtLocked"/>
        <w:placeholder>
          <w:docPart w:val="GBC22222222222222222222222222222"/>
        </w:placeholder>
      </w:sdtPr>
      <w:sdtEndPr>
        <w:rPr>
          <w:rFonts w:hint="eastAsia" w:ascii="宋体" w:hAnsi="宋体" w:cs="宋体"/>
          <w:b w:val="0"/>
          <w:bCs w:val="0"/>
          <w:color w:val="0070C0"/>
          <w:kern w:val="0"/>
          <w:sz w:val="21"/>
          <w:szCs w:val="24"/>
        </w:rPr>
      </w:sdtEndPr>
      <w:sdtContent>
        <w:p>
          <w:pPr>
            <w:pStyle w:val="3"/>
            <w:numPr>
              <w:ilvl w:val="1"/>
              <w:numId w:val="4"/>
            </w:numPr>
            <w:ind w:left="566" w:hanging="566" w:hangingChars="236"/>
          </w:pPr>
          <w:bookmarkStart w:id="17" w:name="_Toc342051045"/>
          <w:bookmarkStart w:id="18" w:name="_Toc342565885"/>
          <w:r>
            <w:rPr>
              <w:rFonts w:hint="eastAsia"/>
            </w:rPr>
            <w:t>公司股票简况</w:t>
          </w:r>
          <w:bookmarkEnd w:id="17"/>
          <w:bookmarkEnd w:id="18"/>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778"/>
            <w:gridCol w:w="1778"/>
            <w:gridCol w:w="1779"/>
            <w:gridCol w:w="1779"/>
            <w:gridCol w:w="17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rPr>
                <w:tag w:val="_PLD_71e874b79d5946dfbee802d1ebcf10a8"/>
                <w:id w:val="865722055"/>
                <w:lock w:val="sdtLocked"/>
              </w:sdtPr>
              <w:sdtEndPr>
                <w:rPr>
                  <w:rFonts w:ascii="Times New Roman" w:hAnsi="Times New Roman" w:cs="Times New Roman"/>
                </w:rPr>
              </w:sdtEndPr>
              <w:sdtContent>
                <w:tc>
                  <w:tcPr>
                    <w:tcW w:w="5000" w:type="pct"/>
                    <w:gridSpan w:val="5"/>
                    <w:tcBorders>
                      <w:top w:val="single" w:color="auto" w:sz="4" w:space="0"/>
                      <w:bottom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szCs w:val="21"/>
                      </w:rPr>
                      <w:t>公司股票简况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imes New Roman" w:hAnsi="Times New Roman" w:cs="Times New Roman"/>
                </w:rPr>
                <w:tag w:val="_PLD_8c7d8e96d5f4491aa9e7c3c601503603"/>
                <w:id w:val="865722056"/>
                <w:lock w:val="sdtLocked"/>
              </w:sdtPr>
              <w:sdtEndPr>
                <w:rPr>
                  <w:rFonts w:ascii="Times New Roman" w:hAnsi="Times New Roman" w:cs="Times New Roman"/>
                </w:rPr>
              </w:sdtEndPr>
              <w:sdtContent>
                <w:tc>
                  <w:tcPr>
                    <w:tcW w:w="1000"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szCs w:val="21"/>
                      </w:rPr>
                      <w:t>股票种类</w:t>
                    </w:r>
                  </w:p>
                </w:tc>
              </w:sdtContent>
            </w:sdt>
            <w:sdt>
              <w:sdtPr>
                <w:rPr>
                  <w:rFonts w:ascii="Times New Roman" w:hAnsi="Times New Roman" w:cs="Times New Roman"/>
                </w:rPr>
                <w:tag w:val="_PLD_b56a72f5279041b38925f5228f2089f6"/>
                <w:id w:val="865722057"/>
                <w:lock w:val="sdtLocked"/>
              </w:sdtPr>
              <w:sdtEndPr>
                <w:rPr>
                  <w:rFonts w:ascii="Times New Roman" w:hAnsi="Times New Roman" w:cs="Times New Roman"/>
                </w:rPr>
              </w:sdtEndPr>
              <w:sdtContent>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szCs w:val="21"/>
                      </w:rPr>
                      <w:t>股票上市交易所</w:t>
                    </w:r>
                  </w:p>
                </w:tc>
              </w:sdtContent>
            </w:sdt>
            <w:sdt>
              <w:sdtPr>
                <w:rPr>
                  <w:rFonts w:ascii="Times New Roman" w:hAnsi="Times New Roman" w:cs="Times New Roman"/>
                </w:rPr>
                <w:tag w:val="_PLD_6dd4e584e21c4367b3dfe6f7f5c64696"/>
                <w:id w:val="865722058"/>
                <w:lock w:val="sdtLocked"/>
              </w:sdtPr>
              <w:sdtEndPr>
                <w:rPr>
                  <w:rFonts w:ascii="Times New Roman" w:hAnsi="Times New Roman" w:cs="Times New Roman"/>
                </w:rPr>
              </w:sdtEndPr>
              <w:sdtContent>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szCs w:val="21"/>
                      </w:rPr>
                      <w:t>股票简称</w:t>
                    </w:r>
                  </w:p>
                </w:tc>
              </w:sdtContent>
            </w:sdt>
            <w:sdt>
              <w:sdtPr>
                <w:rPr>
                  <w:rFonts w:ascii="Times New Roman" w:hAnsi="Times New Roman" w:cs="Times New Roman"/>
                </w:rPr>
                <w:tag w:val="_PLD_e6f819a9bdc4409c94aa103da8c19dc3"/>
                <w:id w:val="865722059"/>
                <w:lock w:val="sdtLocked"/>
              </w:sdtPr>
              <w:sdtEndPr>
                <w:rPr>
                  <w:rFonts w:ascii="Times New Roman" w:hAnsi="Times New Roman" w:cs="Times New Roman"/>
                </w:rPr>
              </w:sdtEndPr>
              <w:sdtContent>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szCs w:val="21"/>
                      </w:rPr>
                      <w:t>股票代码</w:t>
                    </w:r>
                  </w:p>
                </w:tc>
              </w:sdtContent>
            </w:sdt>
            <w:sdt>
              <w:sdtPr>
                <w:rPr>
                  <w:rFonts w:ascii="Times New Roman" w:hAnsi="Times New Roman" w:cs="Times New Roman"/>
                </w:rPr>
                <w:tag w:val="_PLD_ca5cfb3ed3b74ffa856f651b379dc207"/>
                <w:id w:val="865722060"/>
                <w:lock w:val="sdtLocked"/>
              </w:sdtPr>
              <w:sdtEndPr>
                <w:rPr>
                  <w:rFonts w:ascii="Times New Roman" w:hAnsi="Times New Roman" w:cs="Times New Roman"/>
                </w:rPr>
              </w:sdtEndPr>
              <w:sdtContent>
                <w:tc>
                  <w:tcPr>
                    <w:tcW w:w="1000" w:type="pct"/>
                    <w:tcBorders>
                      <w:top w:val="single" w:color="auto" w:sz="4" w:space="0"/>
                      <w:left w:val="single" w:color="auto" w:sz="4" w:space="0"/>
                      <w:bottom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szCs w:val="21"/>
                      </w:rPr>
                      <w:t>变更前股票简称</w:t>
                    </w:r>
                  </w:p>
                </w:tc>
              </w:sdtContent>
            </w:sdt>
          </w:tr>
          <w:sdt>
            <w:sdtPr>
              <w:rPr>
                <w:rFonts w:ascii="Times New Roman" w:hAnsi="Times New Roman" w:cs="Times New Roman"/>
                <w:szCs w:val="21"/>
              </w:rPr>
              <w:alias w:val="公司其他股票简况"/>
              <w:tag w:val="_TUP_e5d457081246497986b9ceb7d695398e"/>
              <w:id w:val="86572206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000"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rPr>
                      <w:t>A</w:t>
                    </w:r>
                    <w:r>
                      <w:rPr>
                        <w:rFonts w:ascii="Times New Roman" w:cs="Times New Roman"/>
                      </w:rPr>
                      <w:t>股</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rPr>
                      <w:t>上海证券交易所</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rPr>
                      <w:t>两面针</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rPr>
                      <w:t>600249</w:t>
                    </w:r>
                  </w:p>
                </w:tc>
                <w:tc>
                  <w:tcPr>
                    <w:tcW w:w="1000" w:type="pct"/>
                    <w:tcBorders>
                      <w:top w:val="single" w:color="auto" w:sz="4" w:space="0"/>
                      <w:left w:val="single" w:color="auto" w:sz="4" w:space="0"/>
                      <w:bottom w:val="single" w:color="auto" w:sz="4" w:space="0"/>
                    </w:tcBorders>
                    <w:shd w:val="clear" w:color="auto" w:fill="auto"/>
                    <w:vAlign w:val="center"/>
                  </w:tcPr>
                  <w:p>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rPr>
                      <w:t>/</w:t>
                    </w:r>
                  </w:p>
                </w:tc>
              </w:tr>
            </w:sdtContent>
          </w:sdt>
        </w:tbl>
        <w:p/>
        <w:p>
          <w:pPr>
            <w:rPr>
              <w:color w:val="0070C0"/>
            </w:rPr>
          </w:pPr>
        </w:p>
      </w:sdtContent>
    </w:sdt>
    <w:sdt>
      <w:sdtPr>
        <w:rPr>
          <w:rFonts w:ascii="宋体" w:hAnsi="宋体" w:cs="宋体"/>
          <w:b w:val="0"/>
          <w:bCs w:val="0"/>
          <w:kern w:val="0"/>
          <w:szCs w:val="24"/>
        </w:rPr>
        <w:alias w:val="模块:其他有关资料"/>
        <w:tag w:val="_SEC_003e0cedcbeb43af9103dfb4bc32cd9f"/>
        <w:id w:val="865722082"/>
        <w:lock w:val="sdtLocked"/>
        <w:placeholder>
          <w:docPart w:val="GBC22222222222222222222222222222"/>
        </w:placeholder>
      </w:sdtPr>
      <w:sdtEndPr>
        <w:rPr>
          <w:rFonts w:ascii="宋体" w:hAnsi="宋体" w:cs="宋体"/>
          <w:b w:val="0"/>
          <w:bCs w:val="0"/>
          <w:kern w:val="0"/>
          <w:szCs w:val="24"/>
        </w:rPr>
      </w:sdtEndPr>
      <w:sdtContent>
        <w:p>
          <w:pPr>
            <w:pStyle w:val="3"/>
            <w:numPr>
              <w:ilvl w:val="1"/>
              <w:numId w:val="4"/>
            </w:numPr>
            <w:ind w:left="496" w:hanging="495" w:hangingChars="236"/>
          </w:pPr>
          <w:r>
            <w:t>其他</w:t>
          </w:r>
          <w:r>
            <w:rPr>
              <w:rFonts w:hint="eastAsia"/>
            </w:rPr>
            <w:t>相</w:t>
          </w:r>
          <w:r>
            <w:t>关资料</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1701"/>
            <w:gridCol w:w="4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trPr>
            <w:sdt>
              <w:sdtPr>
                <w:rPr>
                  <w:rFonts w:ascii="Times New Roman" w:hAnsi="Times New Roman"/>
                  <w:szCs w:val="21"/>
                </w:rPr>
                <w:tag w:val="_PLD_e6bf57c678134e2ab9f21f313ee3de3c"/>
                <w:id w:val="865722063"/>
                <w:lock w:val="sdtLocked"/>
              </w:sdtPr>
              <w:sdtEndPr>
                <w:rPr>
                  <w:rFonts w:ascii="Times New Roman" w:hAnsi="Times New Roman"/>
                  <w:szCs w:val="21"/>
                </w:rPr>
              </w:sdtEndPr>
              <w:sdtContent>
                <w:tc>
                  <w:tcPr>
                    <w:tcW w:w="1783" w:type="pct"/>
                    <w:vMerge w:val="restart"/>
                    <w:vAlign w:val="center"/>
                  </w:tcPr>
                  <w:p>
                    <w:pPr>
                      <w:widowControl w:val="0"/>
                      <w:jc w:val="both"/>
                      <w:rPr>
                        <w:rFonts w:eastAsiaTheme="minorEastAsia"/>
                        <w:szCs w:val="21"/>
                      </w:rPr>
                    </w:pPr>
                    <w:r>
                      <w:rPr>
                        <w:rFonts w:hAnsiTheme="minorEastAsia" w:eastAsiaTheme="minorEastAsia"/>
                        <w:szCs w:val="21"/>
                      </w:rPr>
                      <w:t>公司聘请的会计师事务所（境内）</w:t>
                    </w:r>
                  </w:p>
                </w:tc>
              </w:sdtContent>
            </w:sdt>
            <w:sdt>
              <w:sdtPr>
                <w:rPr>
                  <w:rFonts w:ascii="Times New Roman" w:hAnsi="Times New Roman"/>
                  <w:szCs w:val="21"/>
                </w:rPr>
                <w:tag w:val="_PLD_8ca47cc04c324c599365d04f46dbfb0f"/>
                <w:id w:val="865722064"/>
                <w:lock w:val="sdtLocked"/>
              </w:sdtPr>
              <w:sdtEndPr>
                <w:rPr>
                  <w:rFonts w:ascii="Times New Roman" w:hAnsi="Times New Roman"/>
                  <w:szCs w:val="21"/>
                </w:rPr>
              </w:sdtEndPr>
              <w:sdtContent>
                <w:tc>
                  <w:tcPr>
                    <w:tcW w:w="940" w:type="pct"/>
                    <w:vAlign w:val="center"/>
                  </w:tcPr>
                  <w:p>
                    <w:pPr>
                      <w:widowControl w:val="0"/>
                      <w:jc w:val="both"/>
                      <w:rPr>
                        <w:rFonts w:eastAsiaTheme="minorEastAsia"/>
                        <w:szCs w:val="21"/>
                      </w:rPr>
                    </w:pPr>
                    <w:r>
                      <w:rPr>
                        <w:rFonts w:hAnsiTheme="minorEastAsia" w:eastAsiaTheme="minorEastAsia"/>
                        <w:szCs w:val="21"/>
                      </w:rPr>
                      <w:t>名称</w:t>
                    </w:r>
                  </w:p>
                </w:tc>
              </w:sdtContent>
            </w:sdt>
            <w:sdt>
              <w:sdtPr>
                <w:rPr>
                  <w:rFonts w:ascii="Times New Roman" w:hAnsi="Times New Roman"/>
                  <w:szCs w:val="21"/>
                </w:rPr>
                <w:alias w:val="公司聘请的境内会计师事务所明细-名称"/>
                <w:tag w:val="_GBC_5e101497eaf44ba79cb610647f4aa3d5"/>
                <w:id w:val="865722065"/>
                <w:lock w:val="sdtLocked"/>
              </w:sdtPr>
              <w:sdtEndPr>
                <w:rPr>
                  <w:rFonts w:ascii="Times New Roman" w:hAnsi="Times New Roman"/>
                  <w:szCs w:val="21"/>
                </w:rPr>
              </w:sdtEndPr>
              <w:sdtContent>
                <w:tc>
                  <w:tcPr>
                    <w:tcW w:w="2277" w:type="pct"/>
                    <w:vAlign w:val="center"/>
                  </w:tcPr>
                  <w:p>
                    <w:pPr>
                      <w:widowControl w:val="0"/>
                      <w:jc w:val="both"/>
                      <w:rPr>
                        <w:rFonts w:eastAsiaTheme="minorEastAsia"/>
                        <w:szCs w:val="21"/>
                      </w:rPr>
                    </w:pPr>
                    <w:r>
                      <w:rPr>
                        <w:rFonts w:hAnsiTheme="minorEastAsia" w:eastAsiaTheme="minorEastAsia"/>
                        <w:szCs w:val="21"/>
                      </w:rPr>
                      <w:t>永拓会计师事务所（特殊普通合伙）</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3" w:type="pct"/>
                <w:vMerge w:val="continue"/>
                <w:vAlign w:val="center"/>
              </w:tcPr>
              <w:p>
                <w:pPr>
                  <w:widowControl w:val="0"/>
                  <w:jc w:val="both"/>
                  <w:rPr>
                    <w:rFonts w:eastAsiaTheme="minorEastAsia"/>
                    <w:szCs w:val="21"/>
                  </w:rPr>
                </w:pPr>
              </w:p>
            </w:tc>
            <w:sdt>
              <w:sdtPr>
                <w:rPr>
                  <w:rFonts w:ascii="Times New Roman" w:hAnsi="Times New Roman"/>
                  <w:szCs w:val="21"/>
                </w:rPr>
                <w:tag w:val="_PLD_d81c8b501e6d407989da734d8b7bd34b"/>
                <w:id w:val="865722066"/>
                <w:lock w:val="sdtLocked"/>
              </w:sdtPr>
              <w:sdtEndPr>
                <w:rPr>
                  <w:rFonts w:ascii="Times New Roman" w:hAnsi="Times New Roman"/>
                  <w:szCs w:val="21"/>
                </w:rPr>
              </w:sdtEndPr>
              <w:sdtContent>
                <w:tc>
                  <w:tcPr>
                    <w:tcW w:w="940" w:type="pct"/>
                    <w:vAlign w:val="center"/>
                  </w:tcPr>
                  <w:p>
                    <w:pPr>
                      <w:widowControl w:val="0"/>
                      <w:jc w:val="both"/>
                      <w:rPr>
                        <w:rFonts w:eastAsiaTheme="minorEastAsia"/>
                        <w:szCs w:val="21"/>
                      </w:rPr>
                    </w:pPr>
                    <w:r>
                      <w:rPr>
                        <w:rFonts w:hAnsiTheme="minorEastAsia" w:eastAsiaTheme="minorEastAsia"/>
                        <w:szCs w:val="21"/>
                      </w:rPr>
                      <w:t>办公地址</w:t>
                    </w:r>
                  </w:p>
                </w:tc>
              </w:sdtContent>
            </w:sdt>
            <w:tc>
              <w:tcPr>
                <w:tcW w:w="2277" w:type="pct"/>
                <w:vAlign w:val="center"/>
              </w:tcPr>
              <w:p>
                <w:pPr>
                  <w:widowControl w:val="0"/>
                  <w:jc w:val="both"/>
                  <w:rPr>
                    <w:rFonts w:eastAsiaTheme="minorEastAsia"/>
                    <w:szCs w:val="21"/>
                  </w:rPr>
                </w:pPr>
                <w:r>
                  <w:rPr>
                    <w:rFonts w:hAnsiTheme="minorEastAsia" w:eastAsiaTheme="minorEastAsia"/>
                    <w:szCs w:val="21"/>
                  </w:rPr>
                  <w:t>北京市朝阳区关东店北</w:t>
                </w:r>
                <w:r>
                  <w:rPr>
                    <w:rFonts w:ascii="Times New Roman" w:cs="Times New Roman" w:hAnsiTheme="minorEastAsia" w:eastAsiaTheme="minorEastAsia"/>
                    <w:szCs w:val="21"/>
                  </w:rPr>
                  <w:t>街</w:t>
                </w:r>
                <w:r>
                  <w:rPr>
                    <w:rFonts w:ascii="Times New Roman" w:hAnsi="Times New Roman" w:cs="Times New Roman" w:eastAsiaTheme="minorEastAsia"/>
                    <w:szCs w:val="21"/>
                  </w:rPr>
                  <w:t>1</w:t>
                </w:r>
                <w:r>
                  <w:rPr>
                    <w:rFonts w:ascii="Times New Roman" w:cs="Times New Roman" w:hAnsiTheme="minorEastAsia" w:eastAsiaTheme="minorEastAsia"/>
                    <w:szCs w:val="21"/>
                  </w:rPr>
                  <w:t>号</w:t>
                </w:r>
                <w:r>
                  <w:rPr>
                    <w:rFonts w:ascii="Times New Roman" w:hAnsi="Times New Roman" w:cs="Times New Roman" w:eastAsiaTheme="minorEastAsia"/>
                    <w:szCs w:val="21"/>
                  </w:rPr>
                  <w:t>2</w:t>
                </w:r>
                <w:r>
                  <w:rPr>
                    <w:rFonts w:ascii="Times New Roman" w:cs="Times New Roman" w:hAnsiTheme="minorEastAsia" w:eastAsiaTheme="minorEastAsia"/>
                    <w:szCs w:val="21"/>
                  </w:rPr>
                  <w:t>幢</w:t>
                </w:r>
                <w:r>
                  <w:rPr>
                    <w:rFonts w:ascii="Times New Roman" w:hAnsi="Times New Roman" w:cs="Times New Roman" w:eastAsiaTheme="minorEastAsia"/>
                    <w:szCs w:val="21"/>
                  </w:rPr>
                  <w:t>13</w:t>
                </w:r>
                <w:r>
                  <w:rPr>
                    <w:rFonts w:ascii="Times New Roman" w:cs="Times New Roman" w:hAnsiTheme="minorEastAsia" w:eastAsiaTheme="minorEastAsia"/>
                    <w:szCs w:val="21"/>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783" w:type="pct"/>
                <w:vMerge w:val="continue"/>
                <w:vAlign w:val="center"/>
              </w:tcPr>
              <w:p>
                <w:pPr>
                  <w:widowControl w:val="0"/>
                  <w:jc w:val="both"/>
                  <w:rPr>
                    <w:rFonts w:eastAsiaTheme="minorEastAsia"/>
                    <w:szCs w:val="21"/>
                  </w:rPr>
                </w:pPr>
              </w:p>
            </w:tc>
            <w:sdt>
              <w:sdtPr>
                <w:rPr>
                  <w:rFonts w:ascii="Times New Roman" w:hAnsi="Times New Roman"/>
                  <w:szCs w:val="21"/>
                </w:rPr>
                <w:tag w:val="_PLD_0d7c31c02260419e806193f66b086dd8"/>
                <w:id w:val="865722067"/>
                <w:lock w:val="sdtLocked"/>
              </w:sdtPr>
              <w:sdtEndPr>
                <w:rPr>
                  <w:rFonts w:ascii="Times New Roman" w:hAnsi="Times New Roman"/>
                  <w:szCs w:val="21"/>
                </w:rPr>
              </w:sdtEndPr>
              <w:sdtContent>
                <w:tc>
                  <w:tcPr>
                    <w:tcW w:w="940" w:type="pct"/>
                    <w:vAlign w:val="center"/>
                  </w:tcPr>
                  <w:p>
                    <w:pPr>
                      <w:widowControl w:val="0"/>
                      <w:jc w:val="both"/>
                      <w:rPr>
                        <w:rFonts w:eastAsiaTheme="minorEastAsia"/>
                        <w:szCs w:val="21"/>
                      </w:rPr>
                    </w:pPr>
                    <w:r>
                      <w:rPr>
                        <w:rFonts w:hAnsiTheme="minorEastAsia" w:eastAsiaTheme="minorEastAsia"/>
                        <w:szCs w:val="21"/>
                      </w:rPr>
                      <w:t>签字会计师姓名</w:t>
                    </w:r>
                  </w:p>
                </w:tc>
              </w:sdtContent>
            </w:sdt>
            <w:tc>
              <w:tcPr>
                <w:tcW w:w="2277" w:type="pct"/>
                <w:vAlign w:val="center"/>
              </w:tcPr>
              <w:p>
                <w:pPr>
                  <w:widowControl w:val="0"/>
                  <w:jc w:val="both"/>
                  <w:rPr>
                    <w:rFonts w:eastAsiaTheme="minorEastAsia"/>
                    <w:szCs w:val="21"/>
                  </w:rPr>
                </w:pPr>
                <w:r>
                  <w:rPr>
                    <w:rFonts w:hAnsiTheme="minorEastAsia" w:eastAsiaTheme="minorEastAsia"/>
                    <w:szCs w:val="21"/>
                  </w:rPr>
                  <w:t>史绍禹、杜凤利</w:t>
                </w:r>
              </w:p>
            </w:tc>
          </w:tr>
        </w:tbl>
        <w:p/>
      </w:sdtContent>
    </w:sdt>
    <w:p>
      <w:pPr>
        <w:pStyle w:val="3"/>
        <w:numPr>
          <w:ilvl w:val="1"/>
          <w:numId w:val="4"/>
        </w:numPr>
        <w:ind w:left="498" w:hanging="498" w:hangingChars="236"/>
      </w:pPr>
      <w:bookmarkStart w:id="19" w:name="_Toc342056397"/>
      <w:bookmarkStart w:id="20" w:name="_Toc342565889"/>
      <w:r>
        <w:rPr>
          <w:rFonts w:hint="eastAsia"/>
        </w:rPr>
        <w:t>近三年主要会计数据和财务指标</w:t>
      </w:r>
      <w:bookmarkEnd w:id="19"/>
      <w:bookmarkEnd w:id="20"/>
    </w:p>
    <w:p>
      <w:pPr>
        <w:pStyle w:val="4"/>
        <w:numPr>
          <w:ilvl w:val="1"/>
          <w:numId w:val="5"/>
        </w:numPr>
      </w:pPr>
      <w:r>
        <w:rPr>
          <w:rFonts w:hint="eastAsia"/>
        </w:rPr>
        <w:t>主要会计数据</w:t>
      </w:r>
    </w:p>
    <w:p>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86572208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8657220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sdt>
      <w:sdtPr>
        <w:rPr>
          <w:rFonts w:hint="eastAsia" w:ascii="Times New Roman" w:cs="Times New Roman"/>
        </w:rPr>
        <w:alias w:val="选项模块:主要会计数据(无追溯)"/>
        <w:tag w:val="_SEC_054de9a865fc43068e5affd816d52d7b"/>
        <w:id w:val="204428019"/>
        <w:lock w:val="sdtLocked"/>
        <w:placeholder>
          <w:docPart w:val="GBC22222222222222222222222222222"/>
        </w:placeholder>
      </w:sdtPr>
      <w:sdtEndPr>
        <w:rPr>
          <w:rFonts w:hint="default" w:ascii="宋体" w:cs="宋体"/>
        </w:rPr>
      </w:sdtEndPr>
      <w:sdtConten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1687"/>
            <w:gridCol w:w="1687"/>
            <w:gridCol w:w="1372"/>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sdt>
              <w:sdtPr>
                <w:rPr>
                  <w:rFonts w:hint="eastAsia" w:ascii="Times New Roman" w:hAnsi="Times New Roman" w:cs="Times New Roman"/>
                </w:rPr>
                <w:tag w:val="_PLD_11b4c598f0e64f3480d144156bedd8c8"/>
                <w:id w:val="-1487624641"/>
                <w:lock w:val="sdtLocked"/>
              </w:sdtPr>
              <w:sdtEndPr>
                <w:rPr>
                  <w:rFonts w:hint="default" w:ascii="宋体" w:hAnsi="Times New Roman" w:cs="宋体"/>
                </w:rPr>
              </w:sdtEndPr>
              <w:sdtContent>
                <w:tc>
                  <w:tcPr>
                    <w:tcW w:w="1332" w:type="pct"/>
                    <w:vAlign w:val="center"/>
                  </w:tcPr>
                  <w:p>
                    <w:pPr>
                      <w:widowControl w:val="0"/>
                      <w:kinsoku w:val="0"/>
                      <w:overflowPunct w:val="0"/>
                      <w:autoSpaceDE w:val="0"/>
                      <w:autoSpaceDN w:val="0"/>
                      <w:adjustRightInd w:val="0"/>
                      <w:snapToGrid w:val="0"/>
                      <w:jc w:val="center"/>
                      <w:rPr>
                        <w:szCs w:val="21"/>
                      </w:rPr>
                    </w:pPr>
                    <w:r>
                      <w:rPr>
                        <w:rFonts w:hint="eastAsia"/>
                        <w:szCs w:val="21"/>
                      </w:rPr>
                      <w:t>主要会计数据</w:t>
                    </w:r>
                  </w:p>
                </w:tc>
              </w:sdtContent>
            </w:sdt>
            <w:sdt>
              <w:sdtPr>
                <w:rPr>
                  <w:rFonts w:ascii="Times New Roman" w:hAnsi="Times New Roman" w:cs="Times New Roman"/>
                </w:rPr>
                <w:tag w:val="_PLD_b13b04da4c2a41028c11512814762a3d"/>
                <w:id w:val="680091837"/>
                <w:lock w:val="sdtLocked"/>
              </w:sdtPr>
              <w:sdtEndPr>
                <w:rPr>
                  <w:rFonts w:ascii="Times New Roman" w:hAnsi="Times New Roman" w:cs="Times New Roman"/>
                </w:rPr>
              </w:sdtEndPr>
              <w:sdtContent>
                <w:tc>
                  <w:tcPr>
                    <w:tcW w:w="932"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p>
                </w:tc>
              </w:sdtContent>
            </w:sdt>
            <w:sdt>
              <w:sdtPr>
                <w:rPr>
                  <w:rFonts w:ascii="Times New Roman" w:hAnsi="Times New Roman" w:cs="Times New Roman"/>
                </w:rPr>
                <w:tag w:val="_PLD_0269ed04fa784ad3a61b37ff6ea4e755"/>
                <w:id w:val="-1872757253"/>
                <w:lock w:val="sdtLocked"/>
              </w:sdtPr>
              <w:sdtEndPr>
                <w:rPr>
                  <w:rFonts w:ascii="Times New Roman" w:hAnsi="Times New Roman" w:cs="Times New Roman"/>
                </w:rPr>
              </w:sdtEndPr>
              <w:sdtContent>
                <w:tc>
                  <w:tcPr>
                    <w:tcW w:w="932"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2020</w:t>
                    </w:r>
                    <w:r>
                      <w:rPr>
                        <w:rFonts w:ascii="Times New Roman" w:cs="Times New Roman"/>
                        <w:szCs w:val="21"/>
                      </w:rPr>
                      <w:t>年</w:t>
                    </w:r>
                  </w:p>
                </w:tc>
              </w:sdtContent>
            </w:sdt>
            <w:sdt>
              <w:sdtPr>
                <w:rPr>
                  <w:rFonts w:ascii="Times New Roman" w:hAnsi="Times New Roman" w:cs="Times New Roman"/>
                </w:rPr>
                <w:tag w:val="_PLD_04887d69202349c58f450c785cfaef93"/>
                <w:id w:val="158197960"/>
                <w:lock w:val="sdtLocked"/>
              </w:sdtPr>
              <w:sdtEndPr>
                <w:rPr>
                  <w:rFonts w:ascii="Times New Roman" w:hAnsi="Times New Roman" w:cs="Times New Roman"/>
                </w:rPr>
              </w:sdtEndPr>
              <w:sdtContent>
                <w:tc>
                  <w:tcPr>
                    <w:tcW w:w="758"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szCs w:val="21"/>
                      </w:rPr>
                      <w:t>本期比上年同期增减</w:t>
                    </w:r>
                    <w:r>
                      <w:rPr>
                        <w:rFonts w:ascii="Times New Roman" w:hAnsi="Times New Roman" w:cs="Times New Roman"/>
                        <w:szCs w:val="21"/>
                      </w:rPr>
                      <w:t>(%)</w:t>
                    </w:r>
                  </w:p>
                </w:tc>
              </w:sdtContent>
            </w:sdt>
            <w:sdt>
              <w:sdtPr>
                <w:rPr>
                  <w:rFonts w:ascii="Times New Roman" w:hAnsi="Times New Roman" w:cs="Times New Roman"/>
                </w:rPr>
                <w:tag w:val="_PLD_cf8d3caaf1bc4b2eb15a4b6e1b823368"/>
                <w:id w:val="-1698611656"/>
                <w:lock w:val="sdtLocked"/>
              </w:sdtPr>
              <w:sdtEndPr>
                <w:rPr>
                  <w:rFonts w:ascii="Times New Roman" w:hAnsi="Times New Roman" w:cs="Times New Roman"/>
                </w:rPr>
              </w:sdtEndPr>
              <w:sdtContent>
                <w:tc>
                  <w:tcPr>
                    <w:tcW w:w="1046"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2019</w:t>
                    </w:r>
                    <w:r>
                      <w:rPr>
                        <w:rFonts w:ascii="Times New Roman" w:cs="Times New Roman"/>
                        <w:szCs w:val="21"/>
                      </w:rPr>
                      <w:t>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6322632b3594caeab1c5a7755e81efc"/>
                <w:id w:val="1052509339"/>
                <w:lock w:val="sdtLocked"/>
              </w:sdtPr>
              <w:sdtContent>
                <w:tc>
                  <w:tcPr>
                    <w:tcW w:w="1332" w:type="pct"/>
                  </w:tcPr>
                  <w:p>
                    <w:pPr>
                      <w:widowControl w:val="0"/>
                      <w:kinsoku w:val="0"/>
                      <w:overflowPunct w:val="0"/>
                      <w:autoSpaceDE w:val="0"/>
                      <w:autoSpaceDN w:val="0"/>
                      <w:adjustRightInd w:val="0"/>
                      <w:snapToGrid w:val="0"/>
                      <w:jc w:val="both"/>
                      <w:rPr>
                        <w:szCs w:val="21"/>
                      </w:rPr>
                    </w:pPr>
                    <w:r>
                      <w:rPr>
                        <w:rFonts w:hint="eastAsia"/>
                        <w:szCs w:val="21"/>
                      </w:rPr>
                      <w:t>营业收入</w:t>
                    </w:r>
                  </w:p>
                </w:tc>
              </w:sdtContent>
            </w:sdt>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717,526,128.25</w:t>
                </w:r>
              </w:p>
            </w:tc>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685,431,238.99</w:t>
                </w:r>
              </w:p>
            </w:tc>
            <w:tc>
              <w:tcPr>
                <w:tcW w:w="758" w:type="pct"/>
                <w:vAlign w:val="center"/>
              </w:tcPr>
              <w:p>
                <w:pPr>
                  <w:widowControl w:val="0"/>
                  <w:jc w:val="right"/>
                  <w:rPr>
                    <w:rFonts w:ascii="Times New Roman" w:hAnsi="Times New Roman" w:cs="Times New Roman"/>
                    <w:sz w:val="24"/>
                  </w:rPr>
                </w:pPr>
                <w:r>
                  <w:rPr>
                    <w:rFonts w:ascii="Times New Roman" w:hAnsi="Times New Roman" w:cs="Times New Roman"/>
                  </w:rPr>
                  <w:t>4.68</w:t>
                </w:r>
              </w:p>
            </w:tc>
            <w:tc>
              <w:tcPr>
                <w:tcW w:w="1046" w:type="pct"/>
                <w:vAlign w:val="center"/>
              </w:tcPr>
              <w:p>
                <w:pPr>
                  <w:widowControl w:val="0"/>
                  <w:jc w:val="right"/>
                  <w:rPr>
                    <w:rFonts w:ascii="Times New Roman" w:hAnsi="Times New Roman" w:cs="Times New Roman"/>
                    <w:sz w:val="24"/>
                  </w:rPr>
                </w:pPr>
                <w:r>
                  <w:rPr>
                    <w:rFonts w:ascii="Times New Roman" w:hAnsi="Times New Roman" w:cs="Times New Roman"/>
                  </w:rPr>
                  <w:t>1,186,674,091.12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7d11c2d9b33405b9045eb7589e09eec"/>
                <w:id w:val="-244732321"/>
                <w:lock w:val="sdtLocked"/>
              </w:sdtPr>
              <w:sdtContent>
                <w:tc>
                  <w:tcPr>
                    <w:tcW w:w="1332" w:type="pct"/>
                  </w:tcPr>
                  <w:p>
                    <w:pPr>
                      <w:widowControl w:val="0"/>
                      <w:kinsoku w:val="0"/>
                      <w:overflowPunct w:val="0"/>
                      <w:autoSpaceDE w:val="0"/>
                      <w:autoSpaceDN w:val="0"/>
                      <w:adjustRightInd w:val="0"/>
                      <w:snapToGrid w:val="0"/>
                      <w:jc w:val="both"/>
                      <w:rPr>
                        <w:szCs w:val="21"/>
                      </w:rPr>
                    </w:pPr>
                    <w:r>
                      <w:rPr>
                        <w:rFonts w:hint="eastAsia"/>
                        <w:szCs w:val="21"/>
                      </w:rPr>
                      <w:t>归属于上市公司股东的净利润</w:t>
                    </w:r>
                  </w:p>
                </w:tc>
              </w:sdtContent>
            </w:sdt>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8,658,258.15</w:t>
                </w:r>
              </w:p>
            </w:tc>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58,049,318.45</w:t>
                </w:r>
              </w:p>
            </w:tc>
            <w:tc>
              <w:tcPr>
                <w:tcW w:w="758" w:type="pct"/>
                <w:vAlign w:val="center"/>
              </w:tcPr>
              <w:p>
                <w:pPr>
                  <w:widowControl w:val="0"/>
                  <w:jc w:val="right"/>
                  <w:rPr>
                    <w:rFonts w:ascii="Times New Roman" w:hAnsi="Times New Roman" w:cs="Times New Roman"/>
                    <w:sz w:val="24"/>
                  </w:rPr>
                </w:pPr>
                <w:r>
                  <w:rPr>
                    <w:rFonts w:ascii="Times New Roman" w:hAnsi="Times New Roman" w:cs="Times New Roman"/>
                  </w:rPr>
                  <w:t>-85.08</w:t>
                </w:r>
              </w:p>
            </w:tc>
            <w:tc>
              <w:tcPr>
                <w:tcW w:w="1046" w:type="pct"/>
                <w:vAlign w:val="center"/>
              </w:tcPr>
              <w:p>
                <w:pPr>
                  <w:widowControl w:val="0"/>
                  <w:jc w:val="right"/>
                  <w:rPr>
                    <w:rFonts w:ascii="Times New Roman" w:hAnsi="Times New Roman" w:cs="Times New Roman"/>
                    <w:sz w:val="24"/>
                  </w:rPr>
                </w:pPr>
                <w:r>
                  <w:rPr>
                    <w:rFonts w:ascii="Times New Roman" w:hAnsi="Times New Roman" w:cs="Times New Roman"/>
                  </w:rPr>
                  <w:t>-53,805,394.54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2edc3c137a564aba88618b0231d4f232"/>
                <w:id w:val="-666165443"/>
                <w:lock w:val="sdtLocked"/>
              </w:sdtPr>
              <w:sdtContent>
                <w:tc>
                  <w:tcPr>
                    <w:tcW w:w="1332" w:type="pct"/>
                  </w:tcPr>
                  <w:p>
                    <w:pPr>
                      <w:widowControl w:val="0"/>
                      <w:kinsoku w:val="0"/>
                      <w:overflowPunct w:val="0"/>
                      <w:autoSpaceDE w:val="0"/>
                      <w:autoSpaceDN w:val="0"/>
                      <w:adjustRightInd w:val="0"/>
                      <w:snapToGrid w:val="0"/>
                      <w:jc w:val="both"/>
                      <w:rPr>
                        <w:szCs w:val="21"/>
                      </w:rPr>
                    </w:pPr>
                    <w:r>
                      <w:rPr>
                        <w:rFonts w:hint="eastAsia"/>
                        <w:szCs w:val="21"/>
                      </w:rPr>
                      <w:t>归属于上市公司股东的扣除非经常性损益的净利润</w:t>
                    </w:r>
                  </w:p>
                </w:tc>
              </w:sdtContent>
            </w:sdt>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1,699,843.88</w:t>
                </w:r>
              </w:p>
            </w:tc>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945,086.96</w:t>
                </w:r>
              </w:p>
            </w:tc>
            <w:tc>
              <w:tcPr>
                <w:tcW w:w="758" w:type="pct"/>
                <w:vAlign w:val="center"/>
              </w:tcPr>
              <w:p>
                <w:pPr>
                  <w:widowControl w:val="0"/>
                  <w:jc w:val="right"/>
                  <w:rPr>
                    <w:rFonts w:ascii="Times New Roman" w:hAnsi="Times New Roman" w:cs="Times New Roman"/>
                    <w:sz w:val="24"/>
                  </w:rPr>
                </w:pPr>
                <w:r>
                  <w:rPr>
                    <w:rFonts w:ascii="Times New Roman" w:hAnsi="Times New Roman" w:cs="Times New Roman"/>
                  </w:rPr>
                  <w:t>79.86</w:t>
                </w:r>
              </w:p>
            </w:tc>
            <w:tc>
              <w:tcPr>
                <w:tcW w:w="1046" w:type="pct"/>
                <w:vAlign w:val="center"/>
              </w:tcPr>
              <w:p>
                <w:pPr>
                  <w:widowControl w:val="0"/>
                  <w:jc w:val="right"/>
                  <w:rPr>
                    <w:rFonts w:ascii="Times New Roman" w:hAnsi="Times New Roman" w:cs="Times New Roman"/>
                    <w:sz w:val="24"/>
                  </w:rPr>
                </w:pPr>
                <w:r>
                  <w:rPr>
                    <w:rFonts w:ascii="Times New Roman" w:hAnsi="Times New Roman" w:cs="Times New Roman"/>
                  </w:rPr>
                  <w:t>-119,500,060.56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26583adfa0643ac904634eeb576245b"/>
                <w:id w:val="-1404067132"/>
                <w:lock w:val="sdtLocked"/>
              </w:sdtPr>
              <w:sdtContent>
                <w:tc>
                  <w:tcPr>
                    <w:tcW w:w="1332" w:type="pct"/>
                  </w:tcPr>
                  <w:p>
                    <w:pPr>
                      <w:widowControl w:val="0"/>
                      <w:kinsoku w:val="0"/>
                      <w:overflowPunct w:val="0"/>
                      <w:autoSpaceDE w:val="0"/>
                      <w:autoSpaceDN w:val="0"/>
                      <w:adjustRightInd w:val="0"/>
                      <w:snapToGrid w:val="0"/>
                      <w:jc w:val="both"/>
                      <w:rPr>
                        <w:szCs w:val="21"/>
                        <w:highlight w:val="magenta"/>
                      </w:rPr>
                    </w:pPr>
                    <w:r>
                      <w:rPr>
                        <w:rFonts w:hint="eastAsia"/>
                        <w:szCs w:val="21"/>
                      </w:rPr>
                      <w:t>经营活动产生的现金流量净额</w:t>
                    </w:r>
                  </w:p>
                </w:tc>
              </w:sdtContent>
            </w:sdt>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-54,097,194.84</w:t>
                </w:r>
              </w:p>
            </w:tc>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15,786,447.07</w:t>
                </w:r>
              </w:p>
            </w:tc>
            <w:tc>
              <w:tcPr>
                <w:tcW w:w="758" w:type="pct"/>
                <w:vAlign w:val="center"/>
              </w:tcPr>
              <w:p>
                <w:pPr>
                  <w:widowControl w:val="0"/>
                  <w:jc w:val="right"/>
                  <w:rPr>
                    <w:rFonts w:ascii="Times New Roman" w:hAnsi="Times New Roman" w:cs="Times New Roman"/>
                    <w:sz w:val="24"/>
                  </w:rPr>
                </w:pPr>
                <w:r>
                  <w:rPr>
                    <w:rFonts w:ascii="Times New Roman" w:cs="Times New Roman"/>
                  </w:rPr>
                  <w:t>不适用</w:t>
                </w:r>
              </w:p>
            </w:tc>
            <w:tc>
              <w:tcPr>
                <w:tcW w:w="1046" w:type="pct"/>
                <w:vAlign w:val="center"/>
              </w:tcPr>
              <w:p>
                <w:pPr>
                  <w:widowControl w:val="0"/>
                  <w:jc w:val="right"/>
                  <w:rPr>
                    <w:rFonts w:ascii="Times New Roman" w:hAnsi="Times New Roman" w:cs="Times New Roman"/>
                    <w:sz w:val="24"/>
                  </w:rPr>
                </w:pPr>
                <w:r>
                  <w:rPr>
                    <w:rFonts w:ascii="Times New Roman" w:hAnsi="Times New Roman" w:cs="Times New Roman"/>
                  </w:rPr>
                  <w:t>88,800,489.03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32" w:type="pct"/>
              </w:tcPr>
              <w:p>
                <w:pPr>
                  <w:widowControl w:val="0"/>
                  <w:kinsoku w:val="0"/>
                  <w:overflowPunct w:val="0"/>
                  <w:autoSpaceDE w:val="0"/>
                  <w:autoSpaceDN w:val="0"/>
                  <w:adjustRightInd w:val="0"/>
                  <w:snapToGrid w:val="0"/>
                  <w:jc w:val="both"/>
                  <w:rPr>
                    <w:szCs w:val="21"/>
                  </w:rPr>
                </w:pPr>
              </w:p>
            </w:tc>
            <w:sdt>
              <w:sdtPr>
                <w:rPr>
                  <w:rFonts w:ascii="Times New Roman" w:hAnsi="Times New Roman" w:cs="Times New Roman"/>
                </w:rPr>
                <w:tag w:val="_PLD_8b9fbdc9e2634c6292801d605b122b71"/>
                <w:id w:val="-1768914263"/>
                <w:lock w:val="sdtLocked"/>
              </w:sdtPr>
              <w:sdtEndPr>
                <w:rPr>
                  <w:rFonts w:ascii="Times New Roman" w:hAnsi="Times New Roman" w:cs="Times New Roman"/>
                </w:rPr>
              </w:sdtEndPr>
              <w:sdtContent>
                <w:tc>
                  <w:tcPr>
                    <w:tcW w:w="932"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年末</w:t>
                    </w:r>
                  </w:p>
                </w:tc>
              </w:sdtContent>
            </w:sdt>
            <w:sdt>
              <w:sdtPr>
                <w:rPr>
                  <w:rFonts w:ascii="Times New Roman" w:hAnsi="Times New Roman" w:cs="Times New Roman"/>
                </w:rPr>
                <w:tag w:val="_PLD_81e66f862753453685ceebbc3f216adb"/>
                <w:id w:val="-144965486"/>
                <w:lock w:val="sdtLocked"/>
              </w:sdtPr>
              <w:sdtEndPr>
                <w:rPr>
                  <w:rFonts w:ascii="Times New Roman" w:hAnsi="Times New Roman" w:cs="Times New Roman"/>
                </w:rPr>
              </w:sdtEndPr>
              <w:sdtContent>
                <w:tc>
                  <w:tcPr>
                    <w:tcW w:w="932"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2020</w:t>
                    </w:r>
                    <w:r>
                      <w:rPr>
                        <w:rFonts w:ascii="Times New Roman" w:cs="Times New Roman"/>
                        <w:szCs w:val="21"/>
                      </w:rPr>
                      <w:t>年末</w:t>
                    </w:r>
                  </w:p>
                </w:tc>
              </w:sdtContent>
            </w:sdt>
            <w:sdt>
              <w:sdtPr>
                <w:rPr>
                  <w:rFonts w:ascii="Times New Roman" w:hAnsi="Times New Roman" w:cs="Times New Roman"/>
                </w:rPr>
                <w:tag w:val="_PLD_eccdaa2d1ee940be88fdba6d8a4ef55d"/>
                <w:id w:val="732199952"/>
                <w:lock w:val="sdtLocked"/>
              </w:sdtPr>
              <w:sdtEndPr>
                <w:rPr>
                  <w:rFonts w:ascii="Times New Roman" w:hAnsi="Times New Roman" w:cs="Times New Roman"/>
                </w:rPr>
              </w:sdtEndPr>
              <w:sdtContent>
                <w:tc>
                  <w:tcPr>
                    <w:tcW w:w="758"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szCs w:val="21"/>
                      </w:rPr>
                      <w:t>本期末比上年同期末增减（</w:t>
                    </w:r>
                    <w:r>
                      <w:rPr>
                        <w:rFonts w:ascii="Times New Roman" w:hAnsi="Times New Roman" w:cs="Times New Roman"/>
                        <w:szCs w:val="21"/>
                      </w:rPr>
                      <w:t>%</w:t>
                    </w:r>
                    <w:r>
                      <w:rPr>
                        <w:rFonts w:ascii="Times New Roman" w:cs="Times New Roman"/>
                        <w:szCs w:val="21"/>
                      </w:rPr>
                      <w:t>）</w:t>
                    </w:r>
                  </w:p>
                </w:tc>
              </w:sdtContent>
            </w:sdt>
            <w:sdt>
              <w:sdtPr>
                <w:rPr>
                  <w:rFonts w:ascii="Times New Roman" w:hAnsi="Times New Roman" w:cs="Times New Roman"/>
                </w:rPr>
                <w:tag w:val="_PLD_3af4b93afaec4509befbcf4b19db9883"/>
                <w:id w:val="-621772301"/>
                <w:lock w:val="sdtLocked"/>
              </w:sdtPr>
              <w:sdtEndPr>
                <w:rPr>
                  <w:rFonts w:ascii="Times New Roman" w:hAnsi="Times New Roman" w:cs="Times New Roman"/>
                </w:rPr>
              </w:sdtEndPr>
              <w:sdtContent>
                <w:tc>
                  <w:tcPr>
                    <w:tcW w:w="1046"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2019</w:t>
                    </w:r>
                    <w:r>
                      <w:rPr>
                        <w:rFonts w:ascii="Times New Roman" w:cs="Times New Roman"/>
                        <w:szCs w:val="21"/>
                      </w:rPr>
                      <w:t>年末</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257117f05a44030bdc03ae8e5b21a70"/>
                <w:id w:val="-1690677703"/>
                <w:lock w:val="sdtLocked"/>
              </w:sdtPr>
              <w:sdtContent>
                <w:tc>
                  <w:tcPr>
                    <w:tcW w:w="1332" w:type="pct"/>
                  </w:tcPr>
                  <w:p>
                    <w:pPr>
                      <w:widowControl w:val="0"/>
                      <w:kinsoku w:val="0"/>
                      <w:overflowPunct w:val="0"/>
                      <w:autoSpaceDE w:val="0"/>
                      <w:autoSpaceDN w:val="0"/>
                      <w:adjustRightInd w:val="0"/>
                      <w:snapToGrid w:val="0"/>
                      <w:jc w:val="both"/>
                      <w:rPr>
                        <w:szCs w:val="21"/>
                      </w:rPr>
                    </w:pPr>
                    <w:r>
                      <w:rPr>
                        <w:rFonts w:hint="eastAsia"/>
                        <w:szCs w:val="21"/>
                      </w:rPr>
                      <w:t>归属于上市公司股东的净资产</w:t>
                    </w:r>
                  </w:p>
                </w:tc>
              </w:sdtContent>
            </w:sdt>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2,135,633,615.67</w:t>
                </w:r>
              </w:p>
            </w:tc>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2,126,975,357.52</w:t>
                </w:r>
              </w:p>
            </w:tc>
            <w:tc>
              <w:tcPr>
                <w:tcW w:w="758" w:type="pct"/>
                <w:vAlign w:val="center"/>
              </w:tcPr>
              <w:p>
                <w:pPr>
                  <w:widowControl w:val="0"/>
                  <w:jc w:val="right"/>
                  <w:rPr>
                    <w:rFonts w:ascii="Times New Roman" w:hAnsi="Times New Roman" w:cs="Times New Roman"/>
                    <w:sz w:val="24"/>
                  </w:rPr>
                </w:pPr>
                <w:r>
                  <w:rPr>
                    <w:rFonts w:ascii="Times New Roman" w:hAnsi="Times New Roman" w:cs="Times New Roman"/>
                  </w:rPr>
                  <w:t>0.41</w:t>
                </w:r>
              </w:p>
            </w:tc>
            <w:tc>
              <w:tcPr>
                <w:tcW w:w="1046" w:type="pct"/>
                <w:vAlign w:val="center"/>
              </w:tcPr>
              <w:p>
                <w:pPr>
                  <w:widowControl w:val="0"/>
                  <w:jc w:val="right"/>
                  <w:rPr>
                    <w:rFonts w:ascii="Times New Roman" w:hAnsi="Times New Roman" w:cs="Times New Roman"/>
                    <w:sz w:val="24"/>
                  </w:rPr>
                </w:pPr>
                <w:r>
                  <w:rPr>
                    <w:rFonts w:ascii="Times New Roman" w:hAnsi="Times New Roman" w:cs="Times New Roman"/>
                  </w:rPr>
                  <w:t>2,068,521,257.99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2d1128ab6991472fb0ba6892584a4be8"/>
                <w:id w:val="584420852"/>
                <w:lock w:val="sdtLocked"/>
              </w:sdtPr>
              <w:sdtContent>
                <w:tc>
                  <w:tcPr>
                    <w:tcW w:w="1332" w:type="pct"/>
                  </w:tcPr>
                  <w:p>
                    <w:pPr>
                      <w:widowControl w:val="0"/>
                      <w:kinsoku w:val="0"/>
                      <w:overflowPunct w:val="0"/>
                      <w:autoSpaceDE w:val="0"/>
                      <w:autoSpaceDN w:val="0"/>
                      <w:adjustRightInd w:val="0"/>
                      <w:snapToGrid w:val="0"/>
                      <w:jc w:val="both"/>
                      <w:rPr>
                        <w:szCs w:val="21"/>
                      </w:rPr>
                    </w:pPr>
                    <w:r>
                      <w:rPr>
                        <w:rFonts w:hint="eastAsia"/>
                        <w:szCs w:val="21"/>
                      </w:rPr>
                      <w:t>总资产</w:t>
                    </w:r>
                  </w:p>
                </w:tc>
              </w:sdtContent>
            </w:sdt>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2,524,702,013.82</w:t>
                </w:r>
              </w:p>
            </w:tc>
            <w:tc>
              <w:tcPr>
                <w:tcW w:w="932" w:type="pct"/>
                <w:vAlign w:val="center"/>
              </w:tcPr>
              <w:p>
                <w:pPr>
                  <w:widowControl w:val="0"/>
                  <w:jc w:val="right"/>
                  <w:rPr>
                    <w:rFonts w:ascii="Times New Roman" w:hAnsi="Times New Roman" w:cs="Times New Roman"/>
                    <w:sz w:val="24"/>
                  </w:rPr>
                </w:pPr>
                <w:r>
                  <w:rPr>
                    <w:rFonts w:ascii="Times New Roman" w:hAnsi="Times New Roman" w:cs="Times New Roman"/>
                  </w:rPr>
                  <w:t>2,557,290,654.68</w:t>
                </w:r>
              </w:p>
            </w:tc>
            <w:tc>
              <w:tcPr>
                <w:tcW w:w="758" w:type="pct"/>
                <w:vAlign w:val="center"/>
              </w:tcPr>
              <w:p>
                <w:pPr>
                  <w:widowControl w:val="0"/>
                  <w:jc w:val="right"/>
                  <w:rPr>
                    <w:rFonts w:ascii="Times New Roman" w:hAnsi="Times New Roman" w:cs="Times New Roman"/>
                    <w:sz w:val="24"/>
                  </w:rPr>
                </w:pPr>
                <w:r>
                  <w:rPr>
                    <w:rFonts w:ascii="Times New Roman" w:hAnsi="Times New Roman" w:cs="Times New Roman"/>
                  </w:rPr>
                  <w:t>-1.2</w:t>
                </w:r>
                <w:r>
                  <w:rPr>
                    <w:rFonts w:hint="eastAsia" w:ascii="Times New Roman" w:hAnsi="Times New Roman" w:cs="Times New Roman"/>
                  </w:rPr>
                  <w:t>7</w:t>
                </w:r>
              </w:p>
            </w:tc>
            <w:tc>
              <w:tcPr>
                <w:tcW w:w="1046" w:type="pct"/>
                <w:vAlign w:val="center"/>
              </w:tcPr>
              <w:p>
                <w:pPr>
                  <w:widowControl w:val="0"/>
                  <w:jc w:val="right"/>
                  <w:rPr>
                    <w:rFonts w:ascii="Times New Roman" w:hAnsi="Times New Roman" w:cs="Times New Roman"/>
                    <w:sz w:val="24"/>
                  </w:rPr>
                </w:pPr>
                <w:r>
                  <w:rPr>
                    <w:rFonts w:ascii="Times New Roman" w:hAnsi="Times New Roman" w:cs="Times New Roman"/>
                  </w:rPr>
                  <w:t>2,693,598,246.18</w:t>
                </w:r>
              </w:p>
            </w:tc>
          </w:tr>
        </w:tbl>
      </w:sdtContent>
    </w:sdt>
    <w:p>
      <w:pPr>
        <w:spacing w:line="420" w:lineRule="exact"/>
        <w:rPr>
          <w:b/>
          <w:szCs w:val="21"/>
        </w:rPr>
      </w:pPr>
    </w:p>
    <w:p>
      <w:pPr>
        <w:spacing w:line="420" w:lineRule="exact"/>
        <w:rPr>
          <w:b/>
          <w:szCs w:val="21"/>
        </w:rPr>
      </w:pPr>
    </w:p>
    <w:p>
      <w:pPr>
        <w:spacing w:line="420" w:lineRule="exact"/>
        <w:rPr>
          <w:b/>
          <w:szCs w:val="21"/>
        </w:rPr>
      </w:pPr>
      <w:r>
        <w:rPr>
          <w:rFonts w:hint="eastAsia"/>
          <w:b/>
          <w:szCs w:val="21"/>
        </w:rPr>
        <w:t>除纸品、房开公司数据的说明：</w:t>
      </w:r>
    </w:p>
    <w:p>
      <w:pPr>
        <w:spacing w:line="420" w:lineRule="exact"/>
        <w:ind w:firstLine="316" w:firstLineChars="150"/>
        <w:rPr>
          <w:b/>
          <w:szCs w:val="21"/>
        </w:rPr>
      </w:pPr>
      <w:r>
        <w:rPr>
          <w:rFonts w:hint="eastAsia"/>
          <w:b/>
          <w:szCs w:val="21"/>
        </w:rPr>
        <w:t>公</w:t>
      </w:r>
      <w:r>
        <w:rPr>
          <w:rFonts w:ascii="Times New Roman" w:cs="Times New Roman"/>
          <w:b/>
          <w:szCs w:val="21"/>
        </w:rPr>
        <w:t>司于</w:t>
      </w:r>
      <w:r>
        <w:rPr>
          <w:rFonts w:ascii="Times New Roman" w:hAnsi="Times New Roman" w:cs="Times New Roman"/>
          <w:b/>
          <w:szCs w:val="21"/>
        </w:rPr>
        <w:t>2019</w:t>
      </w:r>
      <w:r>
        <w:rPr>
          <w:rFonts w:ascii="Times New Roman" w:cs="Times New Roman"/>
          <w:b/>
          <w:szCs w:val="21"/>
        </w:rPr>
        <w:t>年</w:t>
      </w:r>
      <w:r>
        <w:rPr>
          <w:rFonts w:ascii="Times New Roman" w:hAnsi="Times New Roman" w:cs="Times New Roman"/>
          <w:b/>
          <w:szCs w:val="21"/>
        </w:rPr>
        <w:t>12</w:t>
      </w:r>
      <w:r>
        <w:rPr>
          <w:rFonts w:ascii="Times New Roman" w:cs="Times New Roman"/>
          <w:b/>
          <w:szCs w:val="21"/>
        </w:rPr>
        <w:t>月完</w:t>
      </w:r>
      <w:r>
        <w:rPr>
          <w:rFonts w:hint="eastAsia"/>
          <w:b/>
          <w:szCs w:val="21"/>
        </w:rPr>
        <w:t>成控股子公司纸品公司、房开公司的股权转让，自此纸品公司、房开公司不再纳入公司合并报表范围，扣除上述的两个公司的影响，公司主要会计数据的对比情况如下表：</w:t>
      </w:r>
    </w:p>
    <w:p>
      <w:pPr>
        <w:spacing w:line="420" w:lineRule="exact"/>
        <w:ind w:firstLine="316" w:firstLineChars="150"/>
        <w:rPr>
          <w:b/>
          <w:szCs w:val="21"/>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1843"/>
        <w:gridCol w:w="1858"/>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vAlign w:val="center"/>
          </w:tcPr>
          <w:p>
            <w:pPr>
              <w:widowControl w:val="0"/>
              <w:spacing w:line="420" w:lineRule="exact"/>
              <w:jc w:val="center"/>
              <w:rPr>
                <w:rFonts w:ascii="Times New Roman" w:hAnsi="Times New Roman" w:cs="Times New Roman"/>
                <w:szCs w:val="21"/>
              </w:rPr>
            </w:pPr>
            <w:r>
              <w:rPr>
                <w:rFonts w:hint="eastAsia" w:ascii="Times New Roman" w:hAnsi="Times New Roman" w:cs="Times New Roman"/>
                <w:szCs w:val="21"/>
              </w:rPr>
              <w:t>主要会计数据</w:t>
            </w:r>
          </w:p>
        </w:tc>
        <w:tc>
          <w:tcPr>
            <w:tcW w:w="1843" w:type="dxa"/>
            <w:vAlign w:val="center"/>
          </w:tcPr>
          <w:p>
            <w:pPr>
              <w:widowControl w:val="0"/>
              <w:spacing w:line="420" w:lineRule="exact"/>
              <w:jc w:val="center"/>
              <w:rPr>
                <w:rFonts w:ascii="Times New Roman" w:hAnsi="Times New Roman" w:cs="Times New Roman"/>
                <w:szCs w:val="21"/>
              </w:rPr>
            </w:pPr>
            <w:r>
              <w:rPr>
                <w:rFonts w:hint="eastAsia" w:ascii="Times New Roman" w:hAnsi="Times New Roman" w:cs="Times New Roman"/>
                <w:szCs w:val="21"/>
              </w:rPr>
              <w:t>2021年</w:t>
            </w:r>
          </w:p>
        </w:tc>
        <w:tc>
          <w:tcPr>
            <w:tcW w:w="1858" w:type="dxa"/>
            <w:vAlign w:val="center"/>
          </w:tcPr>
          <w:p>
            <w:pPr>
              <w:widowControl w:val="0"/>
              <w:spacing w:line="420" w:lineRule="exact"/>
              <w:jc w:val="center"/>
              <w:rPr>
                <w:rFonts w:ascii="Times New Roman" w:hAnsi="Times New Roman" w:cs="Times New Roman"/>
                <w:szCs w:val="21"/>
              </w:rPr>
            </w:pPr>
            <w:r>
              <w:rPr>
                <w:rFonts w:ascii="Times New Roman" w:hAnsi="Times New Roman" w:cs="Times New Roman"/>
                <w:szCs w:val="21"/>
              </w:rPr>
              <w:t>2020年</w:t>
            </w:r>
          </w:p>
        </w:tc>
        <w:tc>
          <w:tcPr>
            <w:tcW w:w="2263" w:type="dxa"/>
            <w:vAlign w:val="center"/>
          </w:tcPr>
          <w:p>
            <w:pPr>
              <w:widowControl w:val="0"/>
              <w:spacing w:line="420" w:lineRule="exact"/>
              <w:jc w:val="center"/>
              <w:rPr>
                <w:rFonts w:ascii="Times New Roman" w:hAnsi="Times New Roman" w:cs="Times New Roman"/>
                <w:szCs w:val="21"/>
              </w:rPr>
            </w:pPr>
            <w:r>
              <w:rPr>
                <w:rFonts w:ascii="Times New Roman" w:hAnsi="Times New Roman" w:cs="Times New Roman"/>
                <w:szCs w:val="21"/>
              </w:rPr>
              <w:t>2019年同期剔除房开、纸品数据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widowControl w:val="0"/>
              <w:spacing w:line="420" w:lineRule="exact"/>
              <w:jc w:val="both"/>
              <w:rPr>
                <w:rFonts w:ascii="Times New Roman" w:hAnsi="Times New Roman" w:cs="Times New Roman"/>
                <w:szCs w:val="21"/>
              </w:rPr>
            </w:pPr>
            <w:r>
              <w:rPr>
                <w:rFonts w:hint="eastAsia" w:ascii="Times New Roman" w:hAnsi="Times New Roman" w:cs="Times New Roman"/>
                <w:szCs w:val="21"/>
              </w:rPr>
              <w:t>营业收入</w:t>
            </w:r>
          </w:p>
        </w:tc>
        <w:tc>
          <w:tcPr>
            <w:tcW w:w="1843" w:type="dxa"/>
            <w:vAlign w:val="center"/>
          </w:tcPr>
          <w:p>
            <w:pPr>
              <w:widowControl w:val="0"/>
              <w:spacing w:line="420" w:lineRule="exact"/>
              <w:jc w:val="right"/>
              <w:rPr>
                <w:rFonts w:ascii="Times New Roman" w:hAnsi="Times New Roman" w:cs="Times New Roman"/>
                <w:szCs w:val="21"/>
              </w:rPr>
            </w:pPr>
            <w:r>
              <w:rPr>
                <w:rFonts w:ascii="Times New Roman" w:hAnsi="Times New Roman" w:cs="Times New Roman"/>
                <w:szCs w:val="21"/>
              </w:rPr>
              <w:t>717,526,128.25</w:t>
            </w:r>
          </w:p>
        </w:tc>
        <w:tc>
          <w:tcPr>
            <w:tcW w:w="1858" w:type="dxa"/>
            <w:vAlign w:val="center"/>
          </w:tcPr>
          <w:p>
            <w:pPr>
              <w:widowControl w:val="0"/>
              <w:spacing w:line="420" w:lineRule="exact"/>
              <w:jc w:val="right"/>
              <w:rPr>
                <w:rFonts w:ascii="Times New Roman" w:hAnsi="Times New Roman" w:cs="Times New Roman"/>
                <w:szCs w:val="21"/>
              </w:rPr>
            </w:pPr>
            <w:r>
              <w:rPr>
                <w:rFonts w:ascii="Times New Roman" w:hAnsi="Times New Roman" w:cs="Times New Roman"/>
                <w:szCs w:val="21"/>
              </w:rPr>
              <w:t>685,431,238.99</w:t>
            </w:r>
          </w:p>
        </w:tc>
        <w:tc>
          <w:tcPr>
            <w:tcW w:w="2263" w:type="dxa"/>
            <w:vAlign w:val="center"/>
          </w:tcPr>
          <w:p>
            <w:pPr>
              <w:widowControl w:val="0"/>
              <w:spacing w:line="420" w:lineRule="exact"/>
              <w:jc w:val="right"/>
              <w:rPr>
                <w:rFonts w:ascii="Times New Roman" w:hAnsi="Times New Roman" w:cs="Times New Roman"/>
                <w:szCs w:val="21"/>
              </w:rPr>
            </w:pPr>
            <w:r>
              <w:rPr>
                <w:rFonts w:ascii="Times New Roman" w:hAnsi="Times New Roman" w:cs="Times New Roman"/>
                <w:szCs w:val="21"/>
              </w:rPr>
              <w:t>844,384,992.10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widowControl w:val="0"/>
              <w:spacing w:line="420" w:lineRule="exact"/>
              <w:jc w:val="both"/>
              <w:rPr>
                <w:rFonts w:ascii="Times New Roman" w:hAnsi="Times New Roman" w:cs="Times New Roman"/>
                <w:szCs w:val="21"/>
              </w:rPr>
            </w:pPr>
            <w:r>
              <w:rPr>
                <w:rFonts w:hint="eastAsia" w:ascii="Times New Roman" w:hAnsi="Times New Roman" w:cs="Times New Roman"/>
                <w:szCs w:val="21"/>
              </w:rPr>
              <w:t>归属于上市公司股东的净利润</w:t>
            </w:r>
          </w:p>
        </w:tc>
        <w:tc>
          <w:tcPr>
            <w:tcW w:w="1843" w:type="dxa"/>
            <w:vAlign w:val="center"/>
          </w:tcPr>
          <w:p>
            <w:pPr>
              <w:widowControl w:val="0"/>
              <w:spacing w:line="420" w:lineRule="exact"/>
              <w:jc w:val="right"/>
              <w:rPr>
                <w:rFonts w:ascii="Times New Roman" w:hAnsi="Times New Roman" w:cs="Times New Roman"/>
                <w:szCs w:val="21"/>
              </w:rPr>
            </w:pPr>
            <w:r>
              <w:rPr>
                <w:rFonts w:ascii="Times New Roman" w:hAnsi="Times New Roman" w:cs="Times New Roman"/>
                <w:szCs w:val="21"/>
              </w:rPr>
              <w:t>8,658,258.15</w:t>
            </w:r>
          </w:p>
        </w:tc>
        <w:tc>
          <w:tcPr>
            <w:tcW w:w="1858" w:type="dxa"/>
            <w:vAlign w:val="center"/>
          </w:tcPr>
          <w:p>
            <w:pPr>
              <w:widowControl w:val="0"/>
              <w:spacing w:line="420" w:lineRule="exact"/>
              <w:jc w:val="right"/>
              <w:rPr>
                <w:rFonts w:ascii="Times New Roman" w:hAnsi="Times New Roman" w:cs="Times New Roman"/>
                <w:szCs w:val="21"/>
              </w:rPr>
            </w:pPr>
            <w:r>
              <w:rPr>
                <w:rFonts w:ascii="Times New Roman" w:hAnsi="Times New Roman" w:cs="Times New Roman"/>
                <w:szCs w:val="21"/>
              </w:rPr>
              <w:t>58,049,318.45</w:t>
            </w:r>
          </w:p>
        </w:tc>
        <w:tc>
          <w:tcPr>
            <w:tcW w:w="2263" w:type="dxa"/>
            <w:vAlign w:val="center"/>
          </w:tcPr>
          <w:p>
            <w:pPr>
              <w:widowControl w:val="0"/>
              <w:spacing w:line="420" w:lineRule="exact"/>
              <w:jc w:val="right"/>
              <w:rPr>
                <w:rFonts w:ascii="Times New Roman" w:hAnsi="Times New Roman" w:cs="Times New Roman"/>
                <w:szCs w:val="21"/>
              </w:rPr>
            </w:pPr>
            <w:r>
              <w:rPr>
                <w:rFonts w:ascii="Times New Roman" w:hAnsi="Times New Roman" w:cs="Times New Roman"/>
                <w:szCs w:val="21"/>
              </w:rPr>
              <w:t>39,561,334.78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3085" w:type="dxa"/>
          </w:tcPr>
          <w:p>
            <w:pPr>
              <w:widowControl w:val="0"/>
              <w:spacing w:line="420" w:lineRule="exact"/>
              <w:jc w:val="both"/>
              <w:rPr>
                <w:rFonts w:ascii="Times New Roman" w:hAnsi="Times New Roman" w:cs="Times New Roman"/>
                <w:szCs w:val="21"/>
              </w:rPr>
            </w:pPr>
            <w:r>
              <w:rPr>
                <w:rFonts w:hint="eastAsia" w:ascii="Times New Roman" w:hAnsi="Times New Roman" w:cs="Times New Roman"/>
                <w:szCs w:val="21"/>
              </w:rPr>
              <w:t>归属于上市公司股东的扣除非经常性损益的净利润</w:t>
            </w:r>
          </w:p>
        </w:tc>
        <w:tc>
          <w:tcPr>
            <w:tcW w:w="1843" w:type="dxa"/>
            <w:vAlign w:val="center"/>
          </w:tcPr>
          <w:p>
            <w:pPr>
              <w:widowControl w:val="0"/>
              <w:spacing w:line="420" w:lineRule="exact"/>
              <w:jc w:val="right"/>
              <w:rPr>
                <w:rFonts w:ascii="Times New Roman" w:hAnsi="Times New Roman" w:cs="Times New Roman"/>
                <w:szCs w:val="21"/>
              </w:rPr>
            </w:pPr>
            <w:r>
              <w:rPr>
                <w:rFonts w:ascii="Times New Roman" w:hAnsi="Times New Roman" w:cs="Times New Roman"/>
                <w:szCs w:val="21"/>
              </w:rPr>
              <w:t>1,699,843.88</w:t>
            </w:r>
          </w:p>
        </w:tc>
        <w:tc>
          <w:tcPr>
            <w:tcW w:w="1858" w:type="dxa"/>
            <w:vAlign w:val="center"/>
          </w:tcPr>
          <w:p>
            <w:pPr>
              <w:widowControl w:val="0"/>
              <w:spacing w:line="420" w:lineRule="exact"/>
              <w:jc w:val="right"/>
              <w:rPr>
                <w:rFonts w:ascii="Times New Roman" w:hAnsi="Times New Roman" w:cs="Times New Roman"/>
                <w:szCs w:val="21"/>
              </w:rPr>
            </w:pPr>
            <w:r>
              <w:rPr>
                <w:rFonts w:ascii="Times New Roman" w:hAnsi="Times New Roman" w:cs="Times New Roman"/>
                <w:szCs w:val="21"/>
              </w:rPr>
              <w:t>945,086.96</w:t>
            </w:r>
          </w:p>
        </w:tc>
        <w:tc>
          <w:tcPr>
            <w:tcW w:w="2263" w:type="dxa"/>
            <w:vAlign w:val="center"/>
          </w:tcPr>
          <w:p>
            <w:pPr>
              <w:widowControl w:val="0"/>
              <w:spacing w:line="420" w:lineRule="exact"/>
              <w:jc w:val="right"/>
              <w:rPr>
                <w:rFonts w:ascii="Times New Roman" w:hAnsi="Times New Roman" w:cs="Times New Roman"/>
                <w:szCs w:val="21"/>
              </w:rPr>
            </w:pPr>
            <w:r>
              <w:rPr>
                <w:rFonts w:ascii="Times New Roman" w:hAnsi="Times New Roman" w:cs="Times New Roman"/>
                <w:szCs w:val="21"/>
              </w:rPr>
              <w:t>-23,335,939.5</w:t>
            </w:r>
            <w:r>
              <w:rPr>
                <w:rFonts w:hint="eastAsia" w:ascii="Times New Roman" w:hAnsi="Times New Roman" w:cs="Times New Roman"/>
                <w:szCs w:val="21"/>
              </w:rPr>
              <w:t>1</w:t>
            </w:r>
          </w:p>
        </w:tc>
      </w:tr>
    </w:tbl>
    <w:p>
      <w:pPr>
        <w:spacing w:line="420" w:lineRule="exact"/>
        <w:ind w:firstLine="315" w:firstLineChars="150"/>
        <w:rPr>
          <w:rFonts w:ascii="Times New Roman" w:hAnsi="Times New Roman" w:cs="Times New Roman"/>
          <w:szCs w:val="21"/>
        </w:rPr>
      </w:pPr>
    </w:p>
    <w:p>
      <w:pPr>
        <w:kinsoku w:val="0"/>
        <w:overflowPunct w:val="0"/>
        <w:autoSpaceDE w:val="0"/>
        <w:autoSpaceDN w:val="0"/>
        <w:adjustRightInd w:val="0"/>
        <w:snapToGrid w:val="0"/>
        <w:rPr>
          <w:szCs w:val="21"/>
        </w:rPr>
      </w:pPr>
    </w:p>
    <w:p>
      <w:pPr>
        <w:pStyle w:val="4"/>
        <w:numPr>
          <w:ilvl w:val="1"/>
          <w:numId w:val="5"/>
        </w:numPr>
        <w:rPr>
          <w:rFonts w:ascii="宋体" w:hAnsi="宋体"/>
          <w:szCs w:val="21"/>
        </w:rPr>
      </w:pPr>
      <w:r>
        <w:t>主要财务指标</w:t>
      </w:r>
    </w:p>
    <w:sdt>
      <w:sdtPr>
        <w:alias w:val="选项模块:主要财务指标(无追溯)"/>
        <w:tag w:val="_SEC_ca679c431b23410b8002c2ae2c543dab"/>
        <w:id w:val="865722118"/>
        <w:lock w:val="sdtLocked"/>
        <w:placeholder>
          <w:docPart w:val="GBC22222222222222222222222222222"/>
        </w:placeholder>
      </w:sdtPr>
      <w:sdtConten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4"/>
            <w:gridCol w:w="1453"/>
            <w:gridCol w:w="1325"/>
            <w:gridCol w:w="1538"/>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c59cd3e5544374a4bd7ceda5f62092"/>
                <w:id w:val="1456667847"/>
                <w:lock w:val="sdtLocked"/>
              </w:sdtPr>
              <w:sdtContent>
                <w:tc>
                  <w:tcPr>
                    <w:tcW w:w="1765" w:type="pct"/>
                    <w:vAlign w:val="center"/>
                  </w:tcPr>
                  <w:p>
                    <w:pPr>
                      <w:widowControl w:val="0"/>
                      <w:kinsoku w:val="0"/>
                      <w:overflowPunct w:val="0"/>
                      <w:autoSpaceDE w:val="0"/>
                      <w:autoSpaceDN w:val="0"/>
                      <w:adjustRightInd w:val="0"/>
                      <w:snapToGrid w:val="0"/>
                      <w:jc w:val="center"/>
                      <w:rPr>
                        <w:szCs w:val="21"/>
                      </w:rPr>
                    </w:pPr>
                    <w:r>
                      <w:rPr>
                        <w:szCs w:val="21"/>
                      </w:rPr>
                      <w:t>主要财务指标</w:t>
                    </w:r>
                  </w:p>
                </w:tc>
              </w:sdtContent>
            </w:sdt>
            <w:sdt>
              <w:sdtPr>
                <w:rPr>
                  <w:rFonts w:ascii="Times New Roman" w:hAnsi="Times New Roman" w:cs="Times New Roman"/>
                </w:rPr>
                <w:tag w:val="_PLD_1a1e4f34f77949538a9c656b241499b6"/>
                <w:id w:val="-980845196"/>
                <w:lock w:val="sdtLocked"/>
              </w:sdtPr>
              <w:sdtEndPr>
                <w:rPr>
                  <w:rFonts w:ascii="Times New Roman" w:hAnsi="Times New Roman" w:cs="Times New Roman"/>
                </w:rPr>
              </w:sdtEndPr>
              <w:sdtContent>
                <w:tc>
                  <w:tcPr>
                    <w:tcW w:w="803"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p>
                </w:tc>
              </w:sdtContent>
            </w:sdt>
            <w:sdt>
              <w:sdtPr>
                <w:rPr>
                  <w:rFonts w:ascii="Times New Roman" w:hAnsi="Times New Roman" w:cs="Times New Roman"/>
                </w:rPr>
                <w:tag w:val="_PLD_9310148e9c2c4e968f8a8cf7147fc9a7"/>
                <w:id w:val="734824076"/>
                <w:lock w:val="sdtLocked"/>
              </w:sdtPr>
              <w:sdtEndPr>
                <w:rPr>
                  <w:rFonts w:ascii="Times New Roman" w:hAnsi="Times New Roman" w:cs="Times New Roman"/>
                </w:rPr>
              </w:sdtEndPr>
              <w:sdtContent>
                <w:tc>
                  <w:tcPr>
                    <w:tcW w:w="732"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2020</w:t>
                    </w:r>
                    <w:r>
                      <w:rPr>
                        <w:rFonts w:ascii="Times New Roman" w:cs="Times New Roman"/>
                        <w:szCs w:val="21"/>
                      </w:rPr>
                      <w:t>年</w:t>
                    </w:r>
                  </w:p>
                </w:tc>
              </w:sdtContent>
            </w:sdt>
            <w:sdt>
              <w:sdtPr>
                <w:rPr>
                  <w:rFonts w:ascii="Times New Roman" w:hAnsi="Times New Roman" w:cs="Times New Roman"/>
                </w:rPr>
                <w:tag w:val="_PLD_5901f5518cb6434888ae838febb8af68"/>
                <w:id w:val="136157871"/>
                <w:lock w:val="sdtLocked"/>
              </w:sdtPr>
              <w:sdtEndPr>
                <w:rPr>
                  <w:rFonts w:ascii="Times New Roman" w:hAnsi="Times New Roman" w:cs="Times New Roman"/>
                </w:rPr>
              </w:sdtEndPr>
              <w:sdtContent>
                <w:tc>
                  <w:tcPr>
                    <w:tcW w:w="850"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cs="Times New Roman"/>
                        <w:szCs w:val="21"/>
                      </w:rPr>
                      <w:t>本期比上年同期增减</w:t>
                    </w:r>
                    <w:r>
                      <w:rPr>
                        <w:rFonts w:ascii="Times New Roman" w:hAnsi="Times New Roman" w:cs="Times New Roman"/>
                        <w:szCs w:val="21"/>
                      </w:rPr>
                      <w:t>(%)</w:t>
                    </w:r>
                  </w:p>
                </w:tc>
              </w:sdtContent>
            </w:sdt>
            <w:sdt>
              <w:sdtPr>
                <w:rPr>
                  <w:rFonts w:ascii="Times New Roman" w:hAnsi="Times New Roman" w:cs="Times New Roman"/>
                </w:rPr>
                <w:tag w:val="_PLD_437266ed462e4dd1873b86621495169c"/>
                <w:id w:val="-2017061781"/>
                <w:lock w:val="sdtLocked"/>
              </w:sdtPr>
              <w:sdtEndPr>
                <w:rPr>
                  <w:rFonts w:ascii="Times New Roman" w:hAnsi="Times New Roman" w:cs="Times New Roman"/>
                </w:rPr>
              </w:sdtEndPr>
              <w:sdtContent>
                <w:tc>
                  <w:tcPr>
                    <w:tcW w:w="850" w:type="pct"/>
                    <w:vAlign w:val="center"/>
                  </w:tcPr>
                  <w:p>
                    <w:pPr>
                      <w:widowControl w:val="0"/>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2019</w:t>
                    </w:r>
                    <w:r>
                      <w:rPr>
                        <w:rFonts w:ascii="Times New Roman" w:cs="Times New Roman"/>
                        <w:szCs w:val="21"/>
                      </w:rPr>
                      <w:t>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2029c032d9941d88b63fd2cb7b877be"/>
                <w:id w:val="-1408215084"/>
                <w:lock w:val="sdtLocked"/>
              </w:sdtPr>
              <w:sdtContent>
                <w:tc>
                  <w:tcPr>
                    <w:tcW w:w="1765" w:type="pct"/>
                  </w:tcPr>
                  <w:p>
                    <w:pPr>
                      <w:widowControl w:val="0"/>
                      <w:kinsoku w:val="0"/>
                      <w:overflowPunct w:val="0"/>
                      <w:autoSpaceDE w:val="0"/>
                      <w:autoSpaceDN w:val="0"/>
                      <w:adjustRightInd w:val="0"/>
                      <w:snapToGrid w:val="0"/>
                      <w:jc w:val="both"/>
                      <w:rPr>
                        <w:szCs w:val="21"/>
                      </w:rPr>
                    </w:pPr>
                    <w:r>
                      <w:rPr>
                        <w:szCs w:val="21"/>
                      </w:rPr>
                      <w:t>基本每股收益（元／股）</w:t>
                    </w:r>
                  </w:p>
                </w:tc>
              </w:sdtContent>
            </w:sdt>
            <w:tc>
              <w:tcPr>
                <w:tcW w:w="803" w:type="pct"/>
                <w:vAlign w:val="center"/>
              </w:tcPr>
              <w:p>
                <w:pPr>
                  <w:widowControl w:val="0"/>
                  <w:jc w:val="right"/>
                  <w:rPr>
                    <w:rFonts w:ascii="Times New Roman" w:hAnsi="Times New Roman" w:cs="Times New Roman"/>
                    <w:sz w:val="24"/>
                  </w:rPr>
                </w:pPr>
                <w:r>
                  <w:rPr>
                    <w:rFonts w:ascii="Times New Roman" w:hAnsi="Times New Roman" w:cs="Times New Roman"/>
                  </w:rPr>
                  <w:t>0.0157</w:t>
                </w:r>
              </w:p>
            </w:tc>
            <w:tc>
              <w:tcPr>
                <w:tcW w:w="732" w:type="pct"/>
                <w:vAlign w:val="center"/>
              </w:tcPr>
              <w:p>
                <w:pPr>
                  <w:widowControl w:val="0"/>
                  <w:jc w:val="right"/>
                  <w:rPr>
                    <w:rFonts w:ascii="Times New Roman" w:hAnsi="Times New Roman" w:cs="Times New Roman"/>
                    <w:sz w:val="24"/>
                  </w:rPr>
                </w:pPr>
                <w:r>
                  <w:rPr>
                    <w:rFonts w:ascii="Times New Roman" w:hAnsi="Times New Roman" w:cs="Times New Roman"/>
                  </w:rPr>
                  <w:t>0.1055</w:t>
                </w:r>
              </w:p>
            </w:tc>
            <w:tc>
              <w:tcPr>
                <w:tcW w:w="850" w:type="pct"/>
                <w:vAlign w:val="center"/>
              </w:tcPr>
              <w:p>
                <w:pPr>
                  <w:widowControl w:val="0"/>
                  <w:jc w:val="right"/>
                  <w:rPr>
                    <w:rFonts w:ascii="Times New Roman" w:hAnsi="Times New Roman" w:cs="Times New Roman"/>
                    <w:sz w:val="24"/>
                  </w:rPr>
                </w:pPr>
                <w:r>
                  <w:rPr>
                    <w:rFonts w:ascii="Times New Roman" w:hAnsi="Times New Roman" w:cs="Times New Roman"/>
                  </w:rPr>
                  <w:t>-85.12</w:t>
                </w:r>
              </w:p>
            </w:tc>
            <w:tc>
              <w:tcPr>
                <w:tcW w:w="850" w:type="pct"/>
                <w:vAlign w:val="center"/>
              </w:tcPr>
              <w:p>
                <w:pPr>
                  <w:widowControl w:val="0"/>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06ab82e1b1a468183667d9f85129f9f"/>
                <w:id w:val="-1547676547"/>
                <w:lock w:val="sdtLocked"/>
              </w:sdtPr>
              <w:sdtContent>
                <w:tc>
                  <w:tcPr>
                    <w:tcW w:w="1765" w:type="pct"/>
                    <w:vAlign w:val="center"/>
                  </w:tcPr>
                  <w:p>
                    <w:pPr>
                      <w:widowControl w:val="0"/>
                      <w:kinsoku w:val="0"/>
                      <w:overflowPunct w:val="0"/>
                      <w:autoSpaceDE w:val="0"/>
                      <w:autoSpaceDN w:val="0"/>
                      <w:adjustRightInd w:val="0"/>
                      <w:snapToGrid w:val="0"/>
                      <w:jc w:val="both"/>
                      <w:rPr>
                        <w:szCs w:val="21"/>
                      </w:rPr>
                    </w:pPr>
                    <w:r>
                      <w:rPr>
                        <w:szCs w:val="21"/>
                      </w:rPr>
                      <w:t>稀释每股收益（元／股）</w:t>
                    </w:r>
                  </w:p>
                </w:tc>
              </w:sdtContent>
            </w:sdt>
            <w:tc>
              <w:tcPr>
                <w:tcW w:w="803" w:type="pct"/>
                <w:vAlign w:val="center"/>
              </w:tcPr>
              <w:p>
                <w:pPr>
                  <w:widowControl w:val="0"/>
                  <w:jc w:val="right"/>
                  <w:rPr>
                    <w:rFonts w:ascii="Times New Roman" w:hAnsi="Times New Roman" w:cs="Times New Roman"/>
                    <w:sz w:val="24"/>
                  </w:rPr>
                </w:pPr>
                <w:r>
                  <w:rPr>
                    <w:rFonts w:hint="eastAsia" w:ascii="Times New Roman" w:hAnsi="Times New Roman" w:cs="Times New Roman"/>
                    <w:sz w:val="24"/>
                  </w:rPr>
                  <w:t>/</w:t>
                </w:r>
              </w:p>
            </w:tc>
            <w:tc>
              <w:tcPr>
                <w:tcW w:w="732" w:type="pct"/>
                <w:vAlign w:val="center"/>
              </w:tcPr>
              <w:p>
                <w:pPr>
                  <w:widowControl w:val="0"/>
                  <w:jc w:val="right"/>
                  <w:rPr>
                    <w:rFonts w:ascii="Times New Roman" w:hAnsi="Times New Roman" w:cs="Times New Roman"/>
                    <w:sz w:val="24"/>
                  </w:rPr>
                </w:pPr>
                <w:r>
                  <w:rPr>
                    <w:rFonts w:hint="eastAsia" w:ascii="Times New Roman" w:hAnsi="Times New Roman" w:cs="Times New Roman"/>
                    <w:sz w:val="24"/>
                  </w:rPr>
                  <w:t>/</w:t>
                </w:r>
              </w:p>
            </w:tc>
            <w:tc>
              <w:tcPr>
                <w:tcW w:w="850" w:type="pct"/>
                <w:vAlign w:val="center"/>
              </w:tcPr>
              <w:p>
                <w:pPr>
                  <w:widowControl w:val="0"/>
                  <w:jc w:val="right"/>
                  <w:rPr>
                    <w:rFonts w:ascii="Times New Roman" w:hAnsi="Times New Roman" w:cs="Times New Roman"/>
                    <w:sz w:val="24"/>
                  </w:rPr>
                </w:pPr>
                <w:r>
                  <w:rPr>
                    <w:rFonts w:hint="eastAsia" w:ascii="Times New Roman" w:hAnsi="Times New Roman" w:cs="Times New Roman"/>
                    <w:sz w:val="24"/>
                  </w:rPr>
                  <w:t>/</w:t>
                </w:r>
              </w:p>
            </w:tc>
            <w:tc>
              <w:tcPr>
                <w:tcW w:w="850" w:type="pct"/>
                <w:vAlign w:val="center"/>
              </w:tcPr>
              <w:p>
                <w:pPr>
                  <w:widowControl w:val="0"/>
                  <w:kinsoku w:val="0"/>
                  <w:overflowPunct w:val="0"/>
                  <w:autoSpaceDE w:val="0"/>
                  <w:autoSpaceDN w:val="0"/>
                  <w:adjustRightInd w:val="0"/>
                  <w:snapToGrid w:val="0"/>
                  <w:jc w:val="right"/>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a69c7a48d54fb690056285f916f579"/>
                <w:id w:val="-1526319804"/>
                <w:lock w:val="sdtLocked"/>
              </w:sdtPr>
              <w:sdtContent>
                <w:tc>
                  <w:tcPr>
                    <w:tcW w:w="1765" w:type="pct"/>
                    <w:vAlign w:val="center"/>
                  </w:tcPr>
                  <w:p>
                    <w:pPr>
                      <w:widowControl w:val="0"/>
                      <w:kinsoku w:val="0"/>
                      <w:overflowPunct w:val="0"/>
                      <w:autoSpaceDE w:val="0"/>
                      <w:autoSpaceDN w:val="0"/>
                      <w:adjustRightInd w:val="0"/>
                      <w:snapToGrid w:val="0"/>
                      <w:jc w:val="both"/>
                      <w:rPr>
                        <w:szCs w:val="21"/>
                      </w:rPr>
                    </w:pPr>
                    <w:r>
                      <w:rPr>
                        <w:szCs w:val="21"/>
                      </w:rPr>
                      <w:t>扣除非经常性损益后的基本每股收益（元／股）</w:t>
                    </w:r>
                  </w:p>
                </w:tc>
              </w:sdtContent>
            </w:sdt>
            <w:tc>
              <w:tcPr>
                <w:tcW w:w="803" w:type="pct"/>
                <w:vAlign w:val="center"/>
              </w:tcPr>
              <w:p>
                <w:pPr>
                  <w:widowControl w:val="0"/>
                  <w:jc w:val="right"/>
                  <w:rPr>
                    <w:rFonts w:ascii="Times New Roman" w:hAnsi="Times New Roman" w:cs="Times New Roman"/>
                    <w:sz w:val="24"/>
                  </w:rPr>
                </w:pPr>
                <w:r>
                  <w:rPr>
                    <w:rFonts w:ascii="Times New Roman" w:hAnsi="Times New Roman" w:cs="Times New Roman"/>
                  </w:rPr>
                  <w:t>0.0031</w:t>
                </w:r>
              </w:p>
            </w:tc>
            <w:tc>
              <w:tcPr>
                <w:tcW w:w="732" w:type="pct"/>
                <w:vAlign w:val="center"/>
              </w:tcPr>
              <w:p>
                <w:pPr>
                  <w:widowControl w:val="0"/>
                  <w:jc w:val="right"/>
                  <w:rPr>
                    <w:rFonts w:ascii="Times New Roman" w:hAnsi="Times New Roman" w:cs="Times New Roman"/>
                    <w:sz w:val="24"/>
                  </w:rPr>
                </w:pPr>
                <w:r>
                  <w:rPr>
                    <w:rFonts w:ascii="Times New Roman" w:hAnsi="Times New Roman" w:cs="Times New Roman"/>
                  </w:rPr>
                  <w:t>0.0017</w:t>
                </w:r>
              </w:p>
            </w:tc>
            <w:tc>
              <w:tcPr>
                <w:tcW w:w="850" w:type="pct"/>
                <w:vAlign w:val="center"/>
              </w:tcPr>
              <w:p>
                <w:pPr>
                  <w:widowControl w:val="0"/>
                  <w:jc w:val="right"/>
                  <w:rPr>
                    <w:rFonts w:ascii="Times New Roman" w:hAnsi="Times New Roman" w:cs="Times New Roman"/>
                    <w:sz w:val="24"/>
                  </w:rPr>
                </w:pPr>
                <w:r>
                  <w:rPr>
                    <w:rFonts w:ascii="Times New Roman" w:hAnsi="Times New Roman" w:cs="Times New Roman"/>
                  </w:rPr>
                  <w:t>82.35</w:t>
                </w:r>
              </w:p>
            </w:tc>
            <w:tc>
              <w:tcPr>
                <w:tcW w:w="850" w:type="pct"/>
                <w:vAlign w:val="center"/>
              </w:tcPr>
              <w:p>
                <w:pPr>
                  <w:widowControl w:val="0"/>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3b5ea80f39c406c95219d8487076098"/>
                <w:id w:val="-903220638"/>
                <w:lock w:val="sdtLocked"/>
              </w:sdtPr>
              <w:sdtContent>
                <w:tc>
                  <w:tcPr>
                    <w:tcW w:w="1765" w:type="pct"/>
                    <w:vAlign w:val="center"/>
                  </w:tcPr>
                  <w:p>
                    <w:pPr>
                      <w:widowControl w:val="0"/>
                      <w:kinsoku w:val="0"/>
                      <w:overflowPunct w:val="0"/>
                      <w:autoSpaceDE w:val="0"/>
                      <w:autoSpaceDN w:val="0"/>
                      <w:adjustRightInd w:val="0"/>
                      <w:snapToGrid w:val="0"/>
                      <w:jc w:val="both"/>
                      <w:rPr>
                        <w:szCs w:val="21"/>
                      </w:rPr>
                    </w:pPr>
                    <w:r>
                      <w:rPr>
                        <w:szCs w:val="21"/>
                      </w:rPr>
                      <w:t>加权平均净资产收益率（%）</w:t>
                    </w:r>
                  </w:p>
                </w:tc>
              </w:sdtContent>
            </w:sdt>
            <w:tc>
              <w:tcPr>
                <w:tcW w:w="803" w:type="pct"/>
                <w:vAlign w:val="center"/>
              </w:tcPr>
              <w:p>
                <w:pPr>
                  <w:widowControl w:val="0"/>
                  <w:jc w:val="right"/>
                  <w:rPr>
                    <w:rFonts w:ascii="Times New Roman" w:hAnsi="Times New Roman" w:cs="Times New Roman"/>
                    <w:sz w:val="24"/>
                  </w:rPr>
                </w:pPr>
                <w:r>
                  <w:rPr>
                    <w:rFonts w:ascii="Times New Roman" w:hAnsi="Times New Roman" w:cs="Times New Roman"/>
                  </w:rPr>
                  <w:t>0.41</w:t>
                </w:r>
              </w:p>
            </w:tc>
            <w:tc>
              <w:tcPr>
                <w:tcW w:w="732" w:type="pct"/>
                <w:vAlign w:val="center"/>
              </w:tcPr>
              <w:p>
                <w:pPr>
                  <w:widowControl w:val="0"/>
                  <w:jc w:val="right"/>
                  <w:rPr>
                    <w:rFonts w:ascii="Times New Roman" w:hAnsi="Times New Roman" w:cs="Times New Roman"/>
                    <w:sz w:val="24"/>
                  </w:rPr>
                </w:pPr>
                <w:r>
                  <w:rPr>
                    <w:rFonts w:ascii="Times New Roman" w:hAnsi="Times New Roman" w:cs="Times New Roman"/>
                  </w:rPr>
                  <w:t>2.77</w:t>
                </w:r>
              </w:p>
            </w:tc>
            <w:tc>
              <w:tcPr>
                <w:tcW w:w="850" w:type="pct"/>
                <w:vAlign w:val="center"/>
              </w:tcPr>
              <w:p>
                <w:pPr>
                  <w:widowControl w:val="0"/>
                  <w:jc w:val="right"/>
                  <w:rPr>
                    <w:rFonts w:ascii="Times New Roman" w:hAnsi="Times New Roman" w:cs="Times New Roman"/>
                    <w:sz w:val="24"/>
                  </w:rPr>
                </w:pPr>
                <w:r>
                  <w:rPr>
                    <w:rFonts w:hint="eastAsia" w:ascii="Times New Roman" w:hAnsi="Times New Roman" w:cs="Times New Roman"/>
                  </w:rPr>
                  <w:t>减少2.36个百分点</w:t>
                </w:r>
              </w:p>
            </w:tc>
            <w:tc>
              <w:tcPr>
                <w:tcW w:w="850" w:type="pct"/>
                <w:vAlign w:val="center"/>
              </w:tcPr>
              <w:p>
                <w:pPr>
                  <w:widowControl w:val="0"/>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253a26569144748535d650731774ce"/>
                <w:id w:val="441419298"/>
                <w:lock w:val="sdtLocked"/>
              </w:sdtPr>
              <w:sdtContent>
                <w:tc>
                  <w:tcPr>
                    <w:tcW w:w="1765" w:type="pct"/>
                    <w:vAlign w:val="center"/>
                  </w:tcPr>
                  <w:p>
                    <w:pPr>
                      <w:widowControl w:val="0"/>
                      <w:kinsoku w:val="0"/>
                      <w:overflowPunct w:val="0"/>
                      <w:autoSpaceDE w:val="0"/>
                      <w:autoSpaceDN w:val="0"/>
                      <w:adjustRightInd w:val="0"/>
                      <w:snapToGrid w:val="0"/>
                      <w:jc w:val="both"/>
                      <w:rPr>
                        <w:szCs w:val="21"/>
                      </w:rPr>
                    </w:pPr>
                    <w:r>
                      <w:rPr>
                        <w:szCs w:val="21"/>
                      </w:rPr>
                      <w:t>扣除非经常性损益后的加权平均净资产收益率（%）</w:t>
                    </w:r>
                  </w:p>
                </w:tc>
              </w:sdtContent>
            </w:sdt>
            <w:tc>
              <w:tcPr>
                <w:tcW w:w="803" w:type="pct"/>
                <w:vAlign w:val="center"/>
              </w:tcPr>
              <w:p>
                <w:pPr>
                  <w:widowControl w:val="0"/>
                  <w:jc w:val="right"/>
                  <w:rPr>
                    <w:rFonts w:ascii="Times New Roman" w:hAnsi="Times New Roman" w:cs="Times New Roman"/>
                    <w:sz w:val="24"/>
                  </w:rPr>
                </w:pPr>
                <w:r>
                  <w:rPr>
                    <w:rFonts w:ascii="Times New Roman" w:hAnsi="Times New Roman" w:cs="Times New Roman"/>
                  </w:rPr>
                  <w:t>0.08</w:t>
                </w:r>
              </w:p>
            </w:tc>
            <w:tc>
              <w:tcPr>
                <w:tcW w:w="732" w:type="pct"/>
                <w:vAlign w:val="center"/>
              </w:tcPr>
              <w:p>
                <w:pPr>
                  <w:widowControl w:val="0"/>
                  <w:jc w:val="right"/>
                  <w:rPr>
                    <w:rFonts w:ascii="Times New Roman" w:hAnsi="Times New Roman" w:cs="Times New Roman"/>
                    <w:sz w:val="24"/>
                  </w:rPr>
                </w:pPr>
                <w:r>
                  <w:rPr>
                    <w:rFonts w:ascii="Times New Roman" w:hAnsi="Times New Roman" w:cs="Times New Roman"/>
                  </w:rPr>
                  <w:t>0.05</w:t>
                </w:r>
              </w:p>
            </w:tc>
            <w:tc>
              <w:tcPr>
                <w:tcW w:w="850" w:type="pct"/>
                <w:vAlign w:val="center"/>
              </w:tcPr>
              <w:p>
                <w:pPr>
                  <w:widowControl w:val="0"/>
                  <w:jc w:val="right"/>
                  <w:rPr>
                    <w:rFonts w:ascii="Times New Roman" w:hAnsi="Times New Roman" w:cs="Times New Roman"/>
                    <w:sz w:val="24"/>
                  </w:rPr>
                </w:pPr>
                <w:r>
                  <w:rPr>
                    <w:rFonts w:ascii="Times New Roman" w:hAnsi="Times New Roman" w:cs="Times New Roman"/>
                  </w:rPr>
                  <w:t>0.03</w:t>
                </w:r>
              </w:p>
            </w:tc>
            <w:tc>
              <w:tcPr>
                <w:tcW w:w="850" w:type="pct"/>
                <w:vAlign w:val="center"/>
              </w:tcPr>
              <w:p>
                <w:pPr>
                  <w:widowControl w:val="0"/>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-6.76</w:t>
                </w:r>
              </w:p>
            </w:tc>
          </w:tr>
        </w:tbl>
        <w:p/>
        <w:p/>
      </w:sdtContent>
    </w:sdt>
    <w:sdt>
      <w:sdtPr>
        <w:alias w:val="模块:公司主要会计数据和财务指标的说明"/>
        <w:tag w:val="_SEC_e0c1d174841549508433e1bc7cb4c9d5"/>
        <w:id w:val="865722121"/>
        <w:lock w:val="sdtLocked"/>
        <w:placeholder>
          <w:docPart w:val="GBC22222222222222222222222222222"/>
        </w:placeholder>
      </w:sdtPr>
      <w:sdtEndPr>
        <w:rPr>
          <w:rFonts w:ascii="Times New Roman" w:hAnsi="Times New Roman" w:cs="Times New Roman"/>
        </w:rPr>
      </w:sdtEndPr>
      <w:sdtContent>
        <w:p>
          <w:pPr>
            <w:spacing w:line="400" w:lineRule="exact"/>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865722119"/>
            <w:lock w:val="sdtLocked"/>
            <w:placeholder>
              <w:docPart w:val="GBC22222222222222222222222222222"/>
            </w:placeholder>
          </w:sdtPr>
          <w:sdtEndPr>
            <w:rPr>
              <w:szCs w:val="21"/>
            </w:rPr>
          </w:sdtEndPr>
          <w:sdtContent>
            <w:p>
              <w:pPr>
                <w:spacing w:line="400" w:lineRule="exact"/>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400" w:lineRule="exact"/>
            <w:rPr>
              <w:rFonts w:ascii="Times New Roman" w:hAnsi="Times New Roman" w:cs="Times New Roman"/>
              <w:szCs w:val="21"/>
            </w:rPr>
          </w:pPr>
        </w:p>
      </w:sdtContent>
    </w:sdt>
    <w:p>
      <w:pPr>
        <w:pStyle w:val="3"/>
        <w:numPr>
          <w:ilvl w:val="1"/>
          <w:numId w:val="4"/>
        </w:numPr>
        <w:ind w:left="498" w:hanging="498" w:hangingChars="236"/>
      </w:pPr>
      <w:r>
        <w:rPr>
          <w:rFonts w:hint="eastAsia"/>
        </w:rPr>
        <w:t>境内外会计准则下会计数据差异</w:t>
      </w:r>
    </w:p>
    <w:sdt>
      <w:sdtPr>
        <w:rPr>
          <w:rFonts w:hint="eastAsia" w:ascii="宋体" w:hAnsi="宋体" w:cs="宋体"/>
          <w:b w:val="0"/>
          <w:bCs w:val="0"/>
          <w:kern w:val="0"/>
          <w:szCs w:val="21"/>
        </w:rPr>
        <w:alias w:val="模块:同时按照国际会计准则与按中国会计准则披露的差异"/>
        <w:tag w:val="_SEC_cd4f769de8434e6fa625c3e1e3edf9f8"/>
        <w:id w:val="865722123"/>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6"/>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86572212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865722125"/>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6"/>
            </w:numPr>
            <w:ind w:left="368" w:hanging="367" w:hangingChars="175"/>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86572212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sdtContent>
        </w:sdt>
      </w:sdtContent>
    </w:sdt>
    <w:sdt>
      <w:sdtPr>
        <w:rPr>
          <w:rFonts w:ascii="宋体" w:hAnsi="宋体" w:cs="宋体"/>
          <w:b w:val="0"/>
          <w:bCs w:val="0"/>
          <w:kern w:val="0"/>
          <w:sz w:val="24"/>
          <w:szCs w:val="22"/>
        </w:rPr>
        <w:alias w:val="模块:境内外会计准则差异的说明"/>
        <w:tag w:val="_SEC_b22be8396e6f44ec8ff113069c448aa0"/>
        <w:id w:val="865722127"/>
        <w:lock w:val="sdtLocked"/>
        <w:placeholder>
          <w:docPart w:val="GBC22222222222222222222222222222"/>
        </w:placeholder>
      </w:sdtPr>
      <w:sdtEndPr>
        <w:rPr>
          <w:rFonts w:ascii="宋体" w:hAnsi="宋体" w:cs="宋体"/>
          <w:b w:val="0"/>
          <w:bCs w:val="0"/>
          <w:kern w:val="0"/>
          <w:sz w:val="21"/>
          <w:szCs w:val="24"/>
        </w:rPr>
      </w:sdtEndPr>
      <w:sdtContent>
        <w:p>
          <w:pPr>
            <w:pStyle w:val="4"/>
            <w:numPr>
              <w:ilvl w:val="0"/>
              <w:numId w:val="6"/>
            </w:numPr>
            <w:ind w:hangingChars="175"/>
          </w:pPr>
          <w:r>
            <w:t>境内外会计准则差异的说明：</w:t>
          </w:r>
        </w:p>
        <w:sdt>
          <w:sdtPr>
            <w:alias w:val="是否适用：境内外会计准则差异的说明[双击切换]"/>
            <w:tag w:val="_GBC_fb9a5edc484f49ab948423fc0bade519"/>
            <w:id w:val="86572212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1"/>
          <w:numId w:val="4"/>
        </w:numPr>
        <w:ind w:left="498" w:hanging="498" w:hangingChars="236"/>
      </w:pPr>
      <w:r>
        <w:rPr>
          <w:rFonts w:hint="eastAsia"/>
        </w:rPr>
        <w:t>2021年分季度主要财务数据</w:t>
      </w:r>
    </w:p>
    <w:sdt>
      <w:sdtPr>
        <w:rPr>
          <w:rFonts w:ascii="Times New Roman" w:hAnsi="Times New Roman" w:eastAsia="MS Mincho" w:cs="Times New Roman"/>
          <w:b/>
          <w:bCs/>
          <w:kern w:val="2"/>
          <w:szCs w:val="21"/>
        </w:rPr>
        <w:alias w:val="模块:分季度主要财务数据"/>
        <w:tag w:val="_SEC_8cfd3688781f4629a476386b97fa2f75"/>
        <w:id w:val="865722139"/>
        <w:lock w:val="sdtLocked"/>
        <w:placeholder>
          <w:docPart w:val="GBC22222222222222222222222222222"/>
        </w:placeholder>
      </w:sdtPr>
      <w:sdtEndPr>
        <w:rPr>
          <w:rFonts w:ascii="Times New Roman" w:hAnsi="Times New Roman" w:cs="Times New Roman" w:eastAsiaTheme="minorEastAsia"/>
          <w:b w:val="0"/>
          <w:bCs w:val="0"/>
          <w:kern w:val="2"/>
          <w:szCs w:val="21"/>
        </w:rPr>
      </w:sdtEndPr>
      <w:sdtContent>
        <w:p>
          <w:pPr>
            <w:jc w:val="right"/>
            <w:rPr>
              <w:rFonts w:ascii="Times New Roman" w:hAnsi="Times New Roman" w:eastAsia="MS Mincho" w:cs="Times New Roman"/>
              <w:szCs w:val="21"/>
            </w:rPr>
          </w:pPr>
          <w:r>
            <w:rPr>
              <w:rFonts w:ascii="Times New Roman" w:hAnsi="Times New Roman" w:cs="Times New Roman"/>
              <w:szCs w:val="21"/>
            </w:rPr>
            <w:t>单</w:t>
          </w:r>
          <w:r>
            <w:rPr>
              <w:rFonts w:ascii="Times New Roman" w:hAnsi="MS Mincho" w:eastAsia="MS Mincho" w:cs="Times New Roman"/>
              <w:szCs w:val="21"/>
            </w:rPr>
            <w:t>位：</w:t>
          </w:r>
          <w:sdt>
            <w:sdtPr>
              <w:rPr>
                <w:rFonts w:ascii="Times New Roman" w:hAnsi="Times New Roman" w:eastAsia="MS Mincho" w:cs="Times New Roman"/>
                <w:szCs w:val="21"/>
              </w:rPr>
              <w:alias w:val="单位：分季度主要财务数据"/>
              <w:tag w:val="_GBC_c7bf8a69799342519e2da375e77f8d89"/>
              <w:id w:val="8657221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Times New Roman" w:hAnsi="Times New Roman" w:eastAsia="MS Mincho" w:cs="Times New Roman"/>
                <w:szCs w:val="21"/>
              </w:rPr>
            </w:sdtEndPr>
            <w:sdtContent>
              <w:r>
                <w:rPr>
                  <w:rFonts w:ascii="Times New Roman" w:hAnsi="MS Mincho" w:eastAsia="MS Mincho" w:cs="Times New Roman"/>
                  <w:szCs w:val="21"/>
                </w:rPr>
                <w:t>元</w:t>
              </w:r>
            </w:sdtContent>
          </w:sdt>
          <w:r>
            <w:rPr>
              <w:rFonts w:ascii="Times New Roman" w:hAnsi="Times New Roman" w:eastAsia="MS Mincho" w:cs="Times New Roman"/>
              <w:szCs w:val="21"/>
            </w:rPr>
            <w:t xml:space="preserve">  </w:t>
          </w:r>
          <w:r>
            <w:rPr>
              <w:rFonts w:ascii="Times New Roman" w:hAnsi="Times New Roman" w:cs="Times New Roman"/>
              <w:szCs w:val="21"/>
            </w:rPr>
            <w:t>币种</w:t>
          </w:r>
          <w:r>
            <w:rPr>
              <w:rFonts w:ascii="Times New Roman" w:hAnsi="MS Mincho" w:eastAsia="MS Mincho" w:cs="Times New Roman"/>
              <w:szCs w:val="21"/>
            </w:rPr>
            <w:t>：</w:t>
          </w:r>
          <w:sdt>
            <w:sdtPr>
              <w:rPr>
                <w:rFonts w:ascii="Times New Roman" w:hAnsi="Times New Roman" w:eastAsia="MS Mincho" w:cs="Times New Roman"/>
                <w:szCs w:val="21"/>
              </w:rPr>
              <w:alias w:val="币种：分季度主要财务数据"/>
              <w:tag w:val="_GBC_e825fbcd15674ffd86165e4ed7dcbbaf"/>
              <w:id w:val="865722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Times New Roman" w:hAnsi="Times New Roman" w:eastAsia="MS Mincho" w:cs="Times New Roman"/>
                <w:szCs w:val="21"/>
              </w:rPr>
            </w:sdtEndPr>
            <w:sdtContent>
              <w:r>
                <w:rPr>
                  <w:rFonts w:ascii="Times New Roman" w:hAnsi="MS Mincho" w:eastAsia="MS Mincho" w:cs="Times New Roman"/>
                  <w:szCs w:val="21"/>
                </w:rPr>
                <w:t>人民</w:t>
              </w:r>
              <w:r>
                <w:rPr>
                  <w:rFonts w:ascii="Times New Roman" w:hAnsi="Times New Roman" w:cs="Times New Roman"/>
                  <w:szCs w:val="21"/>
                </w:rPr>
                <w:t>币</w:t>
              </w:r>
            </w:sdtContent>
          </w:sdt>
        </w:p>
        <w:tbl>
          <w:tblPr>
            <w:tblStyle w:val="10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843"/>
            <w:gridCol w:w="1559"/>
            <w:gridCol w:w="1559"/>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jc w:val="center"/>
                  <w:rPr>
                    <w:rFonts w:cs="Times New Roman" w:asciiTheme="minorEastAsia" w:hAnsiTheme="minorEastAsia" w:eastAsiaTheme="minorEastAsia"/>
                  </w:rPr>
                </w:pPr>
              </w:p>
            </w:tc>
            <w:sdt>
              <w:sdtPr>
                <w:rPr>
                  <w:rFonts w:ascii="Times New Roman" w:hAnsi="Times New Roman" w:cs="Times New Roman" w:eastAsiaTheme="minorEastAsia"/>
                </w:rPr>
                <w:tag w:val="_PLD_2d7ae3b1c4bd43a98e284f10d0bdc51f"/>
                <w:id w:val="865722130"/>
                <w:lock w:val="sdtLocked"/>
              </w:sdtPr>
              <w:sdtEndPr>
                <w:rPr>
                  <w:rFonts w:ascii="Times New Roman" w:hAnsi="Times New Roman" w:cs="Times New Roman" w:eastAsiaTheme="minorEastAsia"/>
                </w:rPr>
              </w:sdtEndPr>
              <w:sdtContent>
                <w:tc>
                  <w:tcPr>
                    <w:tcW w:w="1843" w:type="dxa"/>
                    <w:vAlign w:val="center"/>
                  </w:tcPr>
                  <w:p>
                    <w:pPr>
                      <w:jc w:val="center"/>
                      <w:rPr>
                        <w:rFonts w:ascii="Times New Roman" w:hAnsi="Times New Roman" w:cs="Times New Roman" w:eastAsiaTheme="minorEastAsia"/>
                      </w:rPr>
                    </w:pPr>
                    <w:r>
                      <w:rPr>
                        <w:rFonts w:ascii="Times New Roman" w:cs="Times New Roman" w:hAnsiTheme="minorEastAsia" w:eastAsiaTheme="minorEastAsia"/>
                      </w:rPr>
                      <w:t>第一季度</w:t>
                    </w:r>
                  </w:p>
                  <w:p>
                    <w:pPr>
                      <w:jc w:val="center"/>
                      <w:rPr>
                        <w:rFonts w:ascii="Times New Roman" w:hAnsi="Times New Roman" w:cs="Times New Roman" w:eastAsiaTheme="minorEastAsia"/>
                      </w:rPr>
                    </w:pPr>
                    <w:r>
                      <w:rPr>
                        <w:rFonts w:ascii="Times New Roman" w:cs="Times New Roman" w:hAnsiTheme="minorEastAsia" w:eastAsiaTheme="minorEastAsia"/>
                      </w:rPr>
                      <w:t>（</w:t>
                    </w:r>
                    <w:r>
                      <w:rPr>
                        <w:rFonts w:ascii="Times New Roman" w:hAnsi="Times New Roman" w:cs="Times New Roman" w:eastAsiaTheme="minorEastAsia"/>
                      </w:rPr>
                      <w:t>1-3</w:t>
                    </w:r>
                    <w:r>
                      <w:rPr>
                        <w:rFonts w:ascii="Times New Roman" w:cs="Times New Roman" w:hAnsiTheme="minorEastAsia" w:eastAsiaTheme="minorEastAsia"/>
                      </w:rPr>
                      <w:t>月份）</w:t>
                    </w:r>
                  </w:p>
                </w:tc>
              </w:sdtContent>
            </w:sdt>
            <w:sdt>
              <w:sdtPr>
                <w:rPr>
                  <w:rFonts w:ascii="Times New Roman" w:hAnsi="Times New Roman" w:cs="Times New Roman" w:eastAsiaTheme="minorEastAsia"/>
                </w:rPr>
                <w:tag w:val="_PLD_07258d0e3e7e4393960c3400b24cda70"/>
                <w:id w:val="865722131"/>
                <w:lock w:val="sdtLocked"/>
              </w:sdtPr>
              <w:sdtEndPr>
                <w:rPr>
                  <w:rFonts w:ascii="Times New Roman" w:hAnsi="Times New Roman" w:cs="Times New Roman" w:eastAsiaTheme="minorEastAsia"/>
                </w:rPr>
              </w:sdtEndPr>
              <w:sdtContent>
                <w:tc>
                  <w:tcPr>
                    <w:tcW w:w="1559" w:type="dxa"/>
                    <w:vAlign w:val="center"/>
                  </w:tcPr>
                  <w:p>
                    <w:pPr>
                      <w:jc w:val="center"/>
                      <w:rPr>
                        <w:rFonts w:ascii="Times New Roman" w:hAnsi="Times New Roman" w:cs="Times New Roman" w:eastAsiaTheme="minorEastAsia"/>
                      </w:rPr>
                    </w:pPr>
                    <w:r>
                      <w:rPr>
                        <w:rFonts w:ascii="Times New Roman" w:cs="Times New Roman" w:hAnsiTheme="minorEastAsia" w:eastAsiaTheme="minorEastAsia"/>
                      </w:rPr>
                      <w:t>第二季度</w:t>
                    </w:r>
                  </w:p>
                  <w:p>
                    <w:pPr>
                      <w:jc w:val="center"/>
                      <w:rPr>
                        <w:rFonts w:ascii="Times New Roman" w:hAnsi="Times New Roman" w:cs="Times New Roman" w:eastAsiaTheme="minorEastAsia"/>
                      </w:rPr>
                    </w:pPr>
                    <w:r>
                      <w:rPr>
                        <w:rFonts w:ascii="Times New Roman" w:cs="Times New Roman" w:hAnsiTheme="minorEastAsia" w:eastAsiaTheme="minorEastAsia"/>
                      </w:rPr>
                      <w:t>（</w:t>
                    </w:r>
                    <w:r>
                      <w:rPr>
                        <w:rFonts w:ascii="Times New Roman" w:hAnsi="Times New Roman" w:cs="Times New Roman" w:eastAsiaTheme="minorEastAsia"/>
                      </w:rPr>
                      <w:t>4-6</w:t>
                    </w:r>
                    <w:r>
                      <w:rPr>
                        <w:rFonts w:ascii="Times New Roman" w:cs="Times New Roman" w:hAnsiTheme="minorEastAsia" w:eastAsiaTheme="minorEastAsia"/>
                      </w:rPr>
                      <w:t>月份）</w:t>
                    </w:r>
                  </w:p>
                </w:tc>
              </w:sdtContent>
            </w:sdt>
            <w:sdt>
              <w:sdtPr>
                <w:rPr>
                  <w:rFonts w:ascii="Times New Roman" w:hAnsi="Times New Roman" w:cs="Times New Roman" w:eastAsiaTheme="minorEastAsia"/>
                </w:rPr>
                <w:tag w:val="_PLD_f34790307d174eceaa953001c5186096"/>
                <w:id w:val="865722132"/>
                <w:lock w:val="sdtLocked"/>
              </w:sdtPr>
              <w:sdtEndPr>
                <w:rPr>
                  <w:rFonts w:ascii="Times New Roman" w:hAnsi="Times New Roman" w:cs="Times New Roman" w:eastAsiaTheme="minorEastAsia"/>
                </w:rPr>
              </w:sdtEndPr>
              <w:sdtContent>
                <w:tc>
                  <w:tcPr>
                    <w:tcW w:w="1559" w:type="dxa"/>
                    <w:vAlign w:val="center"/>
                  </w:tcPr>
                  <w:p>
                    <w:pPr>
                      <w:jc w:val="center"/>
                      <w:rPr>
                        <w:rFonts w:ascii="Times New Roman" w:hAnsi="Times New Roman" w:cs="Times New Roman" w:eastAsiaTheme="minorEastAsia"/>
                      </w:rPr>
                    </w:pPr>
                    <w:r>
                      <w:rPr>
                        <w:rFonts w:ascii="Times New Roman" w:cs="Times New Roman" w:hAnsiTheme="minorEastAsia" w:eastAsiaTheme="minorEastAsia"/>
                      </w:rPr>
                      <w:t>第三季度</w:t>
                    </w:r>
                  </w:p>
                  <w:p>
                    <w:pPr>
                      <w:jc w:val="center"/>
                      <w:rPr>
                        <w:rFonts w:ascii="Times New Roman" w:hAnsi="Times New Roman" w:cs="Times New Roman" w:eastAsiaTheme="minorEastAsia"/>
                      </w:rPr>
                    </w:pPr>
                    <w:r>
                      <w:rPr>
                        <w:rFonts w:ascii="Times New Roman" w:cs="Times New Roman" w:hAnsiTheme="minorEastAsia" w:eastAsiaTheme="minorEastAsia"/>
                      </w:rPr>
                      <w:t>（</w:t>
                    </w:r>
                    <w:r>
                      <w:rPr>
                        <w:rFonts w:ascii="Times New Roman" w:hAnsi="Times New Roman" w:cs="Times New Roman" w:eastAsiaTheme="minorEastAsia"/>
                      </w:rPr>
                      <w:t>7-9</w:t>
                    </w:r>
                    <w:r>
                      <w:rPr>
                        <w:rFonts w:ascii="Times New Roman" w:cs="Times New Roman" w:hAnsiTheme="minorEastAsia" w:eastAsiaTheme="minorEastAsia"/>
                      </w:rPr>
                      <w:t>月份）</w:t>
                    </w:r>
                  </w:p>
                </w:tc>
              </w:sdtContent>
            </w:sdt>
            <w:sdt>
              <w:sdtPr>
                <w:rPr>
                  <w:rFonts w:ascii="Times New Roman" w:hAnsi="Times New Roman" w:cs="Times New Roman" w:eastAsiaTheme="minorEastAsia"/>
                </w:rPr>
                <w:tag w:val="_PLD_18cc80c8863d4859a79676f49ef83412"/>
                <w:id w:val="865722133"/>
                <w:lock w:val="sdtLocked"/>
              </w:sdtPr>
              <w:sdtEndPr>
                <w:rPr>
                  <w:rFonts w:ascii="Times New Roman" w:hAnsi="Times New Roman" w:cs="Times New Roman" w:eastAsiaTheme="minorEastAsia"/>
                </w:rPr>
              </w:sdtEndPr>
              <w:sdtContent>
                <w:tc>
                  <w:tcPr>
                    <w:tcW w:w="1683" w:type="dxa"/>
                    <w:vAlign w:val="center"/>
                  </w:tcPr>
                  <w:p>
                    <w:pPr>
                      <w:jc w:val="center"/>
                      <w:rPr>
                        <w:rFonts w:ascii="Times New Roman" w:hAnsi="Times New Roman" w:cs="Times New Roman" w:eastAsiaTheme="minorEastAsia"/>
                      </w:rPr>
                    </w:pPr>
                    <w:r>
                      <w:rPr>
                        <w:rFonts w:ascii="Times New Roman" w:cs="Times New Roman" w:hAnsiTheme="minorEastAsia" w:eastAsiaTheme="minorEastAsia"/>
                      </w:rPr>
                      <w:t>第四季度</w:t>
                    </w:r>
                  </w:p>
                  <w:p>
                    <w:pPr>
                      <w:jc w:val="center"/>
                      <w:rPr>
                        <w:rFonts w:ascii="Times New Roman" w:hAnsi="Times New Roman" w:cs="Times New Roman" w:eastAsiaTheme="minorEastAsia"/>
                      </w:rPr>
                    </w:pPr>
                    <w:r>
                      <w:rPr>
                        <w:rFonts w:ascii="Times New Roman" w:cs="Times New Roman" w:hAnsiTheme="minorEastAsia" w:eastAsiaTheme="minorEastAsia"/>
                      </w:rPr>
                      <w:t>（</w:t>
                    </w:r>
                    <w:r>
                      <w:rPr>
                        <w:rFonts w:ascii="Times New Roman" w:hAnsi="Times New Roman" w:cs="Times New Roman" w:eastAsiaTheme="minorEastAsia"/>
                      </w:rPr>
                      <w:t>10-12</w:t>
                    </w:r>
                    <w:r>
                      <w:rPr>
                        <w:rFonts w:ascii="Times New Roman" w:cs="Times New Roman" w:hAnsiTheme="minorEastAsia" w:eastAsiaTheme="minorEastAsia"/>
                      </w:rPr>
                      <w:t>月份）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asciiTheme="minorEastAsia" w:hAnsiTheme="minorEastAsia" w:eastAsiaTheme="minorEastAsia"/>
                </w:rPr>
                <w:tag w:val="_PLD_c9672bff3419446c83a97f99d65a2e0b"/>
                <w:id w:val="865722134"/>
                <w:lock w:val="sdtLocked"/>
              </w:sdtPr>
              <w:sdtEndPr>
                <w:rPr>
                  <w:rFonts w:cs="Times New Roman" w:asciiTheme="minorEastAsia" w:hAnsiTheme="minorEastAsia" w:eastAsiaTheme="minorEastAsia"/>
                </w:rPr>
              </w:sdtEndPr>
              <w:sdtContent>
                <w:tc>
                  <w:tcPr>
                    <w:tcW w:w="2405" w:type="dxa"/>
                  </w:tcPr>
                  <w:p>
                    <w:pPr>
                      <w:rPr>
                        <w:rFonts w:cs="Times New Roman" w:asciiTheme="minorEastAsia" w:hAnsiTheme="minorEastAsia" w:eastAsiaTheme="minorEastAsia"/>
                      </w:rPr>
                    </w:pPr>
                    <w:r>
                      <w:rPr>
                        <w:rFonts w:cs="Times New Roman" w:asciiTheme="minorEastAsia" w:hAnsiTheme="minorEastAsia" w:eastAsiaTheme="minorEastAsia"/>
                        <w:szCs w:val="21"/>
                      </w:rPr>
                      <w:t>营业收入</w:t>
                    </w:r>
                  </w:p>
                </w:tc>
              </w:sdtContent>
            </w:sdt>
            <w:tc>
              <w:tcPr>
                <w:tcW w:w="1843"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170,712,167.79</w:t>
                </w:r>
              </w:p>
            </w:tc>
            <w:tc>
              <w:tcPr>
                <w:tcW w:w="1559"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197,226,481.67</w:t>
                </w:r>
              </w:p>
            </w:tc>
            <w:tc>
              <w:tcPr>
                <w:tcW w:w="1559"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122,263,236.23</w:t>
                </w:r>
              </w:p>
            </w:tc>
            <w:tc>
              <w:tcPr>
                <w:tcW w:w="1683"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227,324,242.56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asciiTheme="minorEastAsia" w:hAnsiTheme="minorEastAsia" w:eastAsiaTheme="minorEastAsia"/>
                </w:rPr>
                <w:tag w:val="_PLD_c7fcc70769004239abd5440602d3b505"/>
                <w:id w:val="865722135"/>
                <w:lock w:val="sdtLocked"/>
              </w:sdtPr>
              <w:sdtEndPr>
                <w:rPr>
                  <w:rFonts w:cs="Times New Roman" w:asciiTheme="minorEastAsia" w:hAnsiTheme="minorEastAsia" w:eastAsiaTheme="minorEastAsia"/>
                </w:rPr>
              </w:sdtEndPr>
              <w:sdtContent>
                <w:tc>
                  <w:tcPr>
                    <w:tcW w:w="2405" w:type="dxa"/>
                  </w:tcPr>
                  <w:p>
                    <w:pPr>
                      <w:rPr>
                        <w:rFonts w:cs="Times New Roman" w:asciiTheme="minorEastAsia" w:hAnsiTheme="minorEastAsia" w:eastAsiaTheme="minorEastAsia"/>
                      </w:rPr>
                    </w:pPr>
                    <w:r>
                      <w:rPr>
                        <w:rFonts w:cs="Times New Roman" w:asciiTheme="minorEastAsia" w:hAnsiTheme="minorEastAsia" w:eastAsiaTheme="minorEastAsia"/>
                        <w:szCs w:val="21"/>
                      </w:rPr>
                      <w:t>归属于上市公司股东的净利润</w:t>
                    </w:r>
                  </w:p>
                </w:tc>
              </w:sdtContent>
            </w:sdt>
            <w:tc>
              <w:tcPr>
                <w:tcW w:w="1843"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-19,394,838.64</w:t>
                </w:r>
              </w:p>
            </w:tc>
            <w:tc>
              <w:tcPr>
                <w:tcW w:w="1559"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8,781,988.25</w:t>
                </w:r>
              </w:p>
            </w:tc>
            <w:tc>
              <w:tcPr>
                <w:tcW w:w="1559"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13,493,002.19</w:t>
                </w:r>
              </w:p>
            </w:tc>
            <w:tc>
              <w:tcPr>
                <w:tcW w:w="1683"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5,778,106.35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asciiTheme="minorEastAsia" w:hAnsiTheme="minorEastAsia" w:eastAsiaTheme="minorEastAsia"/>
                </w:rPr>
                <w:tag w:val="_PLD_cc4437a1c75a41d994bd913b3c6d8e6d"/>
                <w:id w:val="865722136"/>
                <w:lock w:val="sdtLocked"/>
              </w:sdtPr>
              <w:sdtEndPr>
                <w:rPr>
                  <w:rFonts w:cs="Times New Roman" w:asciiTheme="minorEastAsia" w:hAnsiTheme="minorEastAsia" w:eastAsiaTheme="minorEastAsia"/>
                </w:rPr>
              </w:sdtEndPr>
              <w:sdtContent>
                <w:tc>
                  <w:tcPr>
                    <w:tcW w:w="2405" w:type="dxa"/>
                  </w:tcPr>
                  <w:p>
                    <w:pPr>
                      <w:rPr>
                        <w:rFonts w:cs="Times New Roman" w:asciiTheme="minorEastAsia" w:hAnsiTheme="minorEastAsia" w:eastAsiaTheme="minorEastAsia"/>
                      </w:rPr>
                    </w:pPr>
                    <w:r>
                      <w:rPr>
                        <w:rFonts w:cs="Times New Roman" w:asciiTheme="minorEastAsia" w:hAnsiTheme="minorEastAsia" w:eastAsiaTheme="minorEastAsia"/>
                        <w:szCs w:val="21"/>
                      </w:rPr>
                      <w:t>归属于上市公司股东的扣除非经常性损益后的净利润</w:t>
                    </w:r>
                  </w:p>
                </w:tc>
              </w:sdtContent>
            </w:sdt>
            <w:tc>
              <w:tcPr>
                <w:tcW w:w="1843"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5,393,130.10</w:t>
                </w:r>
              </w:p>
            </w:tc>
            <w:tc>
              <w:tcPr>
                <w:tcW w:w="1559"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-5,846,932.89</w:t>
                </w:r>
              </w:p>
            </w:tc>
            <w:tc>
              <w:tcPr>
                <w:tcW w:w="1559"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5,241,078.00</w:t>
                </w:r>
              </w:p>
            </w:tc>
            <w:tc>
              <w:tcPr>
                <w:tcW w:w="1683" w:type="dxa"/>
                <w:vAlign w:val="center"/>
              </w:tcPr>
              <w:p>
                <w:pPr>
                  <w:jc w:val="right"/>
                  <w:rPr>
                    <w:rFonts w:ascii="Times New Roman" w:hAnsi="Times New Roman" w:cs="Times New Roman" w:eastAsiaTheme="minorEastAsia"/>
                    <w:sz w:val="24"/>
                  </w:rPr>
                </w:pPr>
                <w:r>
                  <w:rPr>
                    <w:rFonts w:ascii="Times New Roman" w:hAnsi="Times New Roman" w:cs="Times New Roman"/>
                  </w:rPr>
                  <w:t>-3,087,431.33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asciiTheme="minorEastAsia" w:hAnsiTheme="minorEastAsia" w:eastAsiaTheme="minorEastAsia"/>
                </w:rPr>
                <w:tag w:val="_PLD_1a66e199f32a4408bc762faa192c5ead"/>
                <w:id w:val="865722137"/>
                <w:lock w:val="sdtLocked"/>
              </w:sdtPr>
              <w:sdtEndPr>
                <w:rPr>
                  <w:rFonts w:cs="Times New Roman" w:asciiTheme="minorEastAsia" w:hAnsiTheme="minorEastAsia" w:eastAsiaTheme="minorEastAsia"/>
                </w:rPr>
              </w:sdtEndPr>
              <w:sdtContent>
                <w:tc>
                  <w:tcPr>
                    <w:tcW w:w="2405" w:type="dxa"/>
                  </w:tcPr>
                  <w:p>
                    <w:pPr>
                      <w:rPr>
                        <w:rFonts w:cs="Times New Roman" w:asciiTheme="minorEastAsia" w:hAnsiTheme="minorEastAsia" w:eastAsiaTheme="minorEastAsia"/>
                      </w:rPr>
                    </w:pPr>
                    <w:r>
                      <w:rPr>
                        <w:rFonts w:cs="Times New Roman" w:asciiTheme="minorEastAsia" w:hAnsiTheme="minorEastAsia" w:eastAsiaTheme="minorEastAsia"/>
                        <w:szCs w:val="21"/>
                      </w:rPr>
                      <w:t>经营活动产生的现金流量净额</w:t>
                    </w:r>
                  </w:p>
                </w:tc>
              </w:sdtContent>
            </w:sdt>
            <w:tc>
              <w:tcPr>
                <w:tcW w:w="1843"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-47,369,585.48</w:t>
                </w:r>
              </w:p>
            </w:tc>
            <w:tc>
              <w:tcPr>
                <w:tcW w:w="1559"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8,339,040.88</w:t>
                </w:r>
              </w:p>
            </w:tc>
            <w:tc>
              <w:tcPr>
                <w:tcW w:w="1559"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-24,240,326.32</w:t>
                </w:r>
              </w:p>
            </w:tc>
            <w:tc>
              <w:tcPr>
                <w:tcW w:w="1683" w:type="dxa"/>
                <w:vAlign w:val="center"/>
              </w:tcPr>
              <w:p>
                <w:pPr>
                  <w:jc w:val="right"/>
                  <w:rPr>
                    <w:rFonts w:ascii="Times New Roman" w:hAnsi="Times New Roman" w:cs="Times New Roman" w:eastAsiaTheme="minorEastAsia"/>
                    <w:sz w:val="24"/>
                  </w:rPr>
                </w:pPr>
                <w:r>
                  <w:rPr>
                    <w:rFonts w:ascii="Times New Roman" w:hAnsi="Times New Roman" w:cs="Times New Roman" w:eastAsiaTheme="minorEastAsia"/>
                  </w:rPr>
                  <w:t>9,173,676.08</w:t>
                </w:r>
              </w:p>
            </w:tc>
          </w:tr>
        </w:tbl>
        <w:p>
          <w:pPr>
            <w:rPr>
              <w:rFonts w:ascii="Times New Roman" w:hAnsi="Times New Roman" w:eastAsia="MS Mincho" w:cs="Times New Roman"/>
            </w:rPr>
          </w:pPr>
        </w:p>
        <w:p>
          <w:pPr>
            <w:rPr>
              <w:rFonts w:cs="Times New Roman" w:asciiTheme="minorEastAsia" w:hAnsiTheme="minorEastAsia" w:eastAsiaTheme="minorEastAsia"/>
              <w:bCs/>
              <w:kern w:val="2"/>
              <w:szCs w:val="32"/>
            </w:rPr>
          </w:pPr>
          <w:r>
            <w:rPr>
              <w:rFonts w:cs="Times New Roman" w:asciiTheme="minorEastAsia" w:hAnsiTheme="minorEastAsia" w:eastAsiaTheme="minorEastAsia"/>
              <w:bCs/>
              <w:kern w:val="2"/>
              <w:szCs w:val="32"/>
            </w:rPr>
            <w:t>季度数据与已披露定期报告数据差异说明</w:t>
          </w:r>
        </w:p>
        <w:sdt>
          <w:sdtPr>
            <w:rPr>
              <w:rFonts w:cs="Times New Roman" w:asciiTheme="minorEastAsia" w:hAnsiTheme="minorEastAsia" w:eastAsiaTheme="minorEastAsia"/>
              <w:szCs w:val="21"/>
            </w:rPr>
            <w:alias w:val="是否适用：季度数据与已披露定期报告数据差异说明[双击切换]"/>
            <w:tag w:val="_GBC_90abe51569fb4ccda7eaf6149fe8f3a9"/>
            <w:id w:val="865722138"/>
            <w:lock w:val="sdtLocked"/>
            <w:placeholder>
              <w:docPart w:val="GBC22222222222222222222222222222"/>
            </w:placeholder>
          </w:sdtPr>
          <w:sdtEndPr>
            <w:rPr>
              <w:rFonts w:ascii="Times New Roman" w:hAnsi="Times New Roman" w:cs="Times New Roman" w:eastAsiaTheme="minorEastAsia"/>
              <w:szCs w:val="21"/>
            </w:rPr>
          </w:sdtEndPr>
          <w:sdtContent>
            <w:p>
              <w:pPr>
                <w:rPr>
                  <w:rFonts w:cs="Times New Roman" w:asciiTheme="minorEastAsia" w:hAnsiTheme="minorEastAsia" w:eastAsiaTheme="minorEastAsia"/>
                  <w:szCs w:val="21"/>
                </w:rPr>
              </w:pPr>
              <w:r>
                <w:rPr>
                  <w:rFonts w:cs="Times New Roman" w:asciiTheme="minorEastAsia" w:hAnsiTheme="minorEastAsia" w:eastAsiaTheme="minorEastAsia"/>
                  <w:szCs w:val="21"/>
                </w:rPr>
                <w:fldChar w:fldCharType="begin"/>
              </w:r>
              <w:r>
                <w:rPr>
                  <w:rFonts w:cs="Times New Roman" w:asciiTheme="minorEastAsia" w:hAnsiTheme="minorEastAsia" w:eastAsiaTheme="minorEastAsia"/>
                  <w:szCs w:val="21"/>
                </w:rPr>
                <w:instrText xml:space="preserve"> MACROBUTTON  SnrToggleCheckbox □适用  </w:instrText>
              </w:r>
              <w:r>
                <w:rPr>
                  <w:rFonts w:cs="Times New Roman" w:asciiTheme="minorEastAsia" w:hAnsiTheme="minorEastAsia" w:eastAsiaTheme="minorEastAsia"/>
                  <w:szCs w:val="21"/>
                </w:rPr>
                <w:fldChar w:fldCharType="end"/>
              </w:r>
              <w:r>
                <w:rPr>
                  <w:rFonts w:cs="Times New Roman" w:asciiTheme="minorEastAsia" w:hAnsiTheme="minorEastAsia" w:eastAsiaTheme="minorEastAsia"/>
                  <w:szCs w:val="21"/>
                </w:rPr>
                <w:fldChar w:fldCharType="begin"/>
              </w:r>
              <w:r>
                <w:rPr>
                  <w:rFonts w:cs="Times New Roman" w:asciiTheme="minorEastAsia" w:hAnsiTheme="minorEastAsia" w:eastAsiaTheme="minorEastAsia"/>
                  <w:szCs w:val="21"/>
                </w:rPr>
                <w:instrText xml:space="preserve"> MACROBUTTON  SnrToggleCheckbox √不适用 </w:instrText>
              </w:r>
              <w:r>
                <w:rPr>
                  <w:rFonts w:cs="Times New Roman" w:asciiTheme="minorEastAsia" w:hAnsiTheme="minorEastAsia" w:eastAsiaTheme="minorEastAsia"/>
                  <w:szCs w:val="21"/>
                </w:rPr>
                <w:fldChar w:fldCharType="end"/>
              </w:r>
            </w:p>
            <w:p>
              <w:pPr>
                <w:spacing w:line="400" w:lineRule="exact"/>
                <w:ind w:firstLine="424" w:firstLineChars="202"/>
                <w:rPr>
                  <w:rFonts w:ascii="Times New Roman" w:hAnsi="Times New Roman" w:cs="Times New Roman" w:eastAsiaTheme="minorEastAsia"/>
                  <w:szCs w:val="21"/>
                </w:rPr>
              </w:pPr>
            </w:p>
          </w:sdtContent>
        </w:sdt>
      </w:sdtContent>
    </w:sdt>
    <w:p>
      <w:pPr>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其他说明：</w:t>
      </w:r>
    </w:p>
    <w:p>
      <w:pPr>
        <w:spacing w:line="400" w:lineRule="exact"/>
        <w:ind w:firstLine="424" w:firstLineChars="202"/>
        <w:rPr>
          <w:rFonts w:ascii="Times New Roman" w:hAnsi="Times New Roman" w:cs="Times New Roman" w:eastAsiaTheme="minorEastAsia"/>
          <w:szCs w:val="21"/>
        </w:rPr>
      </w:pPr>
      <w:r>
        <w:rPr>
          <w:rFonts w:ascii="Times New Roman" w:hAnsi="Times New Roman" w:cs="Times New Roman"/>
        </w:rPr>
        <w:t>1</w:t>
      </w:r>
      <w:r>
        <w:rPr>
          <w:rFonts w:ascii="Times New Roman" w:cs="Times New Roman"/>
        </w:rPr>
        <w:t>、一季度由于公司持有的中信证券股价下跌，故归属于上市公司股东的净利润低于后三季度，同时，由于支付的材料款较多，当季经营活动产生的现金流量也较低。</w:t>
      </w:r>
      <w:r>
        <w:rPr>
          <w:rFonts w:ascii="Times New Roman" w:hAnsi="Times New Roman" w:cs="Times New Roman"/>
        </w:rPr>
        <w:br w:type="textWrapping"/>
      </w:r>
      <w:r>
        <w:rPr>
          <w:rFonts w:hint="eastAsia" w:ascii="Times New Roman" w:hAnsi="Times New Roman" w:cs="Times New Roman"/>
        </w:rPr>
        <w:t xml:space="preserve">    </w:t>
      </w:r>
      <w:r>
        <w:rPr>
          <w:rFonts w:ascii="Times New Roman" w:hAnsi="Times New Roman" w:cs="Times New Roman"/>
        </w:rPr>
        <w:t>2</w:t>
      </w:r>
      <w:r>
        <w:rPr>
          <w:rFonts w:ascii="Times New Roman" w:cs="Times New Roman"/>
        </w:rPr>
        <w:t>、二季度归属于上市公司股东的净利润环比增长，主要原因在于中信证券股价的上涨，这部分损益属于非经常性损益。归属于上市公司股东的扣除非经常性损益后的净利润下降，主要是当季销售结构等因素，以及计提减值造成的。</w:t>
      </w:r>
      <w:r>
        <w:rPr>
          <w:rFonts w:ascii="Times New Roman" w:hAnsi="Times New Roman" w:cs="Times New Roman"/>
        </w:rPr>
        <w:t> </w:t>
      </w:r>
      <w:r>
        <w:rPr>
          <w:rFonts w:ascii="Times New Roman" w:hAnsi="Times New Roman" w:cs="Times New Roman"/>
        </w:rPr>
        <w:br w:type="textWrapping"/>
      </w:r>
      <w:r>
        <w:rPr>
          <w:rFonts w:hint="eastAsia" w:ascii="Times New Roman" w:hAnsi="Times New Roman" w:cs="Times New Roman"/>
        </w:rPr>
        <w:t xml:space="preserve">    </w:t>
      </w:r>
      <w:r>
        <w:rPr>
          <w:rFonts w:ascii="Times New Roman" w:hAnsi="Times New Roman" w:cs="Times New Roman"/>
        </w:rPr>
        <w:t>3</w:t>
      </w:r>
      <w:r>
        <w:rPr>
          <w:rFonts w:ascii="Times New Roman" w:cs="Times New Roman"/>
        </w:rPr>
        <w:t>、三季度由于江苏公司受到扬州疫情的影响，营业收入及现金流量相较其他季度偏低，同时本季度收到了持有的金融资产分红，因此归属于上市公司股东的扣除非经常性损益后的净利润保持盈利。</w:t>
      </w:r>
      <w:r>
        <w:rPr>
          <w:rFonts w:ascii="Times New Roman" w:hAnsi="Times New Roman" w:cs="Times New Roman"/>
        </w:rPr>
        <w:br w:type="textWrapping"/>
      </w:r>
      <w:r>
        <w:rPr>
          <w:rFonts w:hint="eastAsia" w:ascii="Times New Roman" w:hAnsi="Times New Roman" w:cs="Times New Roman"/>
        </w:rPr>
        <w:t xml:space="preserve">    </w:t>
      </w:r>
      <w:r>
        <w:rPr>
          <w:rFonts w:ascii="Times New Roman" w:hAnsi="Times New Roman" w:cs="Times New Roman"/>
        </w:rPr>
        <w:t>4</w:t>
      </w:r>
      <w:r>
        <w:rPr>
          <w:rFonts w:ascii="Times New Roman" w:cs="Times New Roman"/>
        </w:rPr>
        <w:t>、四季度归属于上市公司股东的扣除非经常性损益后的净利润亏损，主要原因是：年末公司进行了各项资产减值测试，计提资产减值及信用减值损失，同时对</w:t>
      </w:r>
      <w:r>
        <w:rPr>
          <w:rFonts w:ascii="Times New Roman" w:hAnsi="Times New Roman" w:cs="Times New Roman"/>
        </w:rPr>
        <w:t>2021</w:t>
      </w:r>
      <w:r>
        <w:rPr>
          <w:rFonts w:ascii="Times New Roman" w:cs="Times New Roman"/>
        </w:rPr>
        <w:t>年期内发生的各项期间费用进行了结算、预提与暂估。</w:t>
      </w:r>
    </w:p>
    <w:p/>
    <w:p/>
    <w:sdt>
      <w:sdtPr>
        <w:rPr>
          <w:rFonts w:hint="eastAsia" w:ascii="宋体" w:hAnsi="宋体" w:cs="宋体"/>
          <w:b w:val="0"/>
          <w:bCs w:val="0"/>
          <w:kern w:val="0"/>
          <w:szCs w:val="24"/>
        </w:rPr>
        <w:alias w:val="模块:非经常性损益项目和金额"/>
        <w:tag w:val="_SEC_c9ec505011044df3b703919ed91a432c"/>
        <w:id w:val="86572222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1"/>
              <w:numId w:val="4"/>
            </w:numPr>
            <w:ind w:left="496" w:hanging="495" w:hangingChars="236"/>
          </w:pPr>
          <w:r>
            <w:rPr>
              <w:rFonts w:hint="eastAsia"/>
            </w:rPr>
            <w:t>非经常性损益项目和金额</w:t>
          </w:r>
        </w:p>
        <w:sdt>
          <w:sdtPr>
            <w:rPr>
              <w:szCs w:val="21"/>
            </w:rPr>
            <w:alias w:val="是否适用：扣除非经常性损益项目和金额[双击切换]"/>
            <w:tag w:val="_GBC_64650d7f1d454b42ae227046b21a998c"/>
            <w:id w:val="86572214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扣除非经常性损益项目和金额"/>
              <w:tag w:val="_GBC_4bca0a0f469f4d239b07e448ced324aa"/>
              <w:id w:val="865722141"/>
              <w:lock w:val="sdtLocked"/>
              <w:placeholder>
                <w:docPart w:val="GBC22222222222222222222222222222"/>
              </w:placeholder>
              <w15: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lang w:eastAsia="zh-CN"/>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865722142"/>
              <w:lock w:val="sdtLocked"/>
              <w:placeholder>
                <w:docPart w:val="GBC22222222222222222222222222222"/>
              </w:placeholder>
              <w15: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lang w:eastAsia="zh-CN"/>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4"/>
            <w:gridCol w:w="1603"/>
            <w:gridCol w:w="1135"/>
            <w:gridCol w:w="1558"/>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f751403d0cb44994b9ad2600a703fbf6"/>
                <w:id w:val="865722143"/>
                <w:lock w:val="sdtLocked"/>
              </w:sdtPr>
              <w:sdtEndPr>
                <w:rPr>
                  <w:rFonts w:ascii="Times New Roman" w:hAnsi="Times New Roman"/>
                </w:rPr>
              </w:sdtEndPr>
              <w:sdtContent>
                <w:tc>
                  <w:tcPr>
                    <w:tcW w:w="1759" w:type="pct"/>
                    <w:vAlign w:val="center"/>
                  </w:tcPr>
                  <w:p>
                    <w:pPr>
                      <w:pStyle w:val="55"/>
                      <w:ind w:firstLine="0" w:firstLineChars="0"/>
                      <w:jc w:val="center"/>
                      <w:rPr>
                        <w:rFonts w:ascii="Times New Roman" w:hAnsi="Times New Roman"/>
                        <w:szCs w:val="21"/>
                      </w:rPr>
                    </w:pPr>
                    <w:r>
                      <w:rPr>
                        <w:rFonts w:ascii="Times New Roman" w:hAnsi="宋体"/>
                        <w:szCs w:val="21"/>
                      </w:rPr>
                      <w:t>非经常性损益项目</w:t>
                    </w:r>
                  </w:p>
                </w:tc>
              </w:sdtContent>
            </w:sdt>
            <w:sdt>
              <w:sdtPr>
                <w:rPr>
                  <w:rFonts w:ascii="Times New Roman" w:hAnsi="Times New Roman"/>
                </w:rPr>
                <w:tag w:val="_PLD_c3a99d8df6764a7a9d1c26a6d1cd3b99"/>
                <w:id w:val="865722144"/>
                <w:lock w:val="sdtLocked"/>
              </w:sdtPr>
              <w:sdtEndPr>
                <w:rPr>
                  <w:rFonts w:ascii="Times New Roman" w:hAnsi="Times New Roman"/>
                </w:rPr>
              </w:sdtEndPr>
              <w:sdtContent>
                <w:tc>
                  <w:tcPr>
                    <w:tcW w:w="886" w:type="pct"/>
                    <w:vAlign w:val="center"/>
                  </w:tcPr>
                  <w:p>
                    <w:pPr>
                      <w:pStyle w:val="55"/>
                      <w:ind w:firstLine="0" w:firstLineChars="0"/>
                      <w:jc w:val="center"/>
                      <w:rPr>
                        <w:rFonts w:ascii="Times New Roman" w:hAnsi="Times New Roman"/>
                        <w:szCs w:val="21"/>
                      </w:rPr>
                    </w:pPr>
                    <w:r>
                      <w:rPr>
                        <w:rFonts w:ascii="Times New Roman" w:hAnsi="Times New Roman"/>
                        <w:szCs w:val="21"/>
                      </w:rPr>
                      <w:t>2021</w:t>
                    </w:r>
                    <w:r>
                      <w:rPr>
                        <w:rFonts w:ascii="Times New Roman" w:hAnsi="宋体"/>
                        <w:szCs w:val="21"/>
                      </w:rPr>
                      <w:t>年金额</w:t>
                    </w:r>
                  </w:p>
                </w:tc>
              </w:sdtContent>
            </w:sdt>
            <w:sdt>
              <w:sdtPr>
                <w:rPr>
                  <w:rFonts w:ascii="Times New Roman" w:hAnsi="Times New Roman"/>
                </w:rPr>
                <w:tag w:val="_PLD_b6d0ea39876b409699dafa605943bc7c"/>
                <w:id w:val="865722145"/>
                <w:lock w:val="sdtLocked"/>
              </w:sdtPr>
              <w:sdtEndPr>
                <w:rPr>
                  <w:rFonts w:ascii="Times New Roman" w:hAnsi="Times New Roman"/>
                </w:rPr>
              </w:sdtEndPr>
              <w:sdtContent>
                <w:tc>
                  <w:tcPr>
                    <w:tcW w:w="627" w:type="pct"/>
                    <w:vAlign w:val="center"/>
                  </w:tcPr>
                  <w:p>
                    <w:pPr>
                      <w:pStyle w:val="55"/>
                      <w:ind w:firstLine="0" w:firstLineChars="0"/>
                      <w:jc w:val="center"/>
                      <w:rPr>
                        <w:rFonts w:ascii="Times New Roman" w:hAnsi="Times New Roman"/>
                        <w:szCs w:val="21"/>
                      </w:rPr>
                    </w:pPr>
                    <w:r>
                      <w:rPr>
                        <w:rFonts w:ascii="Times New Roman" w:hAnsi="宋体"/>
                        <w:szCs w:val="21"/>
                      </w:rPr>
                      <w:t>附注（如适用）</w:t>
                    </w:r>
                  </w:p>
                </w:tc>
              </w:sdtContent>
            </w:sdt>
            <w:sdt>
              <w:sdtPr>
                <w:rPr>
                  <w:rFonts w:ascii="Times New Roman" w:hAnsi="Times New Roman"/>
                </w:rPr>
                <w:tag w:val="_PLD_7f6c15b2c5304b7f94e7c3ad607e51bc"/>
                <w:id w:val="865722146"/>
                <w:lock w:val="sdtLocked"/>
              </w:sdtPr>
              <w:sdtEndPr>
                <w:rPr>
                  <w:rFonts w:ascii="Times New Roman" w:hAnsi="Times New Roman"/>
                </w:rPr>
              </w:sdtEndPr>
              <w:sdtContent>
                <w:tc>
                  <w:tcPr>
                    <w:tcW w:w="861" w:type="pct"/>
                    <w:vAlign w:val="center"/>
                  </w:tcPr>
                  <w:p>
                    <w:pPr>
                      <w:pStyle w:val="55"/>
                      <w:ind w:firstLine="0" w:firstLineChars="0"/>
                      <w:jc w:val="center"/>
                      <w:rPr>
                        <w:rFonts w:ascii="Times New Roman" w:hAnsi="Times New Roman"/>
                        <w:szCs w:val="21"/>
                      </w:rPr>
                    </w:pPr>
                    <w:r>
                      <w:rPr>
                        <w:rFonts w:ascii="Times New Roman" w:hAnsi="Times New Roman"/>
                        <w:szCs w:val="21"/>
                      </w:rPr>
                      <w:t>2020</w:t>
                    </w:r>
                    <w:r>
                      <w:rPr>
                        <w:rFonts w:ascii="Times New Roman" w:hAnsi="宋体"/>
                        <w:szCs w:val="21"/>
                      </w:rPr>
                      <w:t>年金额</w:t>
                    </w:r>
                  </w:p>
                </w:tc>
              </w:sdtContent>
            </w:sdt>
            <w:sdt>
              <w:sdtPr>
                <w:rPr>
                  <w:rFonts w:ascii="Times New Roman" w:hAnsi="Times New Roman"/>
                </w:rPr>
                <w:tag w:val="_PLD_cc74238bb31a489cace6976e47d30974"/>
                <w:id w:val="865722147"/>
                <w:lock w:val="sdtLocked"/>
              </w:sdtPr>
              <w:sdtEndPr>
                <w:rPr>
                  <w:rFonts w:ascii="Times New Roman" w:hAnsi="Times New Roman"/>
                </w:rPr>
              </w:sdtEndPr>
              <w:sdtContent>
                <w:tc>
                  <w:tcPr>
                    <w:tcW w:w="867" w:type="pct"/>
                    <w:vAlign w:val="center"/>
                  </w:tcPr>
                  <w:p>
                    <w:pPr>
                      <w:pStyle w:val="55"/>
                      <w:ind w:firstLine="0" w:firstLineChars="0"/>
                      <w:jc w:val="center"/>
                      <w:rPr>
                        <w:rFonts w:ascii="Times New Roman" w:hAnsi="Times New Roman"/>
                        <w:szCs w:val="21"/>
                      </w:rPr>
                    </w:pPr>
                    <w:r>
                      <w:rPr>
                        <w:rFonts w:ascii="Times New Roman" w:hAnsi="Times New Roman"/>
                        <w:szCs w:val="21"/>
                      </w:rPr>
                      <w:t>2019</w:t>
                    </w:r>
                    <w:r>
                      <w:rPr>
                        <w:rFonts w:ascii="Times New Roman" w:hAnsi="宋体"/>
                        <w:szCs w:val="21"/>
                      </w:rPr>
                      <w:t>年金额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844d8cfc8dc0403cae8741ce206231d7"/>
                <w:id w:val="865722148"/>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debe6cce7ac944bbacffe3e7f5ed0bb6"/>
                <w:id w:val="865722149"/>
                <w:lock w:val="sdtLocked"/>
                <w15:dataBinding w:prefixMappings="xmlns:clcid-pte='clcid-pte'" w:xpath="/*/clcid-pte:FeiLiuDongXingZiChanChuZhiSunYiBaoKuoYiJiTiZiChanJianZhiZhunBeiDeChongXiaoBuFenFeiJingChangXingSunYiXiangMu[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-41,526.84</w:t>
                    </w:r>
                  </w:p>
                </w:tc>
              </w:sdtContent>
            </w:sdt>
            <w:sdt>
              <w:sdtPr>
                <w:rPr>
                  <w:rFonts w:ascii="Times New Roman" w:hAnsi="Times New Roman" w:cs="Times New Roman"/>
                  <w:szCs w:val="21"/>
                </w:rPr>
                <w:alias w:val="非流动性资产处置损益，包括已计提资产减值准备的冲销部分的说明（非经常性损益项目）"/>
                <w:tag w:val="_GBC_cd8a7b3f2bbc4b59b588f24b6e3813ad"/>
                <w:id w:val="865722150"/>
                <w:lock w:val="sdtLocked"/>
                <w:showingPlcHdr/>
                <w15:dataBinding w:prefixMappings="xmlns:clcid-pte='clcid-pte'" w:xpath="/*/clcid-pte:FeiLiuDongXingZiChanChuZhiSunYiBaoKuoYiJiTiZiChanJianZhiZhunBeiDeChongXiaoBuFenFeiJingChangXingSunYiXiangMu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r>
                  <w:rPr>
                    <w:rFonts w:ascii="Times New Roman" w:hAnsi="Times New Roman" w:cs="Times New Roman"/>
                    <w:szCs w:val="21"/>
                  </w:rPr>
                  <w:t>521,418.29</w:t>
                </w:r>
              </w:p>
            </w:tc>
            <w:tc>
              <w:tcPr>
                <w:tcW w:w="867" w:type="pct"/>
                <w:vAlign w:val="center"/>
              </w:tcPr>
              <w:p>
                <w:pPr>
                  <w:widowControl w:val="0"/>
                  <w:jc w:val="right"/>
                  <w:rPr>
                    <w:rFonts w:ascii="Times New Roman" w:hAnsi="Times New Roman" w:cs="Times New Roman"/>
                    <w:szCs w:val="21"/>
                  </w:rPr>
                </w:pPr>
                <w:r>
                  <w:rPr>
                    <w:rFonts w:ascii="Times New Roman" w:hAnsi="Times New Roman" w:cs="Times New Roman"/>
                    <w:szCs w:val="21"/>
                  </w:rPr>
                  <w:t>-78,695.92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8b9ff5877fb8464c8dcdb475bb249051"/>
                <w:id w:val="865722151"/>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越权审批，或无正式批准文件，或偶发性的税收返还、减免</w:t>
                    </w:r>
                  </w:p>
                </w:tc>
              </w:sdtContent>
            </w:sdt>
            <w:sdt>
              <w:sdtPr>
                <w:rPr>
                  <w:rFonts w:ascii="Times New Roman" w:hAnsi="Times New Roman" w:cs="Times New Roman"/>
                  <w:szCs w:val="21"/>
                </w:rPr>
                <w:alias w:val="越权审批，或无正式批准文件，或偶发性的税收返还、减免（非经常性损益项目）"/>
                <w:tag w:val="_GBC_d0d576666bd84531b422d02502f39b0d"/>
                <w:id w:val="865722152"/>
                <w:lock w:val="sdtLocked"/>
                <w:showingPlcHdr/>
                <w15:dataBinding w:prefixMappings="xmlns:clcid-pte='clcid-pte'" w:xpath="/*/clcid-pte:FeiJingChangXingSunYiZhongYueQuanShenPiHuoWuZhengShiPiZhunWenJianDeShuiShouFanHuanJianMian[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越权审批，或无正式批准文件，或偶发性的税收返还、减免的说明（非经常性损益项目）"/>
                <w:tag w:val="_GBC_73dcf168bb8244b7900ea31683a66c4a"/>
                <w:id w:val="865722153"/>
                <w:lock w:val="sdtLocked"/>
                <w:showingPlcHdr/>
                <w15:dataBinding w:prefixMappings="xmlns:clcid-pte='clcid-pte'" w:xpath="/*/clcid-pte:FeiJingChangXingSunYiZhongYueQuanShenPiHuoWuZhengShiPiZhunWenJianDeShuiShouFanHuanJianMian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p>
            </w:tc>
            <w:tc>
              <w:tcPr>
                <w:tcW w:w="867" w:type="pct"/>
                <w:vAlign w:val="center"/>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3a31f0c17a06427898ec246148becf2e"/>
                <w:id w:val="865722154"/>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计入当期损益的政府补助，但与公司正常经营业务密切相关，符合国家政策规定、按照一定标准定额或定量持续享受的政府补助除外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64d7a5b8c906488daff056242b76207a"/>
                <w:id w:val="865722155"/>
                <w:lock w:val="sdtLocked"/>
                <w15:dataBinding w:prefixMappings="xmlns:clcid-pte='clcid-pte'" w:xpath="/*/clcid-pte:FeiJingChangXingSunYiZhongGeZhongXingShiDeZhengFuBuTie[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3,491,364.67</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的说明（非经"/>
                <w:tag w:val="_GBC_649768473bc54b6dae5982bc6739afbc"/>
                <w:id w:val="865722156"/>
                <w:lock w:val="sdtLocked"/>
                <w:showingPlcHdr/>
                <w15:dataBinding w:prefixMappings="xmlns:clcid-pte='clcid-pte'" w:xpath="/*/clcid-pte:FeiJingChangXingSunYiZhongGeZhongXingShiDeZhengFuBuTie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r>
                  <w:rPr>
                    <w:rFonts w:ascii="Times New Roman" w:hAnsi="Times New Roman" w:cs="Times New Roman"/>
                    <w:szCs w:val="21"/>
                  </w:rPr>
                  <w:t>8,419,275.41</w:t>
                </w:r>
              </w:p>
            </w:tc>
            <w:tc>
              <w:tcPr>
                <w:tcW w:w="867" w:type="pct"/>
                <w:vAlign w:val="center"/>
              </w:tcPr>
              <w:p>
                <w:pPr>
                  <w:widowControl w:val="0"/>
                  <w:jc w:val="right"/>
                  <w:rPr>
                    <w:rFonts w:ascii="Times New Roman" w:hAnsi="Times New Roman" w:cs="Times New Roman"/>
                    <w:szCs w:val="21"/>
                  </w:rPr>
                </w:pPr>
                <w:r>
                  <w:rPr>
                    <w:rFonts w:ascii="Times New Roman" w:hAnsi="Times New Roman" w:cs="Times New Roman"/>
                    <w:szCs w:val="21"/>
                  </w:rPr>
                  <w:t>10,447,355.02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fe1213aa6f1346cd9a20033374a3ac7c"/>
                <w:id w:val="865722157"/>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计入当期损益的对非金融企业收取的资金占用费</w:t>
                    </w:r>
                  </w:p>
                </w:tc>
              </w:sdtContent>
            </w:sdt>
            <w:sdt>
              <w:sdtPr>
                <w:rPr>
                  <w:rFonts w:ascii="Times New Roman" w:hAnsi="Times New Roman" w:cs="Times New Roman"/>
                  <w:szCs w:val="21"/>
                </w:rPr>
                <w:alias w:val="计入当期损益的对非金融企业收取的资金占用费（非经常性损益项目）"/>
                <w:tag w:val="_GBC_a86a78a187a54930b4f503dffc488988"/>
                <w:id w:val="865722158"/>
                <w:lock w:val="sdtLocked"/>
                <w15:dataBinding w:prefixMappings="xmlns:clcid-pte='clcid-pte'" w:xpath="/*/clcid-pte:JiRuDangQiSunYiDeDuiFeiJinRongQiYeShouQuDeZiJinZhanYongFeiFeiJingChangXingSunYiXiangMu[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24,131,752.04</w:t>
                    </w:r>
                  </w:p>
                </w:tc>
              </w:sdtContent>
            </w:sdt>
            <w:sdt>
              <w:sdtPr>
                <w:rPr>
                  <w:rFonts w:ascii="Times New Roman" w:hAnsi="Times New Roman" w:cs="Times New Roman"/>
                  <w:szCs w:val="21"/>
                </w:rPr>
                <w:alias w:val="计入当期损益的对非金融企业收取的资金占用费的说明（非经常性损益项目）"/>
                <w:tag w:val="_GBC_de2ce6c472744f0d80d98266d8260ba4"/>
                <w:id w:val="865722159"/>
                <w:lock w:val="sdtLocked"/>
                <w:showingPlcHdr/>
                <w15:dataBinding w:prefixMappings="xmlns:clcid-pte='clcid-pte'" w:xpath="/*/clcid-pte:JiRuDangQiSunYiDeDuiFeiJinRongQiYeShouQuDeZiJinZhanYongFeiFeiJingChangXingSunYiXiangMu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xml:space="preserve">     </w:t>
                    </w:r>
                  </w:p>
                </w:tc>
              </w:sdtContent>
            </w:sdt>
            <w:tc>
              <w:tcPr>
                <w:tcW w:w="861" w:type="pct"/>
                <w:vAlign w:val="center"/>
              </w:tcPr>
              <w:p>
                <w:pPr>
                  <w:widowControl w:val="0"/>
                  <w:jc w:val="right"/>
                  <w:rPr>
                    <w:rFonts w:ascii="Times New Roman" w:hAnsi="Times New Roman" w:cs="Times New Roman"/>
                    <w:szCs w:val="21"/>
                  </w:rPr>
                </w:pPr>
                <w:r>
                  <w:rPr>
                    <w:rFonts w:ascii="Times New Roman" w:hAnsi="Times New Roman" w:cs="Times New Roman"/>
                    <w:szCs w:val="21"/>
                  </w:rPr>
                  <w:t>26,752,063.25</w:t>
                </w:r>
              </w:p>
            </w:tc>
            <w:tc>
              <w:tcPr>
                <w:tcW w:w="867" w:type="pct"/>
                <w:vAlign w:val="center"/>
              </w:tcPr>
              <w:p>
                <w:pPr>
                  <w:widowControl w:val="0"/>
                  <w:jc w:val="right"/>
                  <w:rPr>
                    <w:rFonts w:ascii="Times New Roman" w:hAnsi="Times New Roman" w:cs="Times New Roman"/>
                    <w:szCs w:val="21"/>
                  </w:rPr>
                </w:pPr>
                <w:r>
                  <w:rPr>
                    <w:rFonts w:ascii="Times New Roman" w:hAnsi="Times New Roman" w:cs="Times New Roman"/>
                    <w:szCs w:val="21"/>
                  </w:rPr>
                  <w:t>2,067,994.71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795f7e5d276f416480ab96df05a4b553"/>
                <w:id w:val="865722160"/>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企业取得子公司、联营企业及合营企业的投资成本小于取得投资时应享有被投资单位可辨认净资产公允价值产生的收益</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非经常性损益项目）"/>
                <w:tag w:val="_GBC_169232de34af47af8cf8a02a9197502c"/>
                <w:id w:val="865722161"/>
                <w:lock w:val="sdtLocked"/>
                <w:showingPlcHdr/>
                <w15:dataBinding w:prefixMappings="xmlns:clcid-pte='clcid-pte'" w:xpath="/*/clcid-pte:QiYeHeBingDeHeBingChengBenXiaoYuHeBingShiYingXiangYouBeiHeBingDanWeiKeBianRenJingZiChanGongYunJiaZhiChanShengDeSunYi[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的说明（非经常性损益项目"/>
                <w:tag w:val="_GBC_5ab7284ec053483eb3975f11cf4a5c75"/>
                <w:id w:val="865722162"/>
                <w:lock w:val="sdtLocked"/>
                <w:showingPlcHdr/>
                <w15:dataBinding w:prefixMappings="xmlns:clcid-pte='clcid-pte'" w:xpath="/*/clcid-pte:QiYeHeBingDeHeBingChengBenXiaoYuHeBingShiYingXiangYouBeiHeBingDanWeiKeBianRenJingZiChanGongYunJiaZhiChanShengDeSunYi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p>
            </w:tc>
            <w:tc>
              <w:tcPr>
                <w:tcW w:w="867" w:type="pct"/>
                <w:vAlign w:val="center"/>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99733a1125874352a2bcb4c645ff24b1"/>
                <w:id w:val="865722163"/>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非货币性资产交换损益</w:t>
                    </w:r>
                  </w:p>
                </w:tc>
              </w:sdtContent>
            </w:sdt>
            <w:sdt>
              <w:sdtPr>
                <w:rPr>
                  <w:rFonts w:ascii="Times New Roman" w:hAnsi="Times New Roman" w:cs="Times New Roman"/>
                  <w:szCs w:val="21"/>
                </w:rPr>
                <w:alias w:val="非货币性资产交换损益（非经常性损益项目）"/>
                <w:tag w:val="_GBC_486acd8fb80f452e9704219348b9b157"/>
                <w:id w:val="865722164"/>
                <w:lock w:val="sdtLocked"/>
                <w:showingPlcHdr/>
                <w15:dataBinding w:prefixMappings="xmlns:clcid-pte='clcid-pte'" w:xpath="/*/clcid-pte:FeiJingChangXingSunYiZhongZiChanZhiHuanSunYi[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非货币性资产交换损益的说明（非经常性损益项目）"/>
                <w:tag w:val="_GBC_0ccb6660928243f8a097d143e6293645"/>
                <w:id w:val="865722165"/>
                <w:lock w:val="sdtLocked"/>
                <w:showingPlcHdr/>
                <w15:dataBinding w:prefixMappings="xmlns:clcid-pte='clcid-pte'" w:xpath="/*/clcid-pte:FeiJingChangXingSunYiZhongZiChanZhiHuanSunYi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p>
            </w:tc>
            <w:tc>
              <w:tcPr>
                <w:tcW w:w="867" w:type="pct"/>
                <w:vAlign w:val="center"/>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53d42ebc6c434009804c4f34f1eeea8d"/>
                <w:id w:val="865722166"/>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委托他人投资或管理资产的损益</w:t>
                    </w:r>
                  </w:p>
                </w:tc>
              </w:sdtContent>
            </w:sdt>
            <w:sdt>
              <w:sdtPr>
                <w:rPr>
                  <w:rFonts w:ascii="Times New Roman" w:hAnsi="Times New Roman" w:cs="Times New Roman"/>
                  <w:szCs w:val="21"/>
                </w:rPr>
                <w:alias w:val="委托他人投资或管理资产的损益（非经常性损益项目）"/>
                <w:tag w:val="_GBC_03d926456c3f4d68989224017afdae20"/>
                <w:id w:val="865722167"/>
                <w:lock w:val="sdtLocked"/>
                <w:showingPlcHdr/>
                <w15:dataBinding w:prefixMappings="xmlns:clcid-pte='clcid-pte'" w:xpath="/*/clcid-pte:WeiTuoTaRenTouZiHuoGuanLiZiChanDeSunYiFeiJingChangXingSunYiXiangMu[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委托他人投资或管理资产的损益的说明（非经常性损益项目）"/>
                <w:tag w:val="_GBC_7aa707768bd34d49895e80e2deb35e28"/>
                <w:id w:val="865722168"/>
                <w:lock w:val="sdtLocked"/>
                <w:showingPlcHdr/>
                <w15:dataBinding w:prefixMappings="xmlns:clcid-pte='clcid-pte'" w:xpath="/*/clcid-pte:WeiTuoTaRenTouZiHuoGuanLiZiChanDeSunYiFeiJingChangXingSunYiXiangMu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p>
            </w:tc>
            <w:tc>
              <w:tcPr>
                <w:tcW w:w="867" w:type="pct"/>
                <w:vAlign w:val="center"/>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0f317a7354f44cf385d177fb07ac6b6d"/>
                <w:id w:val="865722169"/>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因不可抗力因素，如遭受自然灾害而计提的各项资产减值准备</w:t>
                    </w:r>
                  </w:p>
                </w:tc>
              </w:sdtContent>
            </w:sdt>
            <w:sdt>
              <w:sdtPr>
                <w:rPr>
                  <w:rFonts w:ascii="Times New Roman" w:hAnsi="Times New Roman" w:cs="Times New Roman"/>
                  <w:szCs w:val="21"/>
                </w:rPr>
                <w:alias w:val="因不可抗力因素，如遭受自然灾害而计提的各项资产减值准备（非经常性损益项目）"/>
                <w:tag w:val="_GBC_60f488230e88476f8e910bcd4afbb8de"/>
                <w:id w:val="865722170"/>
                <w:lock w:val="sdtLocked"/>
                <w:showingPlcHdr/>
                <w15:dataBinding w:prefixMappings="xmlns:clcid-pte='clcid-pte'" w:xpath="/*/clcid-pte:FeiJingChangXingSunYiZhongJiTiDeGeXiangZiChanJianZhiZhunBei[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因不可抗力因素，如遭受自然灾害而计提的各项资产减值准备的说明（非经常性损益项目）"/>
                <w:tag w:val="_GBC_d2105b54b30143e88dd78d8eb2a19029"/>
                <w:id w:val="865722171"/>
                <w:lock w:val="sdtLocked"/>
                <w:showingPlcHdr/>
                <w15:dataBinding w:prefixMappings="xmlns:clcid-pte='clcid-pte'" w:xpath="/*/clcid-pte:FeiJingChangXingSunYiZhongJiTiDeGeXiangZiChanJianZhiZhunBei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p>
            </w:tc>
            <w:tc>
              <w:tcPr>
                <w:tcW w:w="867" w:type="pct"/>
                <w:vAlign w:val="center"/>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e6800bc168c54e55813a5cf2f30e4ea9"/>
                <w:id w:val="865722172"/>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债务重组损益</w:t>
                    </w:r>
                  </w:p>
                </w:tc>
              </w:sdtContent>
            </w:sdt>
            <w:sdt>
              <w:sdtPr>
                <w:rPr>
                  <w:rFonts w:ascii="Times New Roman" w:hAnsi="Times New Roman" w:cs="Times New Roman"/>
                  <w:szCs w:val="21"/>
                </w:rPr>
                <w:alias w:val="债务重组损益（非经常性损益项目）"/>
                <w:tag w:val="_GBC_d64bfd2d8c9645fb970654d2a5278e1a"/>
                <w:id w:val="865722173"/>
                <w:lock w:val="sdtLocked"/>
                <w:showingPlcHdr/>
                <w15:dataBinding w:prefixMappings="xmlns:clcid-pte='clcid-pte'" w:xpath="/*/clcid-pte:FeiJingChangXingSunYiZhongZhaiWuZhongZuSunYi[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债务重组损益的说明（非经常性损益项目）"/>
                <w:tag w:val="_GBC_47534163d87a46f4b6a79708f7497fb1"/>
                <w:id w:val="865722174"/>
                <w:lock w:val="sdtLocked"/>
                <w:showingPlcHdr/>
                <w15:dataBinding w:prefixMappings="xmlns:clcid-pte='clcid-pte'" w:xpath="/*/clcid-pte:FeiJingChangXingSunYiZhongZhaiWuZhongZuSunYi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p>
            </w:tc>
            <w:tc>
              <w:tcPr>
                <w:tcW w:w="867" w:type="pct"/>
                <w:vAlign w:val="center"/>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1fd1d4caa569429ab96f7f70a6f1a991"/>
                <w:id w:val="865722175"/>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企业重组费用，如安置职工的支出、整合费用等</w:t>
                    </w:r>
                  </w:p>
                </w:tc>
              </w:sdtContent>
            </w:sdt>
            <w:sdt>
              <w:sdtPr>
                <w:rPr>
                  <w:rFonts w:ascii="Times New Roman" w:hAnsi="Times New Roman" w:cs="Times New Roman"/>
                  <w:szCs w:val="21"/>
                </w:rPr>
                <w:alias w:val="企业重组费用，如安置职工的支出、整合费用等（非经常性损益项目）"/>
                <w:tag w:val="_GBC_c8188a8f072146298be15aad2e72f2b1"/>
                <w:id w:val="865722176"/>
                <w:lock w:val="sdtLocked"/>
                <w:showingPlcHdr/>
                <w15:dataBinding w:prefixMappings="xmlns:clcid-pte='clcid-pte'" w:xpath="/*/clcid-pte:QiYeZhongZuFeiYongRuAnZhiZhiGongDeZhiChuZhengHeFeiYongDeng[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企业重组费用，如安置职工的支出、整合费用等的说明（非经常性损益项目）"/>
                <w:tag w:val="_GBC_1047e98f926845b1b4dd0ec3b5942f68"/>
                <w:id w:val="865722177"/>
                <w:lock w:val="sdtLocked"/>
                <w:showingPlcHdr/>
                <w15:dataBinding w:prefixMappings="xmlns:clcid-pte='clcid-pte'" w:xpath="/*/clcid-pte:QiYeZhongZuFeiYongRuAnZhiZhiGongDeZhiChuZhengHeFeiYongDeng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p>
            </w:tc>
            <w:tc>
              <w:tcPr>
                <w:tcW w:w="867" w:type="pct"/>
                <w:vAlign w:val="center"/>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a5e0a009a4f44eb0bf80d179b10fe78f"/>
                <w:id w:val="865722178"/>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交易价格显失公允的交易产生的超过公允价值部分的损益</w:t>
                    </w:r>
                  </w:p>
                </w:tc>
              </w:sdtContent>
            </w:sdt>
            <w:sdt>
              <w:sdtPr>
                <w:rPr>
                  <w:rFonts w:ascii="Times New Roman" w:hAnsi="Times New Roman" w:cs="Times New Roman"/>
                  <w:szCs w:val="21"/>
                </w:rPr>
                <w:alias w:val="交易价格显失公允的交易产生的超过公允价值部分的损益（非经常性损益项目）"/>
                <w:tag w:val="_GBC_0d3f47734ca14bf5bcb7a1e74537307d"/>
                <w:id w:val="865722179"/>
                <w:lock w:val="sdtLocked"/>
                <w:showingPlcHdr/>
                <w15:dataBinding w:prefixMappings="xmlns:clcid-pte='clcid-pte'" w:xpath="/*/clcid-pte:FeiJingChangXingSunYiZhongJiaoYiJiaGeXianShiGongYunDeJiaoYiChanShengDeSunYi[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交易价格显失公允的交易产生的超过公允价值部分的损益的说明（非经常性损益项目）"/>
                <w:tag w:val="_GBC_98d5c2a1bff64b70b1fe53422048aebb"/>
                <w:id w:val="865722180"/>
                <w:lock w:val="sdtLocked"/>
                <w:showingPlcHdr/>
                <w15:dataBinding w:prefixMappings="xmlns:clcid-pte='clcid-pte'" w:xpath="/*/clcid-pte:FeiJingChangXingSunYiZhongJiaoYiJiaGeXianShiGongYunDeJiaoYiChanShengDeSunYi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p>
            </w:tc>
            <w:tc>
              <w:tcPr>
                <w:tcW w:w="867" w:type="pct"/>
                <w:vAlign w:val="center"/>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963eacd156f348688a85a48cabff7807"/>
                <w:id w:val="865722181"/>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同一控制下企业合并产生的子公司期初至合并日的当期净损益</w:t>
                    </w:r>
                  </w:p>
                </w:tc>
              </w:sdtContent>
            </w:sdt>
            <w:sdt>
              <w:sdtPr>
                <w:rPr>
                  <w:rFonts w:ascii="Times New Roman" w:hAnsi="Times New Roman" w:cs="Times New Roman"/>
                  <w:szCs w:val="21"/>
                </w:rPr>
                <w:alias w:val="同一控制下企业合并产生的子公司期初至合并日的当期净损益（非经常性损益项目）"/>
                <w:tag w:val="_GBC_f12a9ff39ba74938b375e450b22f2e96"/>
                <w:id w:val="865722182"/>
                <w:lock w:val="sdtLocked"/>
                <w:showingPlcHdr/>
                <w15:dataBinding w:prefixMappings="xmlns:clcid-pte='clcid-pte'" w:xpath="/*/clcid-pte:TongYiKongZhiXiaQiYeHeBingChanShengDeZiGongSiQiChuZhiHeBingRiDeDangQiJingSunYi[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同一控制下企业合并产生的子公司期初至合并日的当期净损益的说明（非经常性损益项目）"/>
                <w:tag w:val="_GBC_4a14bffeec944c53ba7b0dc36b9cfe0e"/>
                <w:id w:val="865722183"/>
                <w:lock w:val="sdtLocked"/>
                <w:showingPlcHdr/>
                <w15:dataBinding w:prefixMappings="xmlns:clcid-pte='clcid-pte'" w:xpath="/*/clcid-pte:TongYiKongZhiXiaQiYeHeBingChanShengDeZiGongSiQiChuZhiHeBingRiDeDangQiJingSunYi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p>
            </w:tc>
            <w:tc>
              <w:tcPr>
                <w:tcW w:w="867" w:type="pct"/>
                <w:vAlign w:val="center"/>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d5c4b44a00e644abae94fd5aab6a0f53"/>
                <w:id w:val="865722184"/>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与公司正常经营业务无关的或有事项产生的损益</w:t>
                    </w:r>
                  </w:p>
                </w:tc>
              </w:sdtContent>
            </w:sdt>
            <w:sdt>
              <w:sdtPr>
                <w:rPr>
                  <w:rFonts w:ascii="Times New Roman" w:hAnsi="Times New Roman" w:cs="Times New Roman"/>
                  <w:szCs w:val="21"/>
                </w:rPr>
                <w:alias w:val="与公司正常经营业务无关的或有事项产生的损益（非经常性损益项目）"/>
                <w:tag w:val="_GBC_4df813a9059a434380e9bbc3d5359064"/>
                <w:id w:val="865722185"/>
                <w:lock w:val="sdtLocked"/>
                <w:showingPlcHdr/>
                <w15:dataBinding w:prefixMappings="xmlns:clcid-pte='clcid-pte'" w:xpath="/*/clcid-pte:YuGongSiZhuYingYeWuWuGuanDeYuJiFuZhaiChanShengDeSunYi[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与公司正常经营业务无关的或有事项产生的损益的说明（非经常性损益项目）"/>
                <w:tag w:val="_GBC_1ece571fbdc6432389b9ee98afce0e0b"/>
                <w:id w:val="865722186"/>
                <w:lock w:val="sdtLocked"/>
                <w:showingPlcHdr/>
                <w15:dataBinding w:prefixMappings="xmlns:clcid-pte='clcid-pte'" w:xpath="/*/clcid-pte:YuGongSiZhuYingYeWuWuGuanDeYuJiFuZhaiChanShengDeSunYi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p>
            </w:tc>
            <w:tc>
              <w:tcPr>
                <w:tcW w:w="867" w:type="pct"/>
                <w:vAlign w:val="center"/>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pct"/>
                <w:vAlign w:val="center"/>
              </w:tcPr>
              <w:sdt>
                <w:sdtPr>
                  <w:rPr>
                    <w:rFonts w:ascii="Times New Roman" w:hAnsi="Times New Roman"/>
                  </w:rPr>
                  <w:tag w:val="_PLD_c9f3090a6252489a8a56f231559548a9"/>
                  <w:id w:val="865722187"/>
                  <w:lock w:val="sdtLocked"/>
                </w:sdtPr>
                <w:sdtEndPr>
                  <w:rPr>
                    <w:rFonts w:ascii="Times New Roman" w:hAnsi="Times New Roman"/>
                  </w:rPr>
                </w:sdtEndPr>
                <w:sdtContent>
                  <w:p>
                    <w:pPr>
                      <w:pStyle w:val="55"/>
                      <w:ind w:firstLine="0" w:firstLineChars="0"/>
                      <w:rPr>
                        <w:rFonts w:ascii="Times New Roman" w:hAnsi="Times New Roman"/>
                      </w:rPr>
                    </w:pPr>
                    <w:r>
                      <w:rPr>
                        <w:rFonts w:ascii="Times New Roman"/>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9e3b11554a02407788efb0fb69037b20"/>
                <w:id w:val="865722188"/>
                <w:lock w:val="sdtLocked"/>
                <w15: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,5</w:t>
                    </w:r>
                    <w:r>
                      <w:rPr>
                        <w:rFonts w:hint="eastAsia" w:ascii="Times New Roman" w:hAnsi="Times New Roman" w:cs="Times New Roman"/>
                        <w:szCs w:val="21"/>
                      </w:rPr>
                      <w:t>03</w:t>
                    </w:r>
                    <w:r>
                      <w:rPr>
                        <w:rFonts w:ascii="Times New Roman" w:hAnsi="Times New Roman" w:cs="Times New Roman"/>
                        <w:szCs w:val="21"/>
                      </w:rPr>
                      <w:t>,2</w:t>
                    </w:r>
                    <w:r>
                      <w:rPr>
                        <w:rFonts w:hint="eastAsia" w:ascii="Times New Roman" w:hAnsi="Times New Roman" w:cs="Times New Roman"/>
                        <w:szCs w:val="21"/>
                      </w:rPr>
                      <w:t>26</w:t>
                    </w:r>
                    <w:r>
                      <w:rPr>
                        <w:rFonts w:ascii="Times New Roman" w:hAnsi="Times New Roman" w:cs="Times New Roman"/>
                        <w:szCs w:val="21"/>
                      </w:rPr>
                      <w:t>.</w:t>
                    </w:r>
                    <w:r>
                      <w:rPr>
                        <w:rFonts w:hint="eastAsia" w:ascii="Times New Roman" w:hAnsi="Times New Roman" w:cs="Times New Roman"/>
                        <w:szCs w:val="21"/>
                      </w:rPr>
                      <w:t>8</w:t>
                    </w:r>
                    <w:r>
                      <w:rPr>
                        <w:rFonts w:ascii="Times New Roman" w:hAnsi="Times New Roman" w:cs="Times New Roman"/>
                        <w:szCs w:val="21"/>
                      </w:rPr>
                      <w:t>5</w:t>
                    </w:r>
                  </w:p>
                </w:tc>
              </w:sdtContent>
            </w:sdt>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dde667ea54dc4baface40ca7fbc1d4d2"/>
                <w:id w:val="865722189"/>
                <w:lock w:val="sdtLocked"/>
                <w:showingPlcHdr/>
                <w15: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Style w:val="70"/>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r>
                  <w:rPr>
                    <w:rFonts w:ascii="Times New Roman" w:hAnsi="Times New Roman" w:cs="Times New Roman"/>
                    <w:szCs w:val="21"/>
                  </w:rPr>
                  <w:t>35,705,051.52</w:t>
                </w:r>
              </w:p>
            </w:tc>
            <w:tc>
              <w:tcPr>
                <w:tcW w:w="867" w:type="pct"/>
                <w:vAlign w:val="center"/>
              </w:tcPr>
              <w:p>
                <w:pPr>
                  <w:widowControl w:val="0"/>
                  <w:jc w:val="right"/>
                  <w:rPr>
                    <w:rFonts w:ascii="Times New Roman" w:hAnsi="Times New Roman" w:cs="Times New Roman"/>
                    <w:szCs w:val="21"/>
                  </w:rPr>
                </w:pPr>
                <w:r>
                  <w:rPr>
                    <w:rFonts w:ascii="Times New Roman" w:hAnsi="Times New Roman" w:cs="Times New Roman"/>
                    <w:szCs w:val="21"/>
                  </w:rPr>
                  <w:t>80,473,498.17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pct"/>
                <w:vAlign w:val="center"/>
              </w:tcPr>
              <w:sdt>
                <w:sdtPr>
                  <w:rPr>
                    <w:rFonts w:ascii="Times New Roman" w:hAnsi="Times New Roman"/>
                  </w:rPr>
                  <w:tag w:val="_PLD_a35bb95fbfe74ad19cddd8723c27647d"/>
                  <w:id w:val="865722190"/>
                  <w:lock w:val="sdtLocked"/>
                </w:sdtPr>
                <w:sdtEndPr>
                  <w:rPr>
                    <w:rFonts w:ascii="Times New Roman" w:hAnsi="Times New Roman"/>
                  </w:rPr>
                </w:sdtEndPr>
                <w:sdtContent>
                  <w:p>
                    <w:pPr>
                      <w:pStyle w:val="55"/>
                      <w:ind w:firstLine="0" w:firstLineChars="0"/>
                      <w:rPr>
                        <w:rFonts w:ascii="Times New Roman" w:hAnsi="Times New Roman"/>
                      </w:rPr>
                    </w:pPr>
                    <w:r>
                      <w:rPr>
                        <w:rFonts w:ascii="Times New Roman"/>
                      </w:rPr>
                      <w:t>单独进行减值测试的应收款项、合同资产减值准备转回</w:t>
                    </w:r>
                  </w:p>
                </w:sdtContent>
              </w:sdt>
            </w:tc>
            <w:sdt>
              <w:sdtPr>
                <w:rPr>
                  <w:rFonts w:ascii="Times New Roman" w:hAnsi="Times New Roman" w:cs="Times New Roman"/>
                  <w:szCs w:val="21"/>
                </w:rPr>
                <w:alias w:val="单独进行减值测试的应收款项、合同资产减值准备转回（非经常性损益项目） "/>
                <w:tag w:val="_GBC_c7ca5d643b6b479d8a1de3bc1688b77e"/>
                <w:id w:val="865722191"/>
                <w:lock w:val="sdtLocked"/>
                <w:showingPlcHdr/>
                <w15:dataBinding w:prefixMappings="xmlns:clcid-pte='clcid-pte'" w:xpath="/*/clcid-pte:DanDuJinXingJianZhiCeShiDeYingShouKuanXiangHeTongZiChanJianZhiZhunBeiZhuanHuiFeiJingChangXingSunYiXiangMu[not(@periodRef)]" w:storeItemID="{89EBAB94-44A0-46A2-B712-30D997D04A6D}"/>
                <w:text/>
              </w:sdtPr>
              <w:sdtEndPr>
                <w:rPr>
                  <w:rFonts w:ascii="Times New Roman" w:hAnsi="Times New Roman" w:cs="Times New Roman"/>
                  <w:szCs w:val="21"/>
                </w:rPr>
              </w:sdtEndPr>
              <w:sdtContent>
                <w:tc>
                  <w:tcPr>
                    <w:tcW w:w="886" w:type="pct"/>
                  </w:tcPr>
                  <w:p>
                    <w:pPr>
                      <w:widowControl w:val="0"/>
                      <w:jc w:val="right"/>
                      <w:rPr>
                        <w:rFonts w:ascii="Times New Roman" w:hAnsi="Times New Roman" w:cs="Times New Roman"/>
                        <w:szCs w:val="21"/>
                      </w:rPr>
                    </w:pPr>
                    <w:r>
                      <w:rPr>
                        <w:rStyle w:val="70"/>
                        <w:rFonts w:ascii="Times New Roman" w:hAnsi="Times New Roman" w:cs="Times New Roman"/>
                        <w:szCs w:val="21"/>
                      </w:rPr>
                      <w:t>　</w:t>
                    </w:r>
                  </w:p>
                </w:tc>
              </w:sdtContent>
            </w:sdt>
            <w:sdt>
              <w:sdtPr>
                <w:rPr>
                  <w:rFonts w:ascii="Times New Roman" w:hAnsi="Times New Roman" w:cs="Times New Roman"/>
                  <w:szCs w:val="21"/>
                </w:rPr>
                <w:alias w:val="单独进行减值测试的应收款项、合同资产减值准备转回的说明（非经常性损益项目）"/>
                <w:tag w:val="_GBC_a7bd773df54f44c692a6dfba547dd267"/>
                <w:id w:val="865722192"/>
                <w:lock w:val="sdtLocked"/>
                <w:showingPlcHdr/>
                <w15:dataBinding w:prefixMappings="xmlns:clcid-pte='clcid-pte'" w:xpath="/*/clcid-pte:DanDuJinXingJianZhiCeShiDeYingShouKuanXiangHeTongZiChanJianZhiZhunBeiZhuanHuiDeShuoMingFeiJingChangXingSunYiXiangMu[not(@periodRef)]" w:storeItemID="{89EBAB94-44A0-46A2-B712-30D997D04A6D}"/>
                <w:text/>
              </w:sdtPr>
              <w:sdtEndPr>
                <w:rPr>
                  <w:rFonts w:ascii="Times New Roman" w:hAnsi="Times New Roman" w:cs="Times New Roman"/>
                  <w:szCs w:val="21"/>
                </w:rPr>
              </w:sdtEndPr>
              <w:sdtContent>
                <w:tc>
                  <w:tcPr>
                    <w:tcW w:w="627" w:type="pct"/>
                  </w:tcPr>
                  <w:p>
                    <w:pPr>
                      <w:widowControl w:val="0"/>
                      <w:jc w:val="both"/>
                      <w:rPr>
                        <w:rFonts w:ascii="Times New Roman" w:hAnsi="Times New Roman" w:cs="Times New Roman"/>
                        <w:szCs w:val="21"/>
                      </w:rPr>
                    </w:pPr>
                    <w:r>
                      <w:rPr>
                        <w:rStyle w:val="70"/>
                        <w:rFonts w:ascii="Times New Roman" w:hAnsi="Times New Roman" w:cs="Times New Roman"/>
                        <w:szCs w:val="21"/>
                      </w:rPr>
                      <w:t>　</w:t>
                    </w:r>
                  </w:p>
                </w:tc>
              </w:sdtContent>
            </w:sdt>
            <w:tc>
              <w:tcPr>
                <w:tcW w:w="861" w:type="pct"/>
              </w:tcPr>
              <w:p>
                <w:pPr>
                  <w:widowControl w:val="0"/>
                  <w:jc w:val="right"/>
                  <w:rPr>
                    <w:rFonts w:ascii="Times New Roman" w:hAnsi="Times New Roman" w:cs="Times New Roman"/>
                    <w:szCs w:val="21"/>
                  </w:rPr>
                </w:pPr>
              </w:p>
            </w:tc>
            <w:tc>
              <w:tcPr>
                <w:tcW w:w="867" w:type="pct"/>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fbeffc1ef58042eabb841a8c6ba3a2cd"/>
                <w:id w:val="865722193"/>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对外委托贷款取得的损益</w:t>
                    </w:r>
                  </w:p>
                </w:tc>
              </w:sdtContent>
            </w:sdt>
            <w:sdt>
              <w:sdtPr>
                <w:rPr>
                  <w:rFonts w:ascii="Times New Roman" w:hAnsi="Times New Roman" w:cs="Times New Roman"/>
                  <w:szCs w:val="21"/>
                </w:rPr>
                <w:alias w:val="对外委托贷款取得的损益（非经常性损益项目）"/>
                <w:tag w:val="_GBC_611a46074c784e99a3e43b9dcb8b5375"/>
                <w:id w:val="865722194"/>
                <w:lock w:val="sdtLocked"/>
                <w:showingPlcHdr/>
                <w15:dataBinding w:prefixMappings="xmlns:clcid-pte='clcid-pte'" w:xpath="/*/clcid-pte:DuiWaiWeiTuoDaiKuanQuDeDeSunYi[not(@periodRef)]" w:storeItemID="{89EBAB94-44A0-46A2-B712-30D997D04A6D}"/>
                <w:text/>
              </w:sdtPr>
              <w:sdtEndPr>
                <w:rPr>
                  <w:rFonts w:ascii="Times New Roman" w:hAnsi="Times New Roman" w:cs="Times New Roman"/>
                  <w:szCs w:val="21"/>
                </w:rPr>
              </w:sdtEndPr>
              <w:sdtContent>
                <w:tc>
                  <w:tcPr>
                    <w:tcW w:w="886" w:type="pct"/>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对外委托贷款取得的损益的说明（非经常性损益项目）"/>
                <w:tag w:val="_GBC_7507837e13a947aba2d17ae424d98995"/>
                <w:id w:val="865722195"/>
                <w:lock w:val="sdtLocked"/>
                <w:showingPlcHdr/>
                <w15:dataBinding w:prefixMappings="xmlns:clcid-pte='clcid-pte'" w:xpath="/*/clcid-pte:DuiWaiWeiTuoDaiKuanQuDeDeSunYiShuoMing[not(@periodRef)]" w:storeItemID="{89EBAB94-44A0-46A2-B712-30D997D04A6D}"/>
                <w:text/>
              </w:sdtPr>
              <w:sdtEndPr>
                <w:rPr>
                  <w:rFonts w:ascii="Times New Roman" w:hAnsi="Times New Roman" w:cs="Times New Roman"/>
                  <w:szCs w:val="21"/>
                </w:rPr>
              </w:sdtEndPr>
              <w:sdtContent>
                <w:tc>
                  <w:tcPr>
                    <w:tcW w:w="627" w:type="pct"/>
                  </w:tcPr>
                  <w:p>
                    <w:pPr>
                      <w:widowControl w:val="0"/>
                      <w:jc w:val="both"/>
                      <w:rPr>
                        <w:rFonts w:ascii="Times New Roman" w:hAnsi="Times New Roman" w:cs="Times New Roman"/>
                        <w:szCs w:val="21"/>
                      </w:rPr>
                    </w:pPr>
                    <w:r>
                      <w:rPr>
                        <w:rFonts w:ascii="Times New Roman" w:hAnsi="Times New Roman" w:cs="Times New Roman"/>
                        <w:szCs w:val="21"/>
                      </w:rPr>
                      <w:t>　</w:t>
                    </w:r>
                  </w:p>
                </w:tc>
              </w:sdtContent>
            </w:sdt>
            <w:tc>
              <w:tcPr>
                <w:tcW w:w="861" w:type="pct"/>
              </w:tcPr>
              <w:p>
                <w:pPr>
                  <w:widowControl w:val="0"/>
                  <w:jc w:val="right"/>
                  <w:rPr>
                    <w:rFonts w:ascii="Times New Roman" w:hAnsi="Times New Roman" w:cs="Times New Roman"/>
                    <w:szCs w:val="21"/>
                  </w:rPr>
                </w:pPr>
              </w:p>
            </w:tc>
            <w:tc>
              <w:tcPr>
                <w:tcW w:w="867" w:type="pct"/>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imes New Roman" w:hAnsi="Times New Roman"/>
                </w:rPr>
                <w:tag w:val="_PLD_ab4996bc8c9546cc897e6503fc329d77"/>
                <w:id w:val="865722196"/>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采用公允价值模式进行后续计量的投资性房地产公允价值变动产生的损益</w:t>
                    </w:r>
                  </w:p>
                </w:tc>
              </w:sdtContent>
            </w:sdt>
            <w:sdt>
              <w:sdtPr>
                <w:rPr>
                  <w:rFonts w:ascii="Times New Roman" w:hAnsi="Times New Roman" w:cs="Times New Roman"/>
                  <w:szCs w:val="21"/>
                </w:rPr>
                <w:alias w:val="采用公允价值模式进行后续计量的投资性房地产公允价值变动产生的损益（非经常性损益项目）"/>
                <w:tag w:val="_GBC_befb60810002429593615e3a521f5276"/>
                <w:id w:val="865722197"/>
                <w:lock w:val="sdtLocked"/>
                <w:showingPlcHdr/>
                <w15:dataBinding w:prefixMappings="xmlns:clcid-pte='clcid-pte'" w:xpath="/*/clcid-pte:CaiYongGongYunJiaZhiMoShiJinXingHouXuJiLiangDeTouZiXingFangDiChanGongYunJiaZhiBianDongChanShengDeSunYi[not(@periodRef)]" w:storeItemID="{89EBAB94-44A0-46A2-B712-30D997D04A6D}"/>
                <w:text/>
              </w:sdtPr>
              <w:sdtEndPr>
                <w:rPr>
                  <w:rFonts w:ascii="Times New Roman" w:hAnsi="Times New Roman" w:cs="Times New Roman"/>
                  <w:szCs w:val="21"/>
                </w:rPr>
              </w:sdtEndPr>
              <w:sdtContent>
                <w:tc>
                  <w:tcPr>
                    <w:tcW w:w="886" w:type="pct"/>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采用公允价值模式进行后续计量的投资性房地产公允价值变动产生的损益的说明（非经常性损益项目）"/>
                <w:tag w:val="_GBC_d13c15f0154e44798ebb83b83298f101"/>
                <w:id w:val="865722198"/>
                <w:lock w:val="sdtLocked"/>
                <w:showingPlcHdr/>
                <w15:dataBinding w:prefixMappings="xmlns:clcid-pte='clcid-pte'" w:xpath="/*/clcid-pte:CaiYongGongYunJiaZhiMoShiJinXingHouXuJiLiangDeTouZiXingFangDiChanGongYunJiaZhiBianDongChanShengDeSunYiShuoMing[not(@periodRef)]" w:storeItemID="{89EBAB94-44A0-46A2-B712-30D997D04A6D}"/>
                <w:text/>
              </w:sdtPr>
              <w:sdtEndPr>
                <w:rPr>
                  <w:rFonts w:ascii="Times New Roman" w:hAnsi="Times New Roman" w:cs="Times New Roman"/>
                  <w:szCs w:val="21"/>
                </w:rPr>
              </w:sdtEndPr>
              <w:sdtContent>
                <w:tc>
                  <w:tcPr>
                    <w:tcW w:w="627" w:type="pct"/>
                  </w:tcPr>
                  <w:p>
                    <w:pPr>
                      <w:widowControl w:val="0"/>
                      <w:jc w:val="both"/>
                      <w:rPr>
                        <w:rFonts w:ascii="Times New Roman" w:hAnsi="Times New Roman" w:cs="Times New Roman"/>
                        <w:szCs w:val="21"/>
                      </w:rPr>
                    </w:pPr>
                    <w:r>
                      <w:rPr>
                        <w:rFonts w:ascii="Times New Roman" w:hAnsi="Times New Roman" w:cs="Times New Roman"/>
                        <w:szCs w:val="21"/>
                      </w:rPr>
                      <w:t>　</w:t>
                    </w:r>
                  </w:p>
                </w:tc>
              </w:sdtContent>
            </w:sdt>
            <w:tc>
              <w:tcPr>
                <w:tcW w:w="861" w:type="pct"/>
              </w:tcPr>
              <w:p>
                <w:pPr>
                  <w:widowControl w:val="0"/>
                  <w:jc w:val="right"/>
                  <w:rPr>
                    <w:rFonts w:ascii="Times New Roman" w:hAnsi="Times New Roman" w:cs="Times New Roman"/>
                    <w:szCs w:val="21"/>
                  </w:rPr>
                </w:pPr>
              </w:p>
            </w:tc>
            <w:tc>
              <w:tcPr>
                <w:tcW w:w="867" w:type="pct"/>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80eb423167a4447fa29c77c0868920cf"/>
                <w:id w:val="865722199"/>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根据税收、会计等法律、法规的要求对当期损益进行一次性调整对当期损益的影响</w:t>
                    </w:r>
                  </w:p>
                </w:tc>
              </w:sdtContent>
            </w:sdt>
            <w:sdt>
              <w:sdtPr>
                <w:rPr>
                  <w:rFonts w:ascii="Times New Roman" w:hAnsi="Times New Roman" w:cs="Times New Roman"/>
                  <w:szCs w:val="21"/>
                </w:rPr>
                <w:alias w:val="根据税收、会计等法律、法规的要求对当期损益进行一次性调整对当期损益的影响（非经常性损益项目）"/>
                <w:tag w:val="_GBC_ca4bb3049b574b3e8c6e1776b8440b3c"/>
                <w:id w:val="865722200"/>
                <w:lock w:val="sdtLocked"/>
                <w:showingPlcHdr/>
                <w15:dataBinding w:prefixMappings="xmlns:clcid-pte='clcid-pte'" w:xpath="/*/clcid-pte:GenJuShuiShouKuaiJiDengFaLvFaGuiDeYaoQiuDuiDangQiSunYiJinXingYiCiXingTiaoZhengDuiDangQiSunYiDeYingXiang[not(@periodRef)]" w:storeItemID="{89EBAB94-44A0-46A2-B712-30D997D04A6D}"/>
                <w:text/>
              </w:sdtPr>
              <w:sdtEndPr>
                <w:rPr>
                  <w:rFonts w:ascii="Times New Roman" w:hAnsi="Times New Roman" w:cs="Times New Roman"/>
                  <w:szCs w:val="21"/>
                </w:rPr>
              </w:sdtEndPr>
              <w:sdtContent>
                <w:tc>
                  <w:tcPr>
                    <w:tcW w:w="886" w:type="pct"/>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根据税收、会计等法律、法规的要求对当期损益进行一次性调整对当期损益的影响的说明（非经常性损益项目）"/>
                <w:tag w:val="_GBC_238aa7e1b60241b4a325f2307526db7f"/>
                <w:id w:val="865722201"/>
                <w:lock w:val="sdtLocked"/>
                <w:showingPlcHdr/>
                <w15:dataBinding w:prefixMappings="xmlns:clcid-pte='clcid-pte'" w:xpath="/*/clcid-pte:GenJuShuiShouKuaiJiDengFaLvFaGuiDeYaoQiuDuiDangQiSunYiJinXingYiCiXingTiaoZhengDuiDangQiSunYiDeYingXiangShuoMing[not(@periodRef)]" w:storeItemID="{89EBAB94-44A0-46A2-B712-30D997D04A6D}"/>
                <w:text/>
              </w:sdtPr>
              <w:sdtEndPr>
                <w:rPr>
                  <w:rFonts w:ascii="Times New Roman" w:hAnsi="Times New Roman" w:cs="Times New Roman"/>
                  <w:szCs w:val="21"/>
                </w:rPr>
              </w:sdtEndPr>
              <w:sdtContent>
                <w:tc>
                  <w:tcPr>
                    <w:tcW w:w="627" w:type="pct"/>
                  </w:tcPr>
                  <w:p>
                    <w:pPr>
                      <w:widowControl w:val="0"/>
                      <w:jc w:val="both"/>
                      <w:rPr>
                        <w:rFonts w:ascii="Times New Roman" w:hAnsi="Times New Roman" w:cs="Times New Roman"/>
                        <w:szCs w:val="21"/>
                      </w:rPr>
                    </w:pPr>
                    <w:r>
                      <w:rPr>
                        <w:rFonts w:ascii="Times New Roman" w:hAnsi="Times New Roman" w:cs="Times New Roman"/>
                        <w:szCs w:val="21"/>
                      </w:rPr>
                      <w:t>　</w:t>
                    </w:r>
                  </w:p>
                </w:tc>
              </w:sdtContent>
            </w:sdt>
            <w:tc>
              <w:tcPr>
                <w:tcW w:w="861" w:type="pct"/>
              </w:tcPr>
              <w:p>
                <w:pPr>
                  <w:widowControl w:val="0"/>
                  <w:jc w:val="right"/>
                  <w:rPr>
                    <w:rFonts w:ascii="Times New Roman" w:hAnsi="Times New Roman" w:cs="Times New Roman"/>
                    <w:szCs w:val="21"/>
                  </w:rPr>
                </w:pPr>
              </w:p>
            </w:tc>
            <w:tc>
              <w:tcPr>
                <w:tcW w:w="867" w:type="pct"/>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f3cbcb5c4a554cb89b6fcecd900b57f6"/>
                <w:id w:val="865722202"/>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受托经营取得的托管费收入</w:t>
                    </w:r>
                  </w:p>
                </w:tc>
              </w:sdtContent>
            </w:sdt>
            <w:sdt>
              <w:sdtPr>
                <w:rPr>
                  <w:rFonts w:ascii="Times New Roman" w:hAnsi="Times New Roman" w:cs="Times New Roman"/>
                  <w:szCs w:val="21"/>
                </w:rPr>
                <w:alias w:val="受托经营取得的托管费收入（非经常性损益项目）"/>
                <w:tag w:val="_GBC_64dec82270cd41ecb837bfb42a00fe5d"/>
                <w:id w:val="865722203"/>
                <w:lock w:val="sdtLocked"/>
                <w:showingPlcHdr/>
                <w15:dataBinding w:prefixMappings="xmlns:clcid-pte='clcid-pte'" w:xpath="/*/clcid-pte:ShouTuoJingYingQuDeDeTuoGuanFeiShouRu[not(@periodRef)]" w:storeItemID="{89EBAB94-44A0-46A2-B712-30D997D04A6D}"/>
                <w:text/>
              </w:sdtPr>
              <w:sdtEndPr>
                <w:rPr>
                  <w:rFonts w:ascii="Times New Roman" w:hAnsi="Times New Roman" w:cs="Times New Roman"/>
                  <w:szCs w:val="21"/>
                </w:rPr>
              </w:sdtEndPr>
              <w:sdtContent>
                <w:tc>
                  <w:tcPr>
                    <w:tcW w:w="886" w:type="pct"/>
                  </w:tcPr>
                  <w:p>
                    <w:pPr>
                      <w:widowControl w:val="0"/>
                      <w:jc w:val="right"/>
                      <w:rPr>
                        <w:rFonts w:ascii="Times New Roman" w:hAnsi="Times New Roman" w:cs="Times New Roman"/>
                        <w:szCs w:val="21"/>
                      </w:rPr>
                    </w:pPr>
                    <w:r>
                      <w:rPr>
                        <w:rFonts w:ascii="Times New Roman" w:hAnsi="Times New Roman" w:cs="Times New Roman"/>
                        <w:szCs w:val="21"/>
                      </w:rPr>
                      <w:t>　</w:t>
                    </w:r>
                  </w:p>
                </w:tc>
              </w:sdtContent>
            </w:sdt>
            <w:sdt>
              <w:sdtPr>
                <w:rPr>
                  <w:rFonts w:ascii="Times New Roman" w:hAnsi="Times New Roman" w:cs="Times New Roman"/>
                  <w:szCs w:val="21"/>
                </w:rPr>
                <w:alias w:val="受托经营取得的托管费收入的说明（非经常性损益项目）"/>
                <w:tag w:val="_GBC_eb60e395088e43f9ae0d163e9b11708e"/>
                <w:id w:val="865722204"/>
                <w:lock w:val="sdtLocked"/>
                <w:showingPlcHdr/>
                <w15:dataBinding w:prefixMappings="xmlns:clcid-pte='clcid-pte'" w:xpath="/*/clcid-pte:ShouTuoJingYingQuDeDeTuoGuanFeiShouRuShuoMing[not(@periodRef)]" w:storeItemID="{89EBAB94-44A0-46A2-B712-30D997D04A6D}"/>
                <w:text/>
              </w:sdtPr>
              <w:sdtEndPr>
                <w:rPr>
                  <w:rFonts w:ascii="Times New Roman" w:hAnsi="Times New Roman" w:cs="Times New Roman"/>
                  <w:szCs w:val="21"/>
                </w:rPr>
              </w:sdtEndPr>
              <w:sdtContent>
                <w:tc>
                  <w:tcPr>
                    <w:tcW w:w="627" w:type="pct"/>
                  </w:tcPr>
                  <w:p>
                    <w:pPr>
                      <w:widowControl w:val="0"/>
                      <w:jc w:val="both"/>
                      <w:rPr>
                        <w:rFonts w:ascii="Times New Roman" w:hAnsi="Times New Roman" w:cs="Times New Roman"/>
                        <w:szCs w:val="21"/>
                      </w:rPr>
                    </w:pPr>
                    <w:r>
                      <w:rPr>
                        <w:rFonts w:ascii="Times New Roman" w:hAnsi="Times New Roman" w:cs="Times New Roman"/>
                        <w:szCs w:val="21"/>
                      </w:rPr>
                      <w:t>　</w:t>
                    </w:r>
                  </w:p>
                </w:tc>
              </w:sdtContent>
            </w:sdt>
            <w:tc>
              <w:tcPr>
                <w:tcW w:w="861" w:type="pct"/>
              </w:tcPr>
              <w:p>
                <w:pPr>
                  <w:widowControl w:val="0"/>
                  <w:jc w:val="right"/>
                  <w:rPr>
                    <w:rFonts w:ascii="Times New Roman" w:hAnsi="Times New Roman" w:cs="Times New Roman"/>
                    <w:szCs w:val="21"/>
                  </w:rPr>
                </w:pPr>
              </w:p>
            </w:tc>
            <w:tc>
              <w:tcPr>
                <w:tcW w:w="867" w:type="pct"/>
              </w:tcPr>
              <w:p>
                <w:pPr>
                  <w:widowControl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e6be33fdedf14f828b768e63f66776a7"/>
                <w:id w:val="865722205"/>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a773965a05794857b243336e0cfaa234"/>
                <w:id w:val="865722206"/>
                <w:lock w:val="sdtLocked"/>
                <w15:dataBinding w:prefixMappings="xmlns:clcid-pte='clcid-pte'" w:xpath="/*/clcid-pte:ChuShangShuGeXiangZhiWaiDeQiTaYingYeWaiShouZhiJingE[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-2,328,559.44</w:t>
                    </w:r>
                  </w:p>
                </w:tc>
              </w:sdtContent>
            </w:sdt>
            <w:sdt>
              <w:sdtPr>
                <w:rPr>
                  <w:rFonts w:ascii="Times New Roman" w:hAnsi="Times New Roman" w:cs="Times New Roman"/>
                  <w:szCs w:val="21"/>
                </w:rPr>
                <w:alias w:val="除上述各项之外的其他营业外收入和支出的说明（非经常性损益项目）"/>
                <w:tag w:val="_GBC_ac5f6194a5db40ea8e92409805b59f35"/>
                <w:id w:val="865722207"/>
                <w:lock w:val="sdtLocked"/>
                <w:showingPlcHdr/>
                <w15:dataBinding w:prefixMappings="xmlns:clcid-pte='clcid-pte'" w:xpath="/*/clcid-pte:ChuShangShuGeXiangZhiWaiDeQiTaYingYeWaiShouZhiJingE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r>
                  <w:rPr>
                    <w:rFonts w:ascii="Times New Roman" w:hAnsi="Times New Roman" w:cs="Times New Roman"/>
                    <w:szCs w:val="21"/>
                  </w:rPr>
                  <w:t>2,980.44</w:t>
                </w:r>
              </w:p>
            </w:tc>
            <w:tc>
              <w:tcPr>
                <w:tcW w:w="867" w:type="pct"/>
                <w:vAlign w:val="center"/>
              </w:tcPr>
              <w:p>
                <w:pPr>
                  <w:widowControl w:val="0"/>
                  <w:jc w:val="right"/>
                  <w:rPr>
                    <w:rFonts w:ascii="Times New Roman" w:hAnsi="Times New Roman" w:cs="Times New Roman"/>
                    <w:szCs w:val="21"/>
                  </w:rPr>
                </w:pPr>
                <w:r>
                  <w:rPr>
                    <w:rFonts w:ascii="Times New Roman" w:hAnsi="Times New Roman" w:cs="Times New Roman"/>
                    <w:szCs w:val="21"/>
                  </w:rPr>
                  <w:t>-1,736,345.43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069ba37d792f40e6b04d4878cd0275d9"/>
                <w:id w:val="865722208"/>
                <w:lock w:val="sdtLocked"/>
              </w:sdtPr>
              <w:sdtEndPr>
                <w:rPr>
                  <w:rFonts w:ascii="Times New Roman" w:hAnsi="Times New Roman"/>
                </w:rPr>
              </w:sdtEndPr>
              <w:sdtContent>
                <w:tc>
                  <w:tcPr>
                    <w:tcW w:w="1759" w:type="pct"/>
                    <w:vAlign w:val="center"/>
                  </w:tcPr>
                  <w:p>
                    <w:pPr>
                      <w:pStyle w:val="55"/>
                      <w:ind w:firstLine="0" w:firstLineChars="0"/>
                      <w:rPr>
                        <w:rFonts w:ascii="Times New Roman" w:hAnsi="Times New Roman"/>
                        <w:szCs w:val="21"/>
                      </w:rPr>
                    </w:pPr>
                    <w:r>
                      <w:rPr>
                        <w:rFonts w:ascii="Times New Roman"/>
                        <w:szCs w:val="21"/>
                      </w:rPr>
                      <w:t>其他符合非经常性损益定义的损益项目</w:t>
                    </w:r>
                  </w:p>
                </w:tc>
              </w:sdtContent>
            </w:sdt>
            <w:sdt>
              <w:sdtPr>
                <w:rPr>
                  <w:rFonts w:ascii="Times New Roman" w:hAnsi="Times New Roman" w:cs="Times New Roman"/>
                  <w:szCs w:val="21"/>
                </w:rPr>
                <w:alias w:val="其他符合非经常性损益定义的损益项目（非经常性损益项目）"/>
                <w:tag w:val="_GBC_dc3014cc76184a2b8eb76e4aa565ffad"/>
                <w:id w:val="865722209"/>
                <w:lock w:val="sdtLocked"/>
                <w:showingPlcHdr/>
                <w15:dataBinding w:prefixMappings="xmlns:clcid-pte='clcid-pte'" w:xpath="/*/clcid-pte:QiTaFeiJingChangXingSunYiXiangMu[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ind w:right="105"/>
                      <w:jc w:val="right"/>
                      <w:rPr>
                        <w:rFonts w:ascii="Times New Roman" w:hAnsi="Times New Roman" w:cs="Times New Roman"/>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其他符合非经常性损益定义的损益项目说明（非经常性损益项目）"/>
                <w:tag w:val="_GBC_6779f30daaa643fc8b85b77d8abfb3a1"/>
                <w:id w:val="865722210"/>
                <w:lock w:val="sdtLocked"/>
                <w:showingPlcHdr/>
                <w15:dataBinding w:prefixMappings="xmlns:clcid-pte='clcid-pte'" w:xpath="/*/clcid-pte:QiTaFeiJingChangXingSunYiXiangMu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r>
                  <w:rPr>
                    <w:rFonts w:ascii="Times New Roman" w:hAnsi="Times New Roman" w:cs="Times New Roman"/>
                    <w:szCs w:val="21"/>
                  </w:rPr>
                  <w:t>-5,793,048.09</w:t>
                </w:r>
              </w:p>
            </w:tc>
            <w:tc>
              <w:tcPr>
                <w:tcW w:w="867" w:type="pct"/>
                <w:vAlign w:val="center"/>
              </w:tcPr>
              <w:p>
                <w:pPr>
                  <w:widowControl w:val="0"/>
                  <w:jc w:val="right"/>
                  <w:rPr>
                    <w:rFonts w:ascii="Times New Roman" w:hAnsi="Times New Roman" w:cs="Times New Roman"/>
                    <w:szCs w:val="21"/>
                  </w:rPr>
                </w:pPr>
                <w:r>
                  <w:rPr>
                    <w:rFonts w:ascii="Times New Roman" w:hAnsi="Times New Roman" w:cs="Times New Roman"/>
                    <w:szCs w:val="21"/>
                  </w:rPr>
                  <w:t>-2,871,959.49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f36791cf59a8480abcd9c8ff79bd2231"/>
                <w:id w:val="865722211"/>
                <w:lock w:val="sdtLocked"/>
              </w:sdtPr>
              <w:sdtEndPr>
                <w:rPr>
                  <w:rFonts w:ascii="Times New Roman" w:hAnsi="Times New Roman"/>
                </w:rPr>
              </w:sdtEndPr>
              <w:sdtContent>
                <w:tc>
                  <w:tcPr>
                    <w:tcW w:w="1759" w:type="pct"/>
                  </w:tcPr>
                  <w:p>
                    <w:pPr>
                      <w:pStyle w:val="55"/>
                      <w:ind w:firstLine="0" w:firstLineChars="0"/>
                      <w:jc w:val="left"/>
                      <w:rPr>
                        <w:rFonts w:ascii="Times New Roman" w:hAnsi="Times New Roman"/>
                        <w:szCs w:val="21"/>
                      </w:rPr>
                    </w:pPr>
                    <w:r>
                      <w:rPr>
                        <w:rFonts w:ascii="Times New Roman"/>
                      </w:rPr>
                      <w:t>减：</w:t>
                    </w:r>
                    <w:r>
                      <w:rPr>
                        <w:rFonts w:ascii="Times New Roman"/>
                        <w:szCs w:val="21"/>
                      </w:rPr>
                      <w:t>所得税影响额</w:t>
                    </w:r>
                  </w:p>
                </w:tc>
              </w:sdtContent>
            </w:sdt>
            <w:sdt>
              <w:sdtPr>
                <w:rPr>
                  <w:rFonts w:ascii="Times New Roman" w:hAnsi="Times New Roman" w:cs="Times New Roman"/>
                  <w:szCs w:val="21"/>
                </w:rPr>
                <w:alias w:val="非经常性损益_对所得税的影响"/>
                <w:tag w:val="_GBC_e14f120878e34174ad3744d5e7db4eea"/>
                <w:id w:val="865722212"/>
                <w:lock w:val="sdtLocked"/>
                <w15:dataBinding w:prefixMappings="xmlns:clcid-pte='clcid-pte'" w:xpath="/*/clcid-pte:FeiJingChangXingSunYiDeKouChuXiangMuDuiSuoDeShuiDeYingXiang[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6,439,531.21</w:t>
                    </w:r>
                  </w:p>
                </w:tc>
              </w:sdtContent>
            </w:sdt>
            <w:sdt>
              <w:sdtPr>
                <w:rPr>
                  <w:rFonts w:ascii="Times New Roman" w:hAnsi="Times New Roman" w:cs="Times New Roman"/>
                  <w:szCs w:val="21"/>
                </w:rPr>
                <w:alias w:val="所得税影响额的说明（非经常性损益项目）"/>
                <w:tag w:val="_GBC_fd22684ee3ac4dbea3da29cb32093302"/>
                <w:id w:val="865722213"/>
                <w:lock w:val="sdtLocked"/>
                <w:showingPlcHdr/>
                <w15:dataBinding w:prefixMappings="xmlns:clcid-pte='clcid-pte'" w:xpath="/*/clcid-pte:FeiJingChangXingSunYiDeKouChuXiangMuDuiSuoDeShuiDeYingXiang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r>
                  <w:rPr>
                    <w:rFonts w:ascii="Times New Roman" w:hAnsi="Times New Roman" w:cs="Times New Roman"/>
                    <w:szCs w:val="21"/>
                  </w:rPr>
                  <w:t>8,576,655.64</w:t>
                </w:r>
              </w:p>
            </w:tc>
            <w:tc>
              <w:tcPr>
                <w:tcW w:w="867" w:type="pct"/>
                <w:vAlign w:val="center"/>
              </w:tcPr>
              <w:p>
                <w:pPr>
                  <w:widowControl w:val="0"/>
                  <w:jc w:val="right"/>
                  <w:rPr>
                    <w:rFonts w:ascii="Times New Roman" w:hAnsi="Times New Roman" w:cs="Times New Roman"/>
                    <w:szCs w:val="21"/>
                  </w:rPr>
                </w:pPr>
                <w:r>
                  <w:rPr>
                    <w:rFonts w:ascii="Times New Roman" w:hAnsi="Times New Roman" w:cs="Times New Roman"/>
                    <w:szCs w:val="21"/>
                  </w:rPr>
                  <w:t>21,068,467.15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0149f9eb956c4e448b13c00025046984"/>
                <w:id w:val="865722214"/>
                <w:lock w:val="sdtLocked"/>
              </w:sdtPr>
              <w:sdtEndPr>
                <w:rPr>
                  <w:rFonts w:ascii="Times New Roman" w:hAnsi="Times New Roman"/>
                </w:rPr>
              </w:sdtEndPr>
              <w:sdtContent>
                <w:tc>
                  <w:tcPr>
                    <w:tcW w:w="1759" w:type="pct"/>
                  </w:tcPr>
                  <w:p>
                    <w:pPr>
                      <w:pStyle w:val="55"/>
                      <w:jc w:val="left"/>
                      <w:rPr>
                        <w:rFonts w:ascii="Times New Roman" w:hAnsi="Times New Roman"/>
                        <w:szCs w:val="21"/>
                      </w:rPr>
                    </w:pPr>
                    <w:r>
                      <w:rPr>
                        <w:rFonts w:ascii="Times New Roman"/>
                        <w:szCs w:val="21"/>
                      </w:rPr>
                      <w:t>少数股东权益影响额（税后）</w:t>
                    </w:r>
                  </w:p>
                </w:tc>
              </w:sdtContent>
            </w:sdt>
            <w:sdt>
              <w:sdtPr>
                <w:rPr>
                  <w:rFonts w:ascii="Times New Roman" w:hAnsi="Times New Roman" w:cs="Times New Roman"/>
                  <w:szCs w:val="21"/>
                </w:rPr>
                <w:alias w:val="少数股东权益影响额（非经常性损益项目）"/>
                <w:tag w:val="_GBC_8a33ddc327de4910a42517cecea4257d"/>
                <w:id w:val="865722215"/>
                <w:lock w:val="sdtLocked"/>
                <w15:dataBinding w:prefixMappings="xmlns:clcid-pte='clcid-pte'" w:xpath="/*/clcid-pte:FeiJingChangXingSunYiXiangMuZhongShaoShuGuDongQuanYiYingXiangE[not(@periodRef)]" w:storeItemID="{89EBAB94-44A0-46A2-B712-30D997D04A6D}"/>
                <w:text/>
              </w:sdtPr>
              <w:sdtEndPr>
                <w:rPr>
                  <w:rFonts w:ascii="Times New Roman" w:hAnsi="Times New Roman" w:cs="Times New Roman"/>
                  <w:szCs w:val="21"/>
                </w:rPr>
              </w:sdtEndPr>
              <w:sdtContent>
                <w:tc>
                  <w:tcPr>
                    <w:tcW w:w="886" w:type="pct"/>
                    <w:vAlign w:val="center"/>
                  </w:tcPr>
                  <w:p>
                    <w:pPr>
                      <w:widowControl w:val="0"/>
                      <w:jc w:val="right"/>
                      <w:rPr>
                        <w:rFonts w:ascii="Times New Roman" w:hAnsi="Times New Roman" w:cs="Times New Roman"/>
                        <w:szCs w:val="21"/>
                      </w:rPr>
                    </w:pPr>
                    <w:r>
                      <w:rPr>
                        <w:rFonts w:ascii="Times New Roman" w:hAnsi="Times New Roman" w:cs="Times New Roman"/>
                        <w:szCs w:val="21"/>
                      </w:rPr>
                      <w:t>230,920.52</w:t>
                    </w:r>
                  </w:p>
                </w:tc>
              </w:sdtContent>
            </w:sdt>
            <w:sdt>
              <w:sdtPr>
                <w:rPr>
                  <w:rFonts w:ascii="Times New Roman" w:hAnsi="Times New Roman" w:cs="Times New Roman"/>
                  <w:szCs w:val="21"/>
                </w:rPr>
                <w:alias w:val="少数股东权益影响额的说明（非经常性损益项目）"/>
                <w:tag w:val="_GBC_f99579c660ec489493ceb1b242ea1220"/>
                <w:id w:val="865722216"/>
                <w:lock w:val="sdtLocked"/>
                <w:showingPlcHdr/>
                <w15:dataBinding w:prefixMappings="xmlns:clcid-pte='clcid-pte'" w:xpath="/*/clcid-pte:FeiJingChangXingSunYiXiangMuZhongShaoShuGuDongQuanYiYingXiangEShuoMing[not(@periodRef)]" w:storeItemID="{89EBAB94-44A0-46A2-B712-30D997D04A6D}"/>
                <w:text/>
              </w:sdtPr>
              <w:sdtEndPr>
                <w:rPr>
                  <w:rFonts w:ascii="Times New Roman" w:hAnsi="Times New Roman" w:cs="Times New Roman"/>
                  <w:szCs w:val="21"/>
                </w:rPr>
              </w:sdtEndPr>
              <w:sdtContent>
                <w:tc>
                  <w:tcPr>
                    <w:tcW w:w="627" w:type="pct"/>
                    <w:vAlign w:val="center"/>
                  </w:tcPr>
                  <w:p>
                    <w:pPr>
                      <w:widowControl w:val="0"/>
                      <w:jc w:val="right"/>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right"/>
                  <w:rPr>
                    <w:rFonts w:ascii="Times New Roman" w:hAnsi="Times New Roman" w:cs="Times New Roman"/>
                    <w:szCs w:val="21"/>
                  </w:rPr>
                </w:pPr>
                <w:r>
                  <w:rPr>
                    <w:rFonts w:ascii="Times New Roman" w:hAnsi="Times New Roman" w:cs="Times New Roman"/>
                    <w:szCs w:val="21"/>
                  </w:rPr>
                  <w:t>-73,146.31</w:t>
                </w:r>
              </w:p>
            </w:tc>
            <w:tc>
              <w:tcPr>
                <w:tcW w:w="867" w:type="pct"/>
                <w:vAlign w:val="center"/>
              </w:tcPr>
              <w:p>
                <w:pPr>
                  <w:widowControl w:val="0"/>
                  <w:jc w:val="right"/>
                  <w:rPr>
                    <w:rFonts w:ascii="Times New Roman" w:hAnsi="Times New Roman" w:cs="Times New Roman"/>
                    <w:szCs w:val="21"/>
                  </w:rPr>
                </w:pPr>
                <w:r>
                  <w:rPr>
                    <w:rFonts w:ascii="Times New Roman" w:hAnsi="Times New Roman" w:cs="Times New Roman"/>
                    <w:szCs w:val="21"/>
                  </w:rPr>
                  <w:t>1,538,713.89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cdd9c8f04b3e40cfa4a4a82686706b76"/>
                <w:id w:val="865722217"/>
                <w:lock w:val="sdtLocked"/>
              </w:sdtPr>
              <w:sdtEndPr>
                <w:rPr>
                  <w:rFonts w:ascii="Times New Roman" w:hAnsi="Times New Roman"/>
                </w:rPr>
              </w:sdtEndPr>
              <w:sdtContent>
                <w:tc>
                  <w:tcPr>
                    <w:tcW w:w="1759" w:type="pct"/>
                    <w:vAlign w:val="center"/>
                  </w:tcPr>
                  <w:p>
                    <w:pPr>
                      <w:pStyle w:val="55"/>
                      <w:ind w:firstLine="0" w:firstLineChars="0"/>
                      <w:jc w:val="center"/>
                      <w:rPr>
                        <w:rFonts w:ascii="Times New Roman" w:hAnsi="Times New Roman"/>
                        <w:szCs w:val="21"/>
                      </w:rPr>
                    </w:pPr>
                    <w:r>
                      <w:rPr>
                        <w:rFonts w:ascii="Times New Roman"/>
                        <w:szCs w:val="21"/>
                      </w:rPr>
                      <w:t>合计</w:t>
                    </w:r>
                  </w:p>
                </w:tc>
              </w:sdtContent>
            </w:sdt>
            <w:sdt>
              <w:sdtPr>
                <w:rPr>
                  <w:rFonts w:ascii="Times New Roman" w:hAnsi="Times New Roman" w:cs="Times New Roman"/>
                  <w:szCs w:val="21"/>
                </w:rPr>
                <w:alias w:val="扣除的非经常性损益合计"/>
                <w:tag w:val="_GBC_27f939c97c8647838fab8288ea8c5220"/>
                <w:id w:val="865722218"/>
                <w:lock w:val="sdtLocked"/>
                <w15:dataBinding w:prefixMappings="xmlns:clcid-pte='clcid-pte'" w:xpath="/*/clcid-pte:KouChuDeFeiJingChangXingSunYiHeJi[not(@periodRef)]" w:storeItemID="{89EBAB94-44A0-46A2-B712-30D997D04A6D}"/>
                <w:text/>
              </w:sdtPr>
              <w:sdtEndPr>
                <w:rPr>
                  <w:rFonts w:ascii="Times New Roman" w:hAnsi="Times New Roman" w:cs="Times New Roman"/>
                  <w:szCs w:val="21"/>
                </w:rPr>
              </w:sdtEndPr>
              <w:sdtContent>
                <w:tc>
                  <w:tcPr>
                    <w:tcW w:w="886" w:type="pct"/>
                  </w:tcPr>
                  <w:p>
                    <w:pPr>
                      <w:widowControl w:val="0"/>
                      <w:jc w:val="right"/>
                      <w:rPr>
                        <w:rFonts w:ascii="Times New Roman" w:hAnsi="Times New Roman" w:cs="Times New Roman"/>
                        <w:szCs w:val="21"/>
                      </w:rPr>
                    </w:pPr>
                    <w:r>
                      <w:rPr>
                        <w:rFonts w:ascii="Times New Roman" w:hAnsi="Times New Roman" w:cs="Times New Roman"/>
                        <w:szCs w:val="21"/>
                      </w:rPr>
                      <w:t>6,958,414.27</w:t>
                    </w:r>
                  </w:p>
                </w:tc>
              </w:sdtContent>
            </w:sdt>
            <w:sdt>
              <w:sdtPr>
                <w:rPr>
                  <w:rFonts w:ascii="Times New Roman" w:hAnsi="Times New Roman" w:cs="Times New Roman"/>
                  <w:szCs w:val="21"/>
                </w:rPr>
                <w:alias w:val="扣除的非经常性损益合计说明"/>
                <w:tag w:val="_GBC_7d667fbe166547a9b35986a48bb69a40"/>
                <w:id w:val="865722219"/>
                <w:lock w:val="sdtLocked"/>
                <w:showingPlcHdr/>
                <w15:dataBinding w:prefixMappings="xmlns:clcid-pte='clcid-pte'" w:xpath="/*/clcid-pte:KouChuDeFeiJingChangXingSunYiHeJiShuoMing[not(@periodRef)]" w:storeItemID="{89EBAB94-44A0-46A2-B712-30D997D04A6D}"/>
                <w:text/>
              </w:sdtPr>
              <w:sdtEndPr>
                <w:rPr>
                  <w:rFonts w:ascii="Times New Roman" w:hAnsi="Times New Roman" w:cs="Times New Roman"/>
                  <w:szCs w:val="21"/>
                </w:rPr>
              </w:sdtEndPr>
              <w:sdtContent>
                <w:tc>
                  <w:tcPr>
                    <w:tcW w:w="627" w:type="pct"/>
                  </w:tcPr>
                  <w:p>
                    <w:pPr>
                      <w:widowControl w:val="0"/>
                      <w:jc w:val="both"/>
                      <w:rPr>
                        <w:rFonts w:ascii="Times New Roman" w:hAnsi="Times New Roman" w:cs="Times New Roman"/>
                        <w:szCs w:val="21"/>
                      </w:rPr>
                    </w:pPr>
                    <w:r>
                      <w:rPr>
                        <w:rFonts w:ascii="Times New Roman" w:hAnsi="Times New Roman" w:cs="Times New Roman"/>
                        <w:szCs w:val="21"/>
                      </w:rPr>
                      <w:t>　</w:t>
                    </w:r>
                  </w:p>
                </w:tc>
              </w:sdtContent>
            </w:sdt>
            <w:tc>
              <w:tcPr>
                <w:tcW w:w="861" w:type="pct"/>
                <w:vAlign w:val="center"/>
              </w:tcPr>
              <w:p>
                <w:pPr>
                  <w:widowControl w:val="0"/>
                  <w:jc w:val="both"/>
                  <w:rPr>
                    <w:rFonts w:ascii="Times New Roman" w:hAnsi="Times New Roman" w:cs="Times New Roman"/>
                    <w:szCs w:val="21"/>
                  </w:rPr>
                </w:pPr>
                <w:r>
                  <w:rPr>
                    <w:rFonts w:ascii="Times New Roman" w:hAnsi="Times New Roman" w:cs="Times New Roman"/>
                    <w:szCs w:val="21"/>
                  </w:rPr>
                  <w:t>57,104,231.49</w:t>
                </w:r>
              </w:p>
            </w:tc>
            <w:tc>
              <w:tcPr>
                <w:tcW w:w="867" w:type="pct"/>
                <w:vAlign w:val="center"/>
              </w:tcPr>
              <w:p>
                <w:pPr>
                  <w:widowControl w:val="0"/>
                  <w:jc w:val="both"/>
                  <w:rPr>
                    <w:rFonts w:ascii="Times New Roman" w:hAnsi="Times New Roman" w:cs="Times New Roman"/>
                    <w:szCs w:val="21"/>
                  </w:rPr>
                </w:pPr>
                <w:r>
                  <w:rPr>
                    <w:rFonts w:ascii="Times New Roman" w:hAnsi="Times New Roman" w:cs="Times New Roman"/>
                    <w:szCs w:val="21"/>
                  </w:rPr>
                  <w:t>65,694,666.02</w:t>
                </w:r>
              </w:p>
            </w:tc>
          </w:tr>
        </w:tbl>
        <w:p/>
      </w:sdtContent>
    </w:sdt>
    <w:sdt>
      <w:sdtPr>
        <w:rPr>
          <w:rFonts w:hAnsi="宋体" w:cs="宋体"/>
          <w:kern w:val="0"/>
          <w:szCs w:val="21"/>
        </w:rPr>
        <w:alias w:val="模块:将《公开发行证券的公司信息披露解释性公告第1号——非经常性损..."/>
        <w:tag w:val="_SEC_0910543556014fc1abc2864ad29c9f55"/>
        <w:id w:val="865722222"/>
        <w:lock w:val="sdtLocked"/>
        <w:placeholder>
          <w:docPart w:val="GBC22222222222222222222222222222"/>
        </w:placeholder>
      </w:sdtPr>
      <w:sdtEndPr>
        <w:rPr>
          <w:rFonts w:hAnsi="宋体" w:cs="宋体"/>
          <w:kern w:val="0"/>
          <w:szCs w:val="24"/>
        </w:rPr>
      </w:sdtEndPr>
      <w:sdtContent>
        <w:p>
          <w:pPr>
            <w:pStyle w:val="20"/>
            <w:adjustRightInd w:val="0"/>
            <w:snapToGrid w:val="0"/>
            <w:spacing w:line="200" w:lineRule="atLeast"/>
            <w:rPr>
              <w:rFonts w:hAnsi="宋体"/>
              <w:kern w:val="0"/>
              <w:szCs w:val="21"/>
            </w:rPr>
          </w:pPr>
          <w:bookmarkStart w:id="21" w:name="_Hlk89096484"/>
          <w:bookmarkStart w:id="22" w:name="_Hlk41379873"/>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a4930715ddcb47d484e7fbd516fb3ac1"/>
            <w:id w:val="865722221"/>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1"/>
    <w:bookmarkEnd w:id="22"/>
    <w:sdt>
      <w:sdtPr>
        <w:rPr>
          <w:rFonts w:hint="eastAsia" w:ascii="宋体" w:hAnsi="宋体" w:cs="宋体"/>
          <w:b w:val="0"/>
          <w:bCs w:val="0"/>
          <w:kern w:val="0"/>
          <w:szCs w:val="24"/>
        </w:rPr>
        <w:alias w:val="模块:采用公允价值计量的项目"/>
        <w:tag w:val="_SEC_4b13c06b07154e45b14204b22dd943ad"/>
        <w:id w:val="865722234"/>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1"/>
              <w:numId w:val="4"/>
            </w:numPr>
            <w:ind w:left="496" w:hanging="495" w:hangingChars="236"/>
          </w:pPr>
          <w:r>
            <w:rPr>
              <w:rFonts w:hint="eastAsia"/>
            </w:rPr>
            <w:t>采用公允价值计量的项目</w:t>
          </w:r>
        </w:p>
        <w:sdt>
          <w:sdtPr>
            <w:alias w:val="是否适用：采用公允价值计量的项目[双击切换]"/>
            <w:tag w:val="_GBC_e89d76d7486246e0ac1d3db15e4df008"/>
            <w:id w:val="86572222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rFonts w:asciiTheme="minorEastAsia" w:hAnsiTheme="minorEastAsia" w:eastAsiaTheme="minorEastAsia"/>
              <w:szCs w:val="21"/>
            </w:rPr>
          </w:pPr>
          <w:r>
            <w:rPr>
              <w:rFonts w:hint="eastAsia" w:asciiTheme="minorEastAsia" w:hAnsiTheme="minorEastAsia" w:eastAsiaTheme="minorEastAsia"/>
              <w:szCs w:val="21"/>
            </w:rPr>
            <w:t>单位：</w:t>
          </w:r>
          <w:sdt>
            <w:sdtPr>
              <w:rPr>
                <w:rFonts w:hint="eastAsia" w:asciiTheme="minorEastAsia" w:hAnsiTheme="minorEastAsia" w:eastAsiaTheme="minorEastAsia"/>
                <w:szCs w:val="21"/>
              </w:rPr>
              <w:alias w:val="单位：采用公允价值计量的项目"/>
              <w:tag w:val="_GBC_3db790decc6f48c79df9bb825ea34c80"/>
              <w:id w:val="8657222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元</w:t>
              </w:r>
            </w:sdtContent>
          </w:sdt>
          <w:r>
            <w:rPr>
              <w:rFonts w:hint="eastAsia" w:asciiTheme="minorEastAsia" w:hAnsiTheme="minorEastAsia" w:eastAsiaTheme="minorEastAsia"/>
              <w:szCs w:val="21"/>
            </w:rPr>
            <w:t xml:space="preserve">  币种：</w:t>
          </w:r>
          <w:sdt>
            <w:sdtPr>
              <w:rPr>
                <w:rFonts w:hint="eastAsia" w:asciiTheme="minorEastAsia" w:hAnsiTheme="minorEastAsia" w:eastAsiaTheme="minorEastAsia"/>
                <w:szCs w:val="21"/>
              </w:rPr>
              <w:alias w:val="币种：采用公允价值计量的项目"/>
              <w:tag w:val="_GBC_6f16a5f9084343f1b7cf46e770d31080"/>
              <w:id w:val="8657222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699"/>
            <w:gridCol w:w="1708"/>
            <w:gridCol w:w="1693"/>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7afb41bb6f11412490d2cf97e6a8af4a"/>
                <w:id w:val="31784884"/>
                <w:lock w:val="sdtLocked"/>
              </w:sdtPr>
              <w:sdtContent>
                <w:tc>
                  <w:tcPr>
                    <w:tcW w:w="1951" w:type="dxa"/>
                    <w:vAlign w:val="center"/>
                  </w:tcPr>
                  <w:p>
                    <w:pPr>
                      <w:widowControl w:val="0"/>
                      <w:jc w:val="center"/>
                      <w:rPr>
                        <w:rFonts w:eastAsiaTheme="minorEastAsia"/>
                        <w:szCs w:val="21"/>
                      </w:rPr>
                    </w:pPr>
                    <w:r>
                      <w:rPr>
                        <w:rFonts w:hAnsiTheme="minorEastAsia" w:eastAsiaTheme="minorEastAsia"/>
                        <w:szCs w:val="21"/>
                      </w:rPr>
                      <w:t>项目名称</w:t>
                    </w:r>
                  </w:p>
                </w:tc>
              </w:sdtContent>
            </w:sdt>
            <w:sdt>
              <w:sdtPr>
                <w:tag w:val="_PLD_da0df6228e264965b54ebbf01610457e"/>
                <w:id w:val="31784885"/>
                <w:lock w:val="sdtLocked"/>
              </w:sdtPr>
              <w:sdtContent>
                <w:tc>
                  <w:tcPr>
                    <w:tcW w:w="1699" w:type="dxa"/>
                    <w:vAlign w:val="center"/>
                  </w:tcPr>
                  <w:p>
                    <w:pPr>
                      <w:widowControl w:val="0"/>
                      <w:jc w:val="center"/>
                      <w:rPr>
                        <w:rFonts w:eastAsiaTheme="minorEastAsia"/>
                        <w:szCs w:val="21"/>
                      </w:rPr>
                    </w:pPr>
                    <w:r>
                      <w:rPr>
                        <w:rFonts w:hAnsiTheme="minorEastAsia" w:eastAsiaTheme="minorEastAsia"/>
                        <w:szCs w:val="21"/>
                      </w:rPr>
                      <w:t>期初余额</w:t>
                    </w:r>
                  </w:p>
                </w:tc>
              </w:sdtContent>
            </w:sdt>
            <w:sdt>
              <w:sdtPr>
                <w:tag w:val="_PLD_32f24a9a3da24799945b9be672e1778c"/>
                <w:id w:val="31784886"/>
                <w:lock w:val="sdtLocked"/>
              </w:sdtPr>
              <w:sdtContent>
                <w:tc>
                  <w:tcPr>
                    <w:tcW w:w="1708" w:type="dxa"/>
                    <w:vAlign w:val="center"/>
                  </w:tcPr>
                  <w:p>
                    <w:pPr>
                      <w:widowControl w:val="0"/>
                      <w:jc w:val="center"/>
                      <w:rPr>
                        <w:rFonts w:eastAsiaTheme="minorEastAsia"/>
                        <w:szCs w:val="21"/>
                      </w:rPr>
                    </w:pPr>
                    <w:r>
                      <w:rPr>
                        <w:rFonts w:hAnsiTheme="minorEastAsia" w:eastAsiaTheme="minorEastAsia"/>
                        <w:szCs w:val="21"/>
                      </w:rPr>
                      <w:t>期末余额</w:t>
                    </w:r>
                  </w:p>
                </w:tc>
              </w:sdtContent>
            </w:sdt>
            <w:sdt>
              <w:sdtPr>
                <w:tag w:val="_PLD_e96c7ea54e9845adafdee1a3e4d1777a"/>
                <w:id w:val="31784887"/>
                <w:lock w:val="sdtLocked"/>
              </w:sdtPr>
              <w:sdtContent>
                <w:tc>
                  <w:tcPr>
                    <w:tcW w:w="1693" w:type="dxa"/>
                    <w:vAlign w:val="center"/>
                  </w:tcPr>
                  <w:p>
                    <w:pPr>
                      <w:widowControl w:val="0"/>
                      <w:jc w:val="center"/>
                      <w:rPr>
                        <w:rFonts w:eastAsiaTheme="minorEastAsia"/>
                        <w:szCs w:val="21"/>
                      </w:rPr>
                    </w:pPr>
                    <w:r>
                      <w:rPr>
                        <w:rFonts w:hAnsiTheme="minorEastAsia" w:eastAsiaTheme="minorEastAsia"/>
                        <w:szCs w:val="21"/>
                      </w:rPr>
                      <w:t>当期变动</w:t>
                    </w:r>
                  </w:p>
                </w:tc>
              </w:sdtContent>
            </w:sdt>
            <w:sdt>
              <w:sdtPr>
                <w:tag w:val="_PLD_1472a884c9f543dba7a82865e73f1536"/>
                <w:id w:val="31784888"/>
                <w:lock w:val="sdtLocked"/>
              </w:sdtPr>
              <w:sdtContent>
                <w:tc>
                  <w:tcPr>
                    <w:tcW w:w="1997" w:type="dxa"/>
                    <w:vAlign w:val="center"/>
                  </w:tcPr>
                  <w:p>
                    <w:pPr>
                      <w:widowControl w:val="0"/>
                      <w:jc w:val="center"/>
                      <w:rPr>
                        <w:rFonts w:eastAsiaTheme="minorEastAsia"/>
                        <w:szCs w:val="21"/>
                      </w:rPr>
                    </w:pPr>
                    <w:r>
                      <w:rPr>
                        <w:rFonts w:hAnsiTheme="minorEastAsia" w:eastAsiaTheme="minorEastAsia"/>
                        <w:szCs w:val="21"/>
                      </w:rPr>
                      <w:t>对当期利润的影响金额</w:t>
                    </w:r>
                  </w:p>
                </w:tc>
              </w:sdtContent>
            </w:sdt>
          </w:tr>
          <w:sdt>
            <w:sdtPr>
              <w:rPr>
                <w:rFonts w:asciiTheme="minorHAnsi" w:hAnsiTheme="minorHAnsi" w:eastAsiaTheme="minorEastAsia" w:cstheme="minorBidi"/>
                <w:kern w:val="2"/>
                <w:szCs w:val="21"/>
              </w:rPr>
              <w:alias w:val="采用公允价值计量的项目情况明细"/>
              <w:tag w:val="_TUP_99268db9eb064c0d97aa8abe10bf05f1"/>
              <w:id w:val="31784889"/>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51" w:type="dxa"/>
                  </w:tcPr>
                  <w:p>
                    <w:pPr>
                      <w:widowControl w:val="0"/>
                      <w:jc w:val="both"/>
                      <w:rPr>
                        <w:rFonts w:eastAsiaTheme="minorEastAsia"/>
                        <w:szCs w:val="21"/>
                      </w:rPr>
                    </w:pPr>
                    <w:r>
                      <w:t>交易性金融资产</w:t>
                    </w:r>
                  </w:p>
                </w:tc>
                <w:tc>
                  <w:tcPr>
                    <w:tcW w:w="1699" w:type="dxa"/>
                    <w:vAlign w:val="center"/>
                  </w:tcPr>
                  <w:p>
                    <w:pPr>
                      <w:widowControl w:val="0"/>
                      <w:jc w:val="right"/>
                      <w:rPr>
                        <w:rFonts w:ascii="Times New Roman" w:hAnsi="Times New Roman" w:cs="Times New Roman" w:eastAsiaTheme="minorEastAsia"/>
                        <w:szCs w:val="21"/>
                      </w:rPr>
                    </w:pPr>
                    <w:r>
                      <w:rPr>
                        <w:rFonts w:ascii="Times New Roman" w:hAnsi="Times New Roman" w:cs="Times New Roman"/>
                      </w:rPr>
                      <w:t>298,973,030.20</w:t>
                    </w:r>
                  </w:p>
                </w:tc>
                <w:tc>
                  <w:tcPr>
                    <w:tcW w:w="1708" w:type="dxa"/>
                    <w:vAlign w:val="center"/>
                  </w:tcPr>
                  <w:p>
                    <w:pPr>
                      <w:widowControl w:val="0"/>
                      <w:jc w:val="right"/>
                      <w:rPr>
                        <w:rFonts w:ascii="Times New Roman" w:hAnsi="Times New Roman" w:cs="Times New Roman" w:eastAsiaTheme="minorEastAsia"/>
                        <w:szCs w:val="21"/>
                      </w:rPr>
                    </w:pPr>
                    <w:r>
                      <w:rPr>
                        <w:rFonts w:ascii="Times New Roman" w:hAnsi="Times New Roman" w:cs="Times New Roman"/>
                      </w:rPr>
                      <w:t>240,812,391.20</w:t>
                    </w:r>
                  </w:p>
                </w:tc>
                <w:tc>
                  <w:tcPr>
                    <w:tcW w:w="1693" w:type="dxa"/>
                    <w:vAlign w:val="center"/>
                  </w:tcPr>
                  <w:p>
                    <w:pPr>
                      <w:widowControl w:val="0"/>
                      <w:jc w:val="right"/>
                      <w:rPr>
                        <w:rFonts w:ascii="Times New Roman" w:hAnsi="Times New Roman" w:cs="Times New Roman" w:eastAsiaTheme="minorEastAsia"/>
                        <w:szCs w:val="21"/>
                      </w:rPr>
                    </w:pPr>
                    <w:r>
                      <w:rPr>
                        <w:rFonts w:ascii="Times New Roman" w:hAnsi="Times New Roman" w:cs="Times New Roman"/>
                      </w:rPr>
                      <w:t>-58,160,639.00</w:t>
                    </w:r>
                  </w:p>
                </w:tc>
                <w:tc>
                  <w:tcPr>
                    <w:tcW w:w="1997" w:type="dxa"/>
                    <w:vAlign w:val="center"/>
                  </w:tcPr>
                  <w:p>
                    <w:pPr>
                      <w:widowControl w:val="0"/>
                      <w:jc w:val="right"/>
                      <w:rPr>
                        <w:rFonts w:ascii="Times New Roman" w:hAnsi="Times New Roman" w:cs="Times New Roman" w:eastAsiaTheme="minorEastAsia"/>
                        <w:szCs w:val="21"/>
                      </w:rPr>
                    </w:pPr>
                    <w:r>
                      <w:rPr>
                        <w:rFonts w:ascii="Times New Roman" w:hAnsi="Times New Roman" w:cs="Times New Roman"/>
                      </w:rPr>
                      <w:t>-21,022,965.18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sdt>
              <w:sdtPr>
                <w:tag w:val="_PLD_a4d05bd3d4b34885acfe6e5bc6d34fc1"/>
                <w:id w:val="31784890"/>
                <w:lock w:val="sdtLocked"/>
              </w:sdtPr>
              <w:sdtContent>
                <w:tc>
                  <w:tcPr>
                    <w:tcW w:w="1951" w:type="dxa"/>
                    <w:tcBorders>
                      <w:bottom w:val="single" w:color="auto" w:sz="4" w:space="0"/>
                    </w:tcBorders>
                    <w:vAlign w:val="center"/>
                  </w:tcPr>
                  <w:p>
                    <w:pPr>
                      <w:widowControl w:val="0"/>
                      <w:jc w:val="center"/>
                      <w:rPr>
                        <w:rFonts w:eastAsiaTheme="minorEastAsia"/>
                        <w:szCs w:val="21"/>
                      </w:rPr>
                    </w:pPr>
                    <w:r>
                      <w:rPr>
                        <w:rFonts w:hAnsiTheme="minorEastAsia" w:eastAsiaTheme="minorEastAsia"/>
                        <w:szCs w:val="21"/>
                      </w:rPr>
                      <w:t>合计</w:t>
                    </w:r>
                  </w:p>
                </w:tc>
              </w:sdtContent>
            </w:sdt>
            <w:tc>
              <w:tcPr>
                <w:tcW w:w="1699" w:type="dxa"/>
                <w:vAlign w:val="center"/>
              </w:tcPr>
              <w:p>
                <w:pPr>
                  <w:widowControl w:val="0"/>
                  <w:jc w:val="right"/>
                  <w:rPr>
                    <w:rFonts w:ascii="Times New Roman" w:hAnsi="Times New Roman" w:cs="Times New Roman"/>
                    <w:sz w:val="24"/>
                  </w:rPr>
                </w:pPr>
                <w:r>
                  <w:rPr>
                    <w:rFonts w:ascii="Times New Roman" w:hAnsi="Times New Roman" w:cs="Times New Roman"/>
                  </w:rPr>
                  <w:t>298,973,030.20</w:t>
                </w:r>
              </w:p>
            </w:tc>
            <w:tc>
              <w:tcPr>
                <w:tcW w:w="1708" w:type="dxa"/>
                <w:vAlign w:val="center"/>
              </w:tcPr>
              <w:p>
                <w:pPr>
                  <w:widowControl w:val="0"/>
                  <w:jc w:val="right"/>
                  <w:rPr>
                    <w:rFonts w:ascii="Times New Roman" w:hAnsi="Times New Roman" w:cs="Times New Roman"/>
                    <w:sz w:val="24"/>
                  </w:rPr>
                </w:pPr>
                <w:r>
                  <w:rPr>
                    <w:rFonts w:ascii="Times New Roman" w:hAnsi="Times New Roman" w:cs="Times New Roman"/>
                  </w:rPr>
                  <w:t>240,812,391.20</w:t>
                </w:r>
              </w:p>
            </w:tc>
            <w:tc>
              <w:tcPr>
                <w:tcW w:w="1693" w:type="dxa"/>
                <w:vAlign w:val="center"/>
              </w:tcPr>
              <w:p>
                <w:pPr>
                  <w:widowControl w:val="0"/>
                  <w:jc w:val="right"/>
                  <w:rPr>
                    <w:rFonts w:ascii="Times New Roman" w:hAnsi="Times New Roman" w:cs="Times New Roman"/>
                    <w:sz w:val="24"/>
                  </w:rPr>
                </w:pPr>
                <w:r>
                  <w:rPr>
                    <w:rFonts w:ascii="Times New Roman" w:hAnsi="Times New Roman" w:cs="Times New Roman"/>
                  </w:rPr>
                  <w:t>-58,160,639.00</w:t>
                </w:r>
              </w:p>
            </w:tc>
            <w:tc>
              <w:tcPr>
                <w:tcW w:w="1997" w:type="dxa"/>
                <w:vAlign w:val="center"/>
              </w:tcPr>
              <w:p>
                <w:pPr>
                  <w:widowControl w:val="0"/>
                  <w:jc w:val="right"/>
                  <w:rPr>
                    <w:rFonts w:ascii="Times New Roman" w:hAnsi="Times New Roman" w:cs="Times New Roman"/>
                    <w:sz w:val="24"/>
                  </w:rPr>
                </w:pPr>
                <w:r>
                  <w:rPr>
                    <w:rFonts w:ascii="Times New Roman" w:hAnsi="Times New Roman" w:cs="Times New Roman"/>
                  </w:rPr>
                  <w:t>-21,022,965.18</w:t>
                </w:r>
              </w:p>
            </w:tc>
          </w:tr>
        </w:tbl>
        <w:p/>
        <w:p/>
      </w:sdtContent>
    </w:sdt>
    <w:sdt>
      <w:sdtPr>
        <w:rPr>
          <w:rFonts w:hint="eastAsia" w:ascii="宋体" w:hAnsi="宋体" w:cs="宋体"/>
          <w:b w:val="0"/>
          <w:bCs w:val="0"/>
          <w:kern w:val="0"/>
          <w:szCs w:val="24"/>
        </w:rPr>
        <w:alias w:val="模块:其他财务和业务数据"/>
        <w:tag w:val="_SEC_2b90c267769d4c769805494ec1d46591"/>
        <w:id w:val="865722236"/>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1"/>
              <w:numId w:val="4"/>
            </w:numPr>
            <w:ind w:left="496" w:hanging="495" w:hangingChars="236"/>
          </w:pPr>
          <w:r>
            <w:rPr>
              <w:rFonts w:hint="eastAsia"/>
            </w:rPr>
            <w:t>其他</w:t>
          </w:r>
        </w:p>
        <w:sdt>
          <w:sdtPr>
            <w:alias w:val="是否适用：公司简介和主要财务指标其他说明[双击切换]"/>
            <w:tag w:val="_GBC_ac20c9ad49eb470dba71a763f930572f"/>
            <w:id w:val="86572223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2"/>
        <w:numPr>
          <w:ilvl w:val="0"/>
          <w:numId w:val="2"/>
        </w:numPr>
        <w:ind w:left="498" w:hanging="498" w:hangingChars="177"/>
      </w:pPr>
      <w:bookmarkStart w:id="23" w:name="_Toc89790250"/>
      <w:r>
        <w:rPr>
          <w:rFonts w:hint="eastAsia"/>
        </w:rPr>
        <w:t>管理层讨论与分析</w:t>
      </w:r>
      <w:bookmarkEnd w:id="23"/>
    </w:p>
    <w:p/>
    <w:sdt>
      <w:sdtPr>
        <w:rPr>
          <w:rFonts w:hint="eastAsia" w:ascii="宋体" w:hAnsi="宋体" w:cs="宋体"/>
          <w:b w:val="0"/>
          <w:bCs w:val="0"/>
          <w:kern w:val="0"/>
          <w:szCs w:val="24"/>
        </w:rPr>
        <w:alias w:val="模块:管理层讨论与分析"/>
        <w:tag w:val="_SEC_465bd2646eb04eab8e1c01ba688faf29"/>
        <w:id w:val="865722238"/>
        <w:lock w:val="sdtLocked"/>
        <w:placeholder>
          <w:docPart w:val="GBC22222222222222222222222222222"/>
        </w:placeholder>
      </w:sdtPr>
      <w:sdtEndPr>
        <w:rPr>
          <w:rFonts w:hint="eastAsia" w:cs="宋体" w:asciiTheme="minorEastAsia" w:hAnsiTheme="minorEastAsia" w:eastAsiaTheme="minorEastAsia"/>
          <w:b w:val="0"/>
          <w:bCs w:val="0"/>
          <w:kern w:val="0"/>
          <w:szCs w:val="24"/>
        </w:rPr>
      </w:sdtEndPr>
      <w:sdtContent>
        <w:p>
          <w:pPr>
            <w:pStyle w:val="3"/>
            <w:numPr>
              <w:ilvl w:val="0"/>
              <w:numId w:val="7"/>
            </w:numPr>
            <w:ind w:left="368" w:hanging="367" w:hangingChars="175"/>
          </w:pPr>
          <w:r>
            <w:rPr>
              <w:rFonts w:hint="eastAsia"/>
            </w:rPr>
            <w:t>经营情况</w:t>
          </w:r>
          <w:r>
            <w:t>讨论与分析</w:t>
          </w:r>
        </w:p>
        <w:sdt>
          <w:sdtPr>
            <w:rPr>
              <w:rFonts w:hint="eastAsia" w:asciiTheme="minorEastAsia" w:hAnsiTheme="minorEastAsia" w:eastAsiaTheme="minorEastAsia"/>
            </w:rPr>
            <w:alias w:val="管理层讨论与分析"/>
            <w:tag w:val="_GBC_75862f3cb18e486fb20eb44dbcc462a9"/>
            <w:id w:val="865722237"/>
            <w:lock w:val="sdtLocked"/>
            <w:placeholder>
              <w:docPart w:val="GBC22222222222222222222222222222"/>
            </w:placeholder>
          </w:sdtPr>
          <w:sdtEndPr>
            <w:rPr>
              <w:rFonts w:hint="default" w:ascii="Times New Roman" w:hAnsi="Times New Roman" w:cs="Times New Roman" w:eastAsiaTheme="minorEastAsia"/>
              <w:szCs w:val="21"/>
            </w:rPr>
          </w:sdtEndPr>
          <w:sdtContent>
            <w:p>
              <w:pPr>
                <w:spacing w:line="400" w:lineRule="exact"/>
                <w:ind w:firstLine="424" w:firstLineChars="202"/>
                <w:rPr>
                  <w:rFonts w:ascii="Times New Roman" w:hAnsi="Times New Roman" w:cs="Times New Roman" w:eastAsiaTheme="minorEastAsia"/>
                  <w:szCs w:val="21"/>
                </w:rPr>
              </w:pPr>
              <w:r>
                <w:rPr>
                  <w:rFonts w:ascii="Times New Roman" w:hAnsi="Times New Roman" w:cs="Times New Roman" w:eastAsiaTheme="minorEastAsia"/>
                  <w:szCs w:val="21"/>
                </w:rPr>
                <w:t>报告期内，公司围</w:t>
              </w:r>
              <w:r>
                <w:rPr>
                  <w:rFonts w:cs="Times New Roman" w:asciiTheme="minorEastAsia" w:hAnsiTheme="minorEastAsia" w:eastAsiaTheme="minorEastAsia"/>
                  <w:szCs w:val="21"/>
                </w:rPr>
                <w:t>绕 “效益优先，兼顾规模”的指导</w:t>
              </w:r>
              <w:r>
                <w:rPr>
                  <w:rFonts w:ascii="Times New Roman" w:hAnsi="Times New Roman" w:cs="Times New Roman" w:eastAsiaTheme="minorEastAsia"/>
                  <w:szCs w:val="21"/>
                </w:rPr>
                <w:t>思想，全面贯彻</w:t>
              </w:r>
              <w:r>
                <w:rPr>
                  <w:rFonts w:cs="Times New Roman"/>
                  <w:szCs w:val="21"/>
                </w:rPr>
                <w:t xml:space="preserve"> “外拓市场、内控成本”的经营方针</w:t>
              </w:r>
              <w:r>
                <w:rPr>
                  <w:rFonts w:ascii="Times New Roman" w:hAnsi="Times New Roman" w:cs="Times New Roman" w:eastAsiaTheme="minorEastAsia"/>
                  <w:szCs w:val="21"/>
                </w:rPr>
                <w:t>。实现营业收入7.18亿元，同比增长4.68%；归属于上市公司股东的净利润</w:t>
              </w:r>
              <w:r>
                <w:rPr>
                  <w:rFonts w:hint="eastAsia" w:ascii="Times New Roman" w:hAnsi="Times New Roman" w:cs="Times New Roman" w:eastAsiaTheme="minorEastAsia"/>
                  <w:szCs w:val="21"/>
                </w:rPr>
                <w:t>865.83</w:t>
              </w:r>
              <w:r>
                <w:rPr>
                  <w:rFonts w:ascii="Times New Roman" w:hAnsi="Times New Roman" w:cs="Times New Roman" w:eastAsiaTheme="minorEastAsia"/>
                  <w:szCs w:val="21"/>
                </w:rPr>
                <w:t>万元，同比下降85.07%，主要是所持有的交易性金融资产公允价值下跌所致；实现</w:t>
              </w:r>
              <w:r>
                <w:rPr>
                  <w:rFonts w:ascii="Times New Roman" w:cs="Times New Roman"/>
                  <w:szCs w:val="21"/>
                </w:rPr>
                <w:t>归属于上市公司股东的扣除非经常性损益的净利润</w:t>
              </w:r>
              <w:r>
                <w:rPr>
                  <w:rFonts w:hint="eastAsia" w:ascii="Times New Roman" w:hAnsi="Times New Roman" w:cs="Times New Roman" w:eastAsiaTheme="minorEastAsia"/>
                  <w:szCs w:val="21"/>
                </w:rPr>
                <w:t>169.98</w:t>
              </w:r>
              <w:r>
                <w:rPr>
                  <w:rFonts w:ascii="Times New Roman" w:hAnsi="Times New Roman" w:cs="Times New Roman" w:eastAsiaTheme="minorEastAsia"/>
                  <w:szCs w:val="21"/>
                </w:rPr>
                <w:t>万元，扣非净利润连续两年盈利。</w:t>
              </w:r>
            </w:p>
          </w:sdtContent>
        </w:sdt>
        <w:p>
          <w:pPr>
            <w:rPr>
              <w:rFonts w:asciiTheme="minorEastAsia" w:hAnsiTheme="minorEastAsia" w:eastAsiaTheme="minorEastAsia"/>
            </w:rPr>
          </w:pPr>
        </w:p>
      </w:sdtContent>
    </w:sdt>
    <w:sdt>
      <w:sdtPr>
        <w:rPr>
          <w:rFonts w:ascii="宋体" w:hAnsi="宋体" w:cs="宋体"/>
          <w:b w:val="0"/>
          <w:bCs w:val="0"/>
          <w:kern w:val="0"/>
          <w:szCs w:val="24"/>
        </w:rPr>
        <w:alias w:val="模块:报告期内公司所处行业情况"/>
        <w:tag w:val="_SEC_9c97aafe2aaf4296a625865b403a487b"/>
        <w:id w:val="86572224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7"/>
            </w:numPr>
            <w:ind w:left="368" w:hanging="367" w:hangingChars="175"/>
          </w:pPr>
          <w:r>
            <w:t>报告期内公司所处行业情况</w:t>
          </w:r>
        </w:p>
        <w:sdt>
          <w:sdtPr>
            <w:rPr>
              <w:rFonts w:hint="eastAsia"/>
            </w:rPr>
            <w:alias w:val="报告期内公司所处行业情况 "/>
            <w:tag w:val="_GBC_62343dd2540e4e58bef438888246bd32"/>
            <w:id w:val="865722239"/>
            <w:lock w:val="sdtLocked"/>
            <w:placeholder>
              <w:docPart w:val="GBC22222222222222222222222222222"/>
            </w:placeholder>
          </w:sdtPr>
          <w:sdtEndPr>
            <w:rPr>
              <w:rFonts w:hint="eastAsia"/>
            </w:rPr>
          </w:sdtEndPr>
          <w:sdtContent>
            <w:p>
              <w:pPr>
                <w:spacing w:line="400" w:lineRule="exact"/>
                <w:ind w:firstLine="420" w:firstLineChars="200"/>
              </w:pPr>
              <w:r>
                <w:rPr>
                  <w:rFonts w:hint="eastAsia" w:ascii="Times New Roman" w:hAnsi="Times New Roman" w:cs="Times New Roman"/>
                  <w:szCs w:val="21"/>
                </w:rPr>
                <w:t>详见“五、报告期内主要经营情况之（四）行业经营性信息分析”</w:t>
              </w:r>
            </w:p>
          </w:sdtContent>
        </w:sdt>
        <w:p/>
      </w:sdtContent>
    </w:sdt>
    <w:sdt>
      <w:sdtPr>
        <w:rPr>
          <w:rFonts w:ascii="宋体" w:hAnsi="宋体" w:cs="宋体"/>
          <w:b w:val="0"/>
          <w:bCs w:val="0"/>
          <w:kern w:val="0"/>
          <w:szCs w:val="24"/>
        </w:rPr>
        <w:alias w:val="模块:报告期内公司从事的业务情况"/>
        <w:tag w:val="_SEC_1493ba27835e4c2bb84b6f78dd948a7b"/>
        <w:id w:val="865722242"/>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7"/>
            </w:numPr>
            <w:ind w:left="368" w:hanging="367" w:hangingChars="175"/>
          </w:pPr>
          <w:r>
            <w:t>报告期内公司从事的业务情况</w:t>
          </w:r>
        </w:p>
        <w:sdt>
          <w:sdtPr>
            <w:alias w:val="报告期内公司从事的业务情况 "/>
            <w:tag w:val="_GBC_5c2ed6623d994f569eb07915af842807"/>
            <w:id w:val="865722241"/>
            <w:lock w:val="sdtLocked"/>
            <w:placeholder>
              <w:docPart w:val="GBC22222222222222222222222222222"/>
            </w:placeholder>
          </w:sdtPr>
          <w:sdtContent>
            <w:p>
              <w:pPr>
                <w:spacing w:line="400" w:lineRule="exact"/>
                <w:ind w:firstLine="420" w:firstLineChars="200"/>
                <w:rPr>
                  <w:rFonts w:ascii="Times New Roman" w:hAnsi="Times New Roman" w:cs="Times New Roman"/>
                </w:rPr>
              </w:pPr>
              <w:r>
                <w:rPr>
                  <w:rFonts w:ascii="Times New Roman" w:cs="Times New Roman"/>
                </w:rPr>
                <w:t>报告期内公司所从事的业务没有发生重大变化。</w:t>
              </w:r>
            </w:p>
            <w:p>
              <w:pPr>
                <w:spacing w:line="400" w:lineRule="exact"/>
                <w:ind w:firstLine="420" w:firstLineChars="200"/>
                <w:rPr>
                  <w:rFonts w:ascii="Times New Roman" w:hAnsi="Times New Roman" w:cs="Times New Roman"/>
                </w:rPr>
              </w:pPr>
              <w:r>
                <w:rPr>
                  <w:rFonts w:ascii="Times New Roman" w:cs="Times New Roman"/>
                </w:rPr>
                <w:t>公司主要业务为日化</w:t>
              </w:r>
              <w:r>
                <w:rPr>
                  <w:rFonts w:hint="eastAsia" w:ascii="Times New Roman" w:cs="Times New Roman"/>
                </w:rPr>
                <w:t>产业</w:t>
              </w:r>
              <w:r>
                <w:rPr>
                  <w:rFonts w:ascii="Times New Roman" w:cs="Times New Roman"/>
                </w:rPr>
                <w:t>。公司</w:t>
              </w:r>
              <w:r>
                <w:rPr>
                  <w:rFonts w:ascii="Times New Roman" w:hAnsi="Times New Roman" w:cs="Times New Roman"/>
                </w:rPr>
                <w:t>2019</w:t>
              </w:r>
              <w:r>
                <w:rPr>
                  <w:rFonts w:ascii="Times New Roman" w:cs="Times New Roman"/>
                </w:rPr>
                <w:t>年</w:t>
              </w:r>
              <w:r>
                <w:rPr>
                  <w:rFonts w:ascii="Times New Roman" w:hAnsi="Times New Roman" w:cs="Times New Roman"/>
                </w:rPr>
                <w:t>12</w:t>
              </w:r>
              <w:r>
                <w:rPr>
                  <w:rFonts w:ascii="Times New Roman" w:cs="Times New Roman"/>
                </w:rPr>
                <w:t>月完成重大资产出售，剥离了纸业板块</w:t>
              </w:r>
              <w:r>
                <w:rPr>
                  <w:rFonts w:hint="eastAsia" w:ascii="Times New Roman" w:cs="Times New Roman"/>
                </w:rPr>
                <w:t>（纸品、纸业公司）</w:t>
              </w:r>
              <w:r>
                <w:rPr>
                  <w:rFonts w:ascii="Times New Roman" w:cs="Times New Roman"/>
                </w:rPr>
                <w:t>和房地产板块</w:t>
              </w:r>
              <w:r>
                <w:rPr>
                  <w:rFonts w:hint="eastAsia" w:ascii="Times New Roman" w:cs="Times New Roman"/>
                </w:rPr>
                <w:t>（房开公司）</w:t>
              </w:r>
              <w:r>
                <w:rPr>
                  <w:rFonts w:ascii="Times New Roman" w:cs="Times New Roman"/>
                </w:rPr>
                <w:t>，目前业务包括日化、医药两个板块，致力于发展</w:t>
              </w:r>
              <w:r>
                <w:rPr>
                  <w:rFonts w:ascii="Times New Roman" w:hAnsi="Times New Roman" w:cs="Times New Roman"/>
                </w:rPr>
                <w:t>“</w:t>
              </w:r>
              <w:r>
                <w:rPr>
                  <w:rFonts w:ascii="Times New Roman" w:cs="Times New Roman"/>
                </w:rPr>
                <w:t>大消费、大健康</w:t>
              </w:r>
              <w:r>
                <w:rPr>
                  <w:rFonts w:ascii="Times New Roman" w:hAnsi="Times New Roman" w:cs="Times New Roman"/>
                </w:rPr>
                <w:t>”</w:t>
              </w:r>
              <w:r>
                <w:rPr>
                  <w:rFonts w:ascii="Times New Roman" w:cs="Times New Roman"/>
                </w:rPr>
                <w:t>产业。</w:t>
              </w:r>
            </w:p>
            <w:p>
              <w:pPr>
                <w:spacing w:line="400" w:lineRule="exact"/>
                <w:ind w:firstLine="420" w:firstLineChars="200"/>
                <w:rPr>
                  <w:rFonts w:ascii="Times New Roman" w:hAnsi="Times New Roman" w:cs="Times New Roman"/>
                </w:rPr>
              </w:pPr>
              <w:r>
                <w:rPr>
                  <w:rFonts w:ascii="Times New Roman" w:hAnsi="Times New Roman" w:cs="Times New Roman"/>
                </w:rPr>
                <w:t>1.</w:t>
              </w:r>
              <w:r>
                <w:rPr>
                  <w:rFonts w:ascii="Times New Roman" w:cs="Times New Roman"/>
                </w:rPr>
                <w:t>主要业务日化板块：主要从事口腔护理产品、个人洗护品、酒店日用品等的研发、生产和销售，主要品牌包括两面针、沐兰泽、逍遥、芳草等。由母公司、江苏实业公司、芳草公司负责经营。</w:t>
              </w:r>
            </w:p>
            <w:p>
              <w:pPr>
                <w:spacing w:line="400" w:lineRule="exact"/>
                <w:ind w:firstLine="420" w:firstLineChars="200"/>
              </w:pPr>
              <w:r>
                <w:rPr>
                  <w:rFonts w:ascii="Times New Roman" w:hAnsi="Times New Roman" w:cs="Times New Roman"/>
                </w:rPr>
                <w:t>2.</w:t>
              </w:r>
              <w:r>
                <w:rPr>
                  <w:rFonts w:ascii="Times New Roman" w:cs="Times New Roman"/>
                </w:rPr>
                <w:t>医药板块：从事药品生产销售，主要产品为氨咖黄敏胶囊、银杏叶片、苍鹅鼻炎片、感冒灵冲剂等成品药以及丹皮酚、愈创木酚磺酸钾、细辛脑等原料药，由亿康药业</w:t>
              </w:r>
              <w:r>
                <w:t>负责经营。</w:t>
              </w:r>
            </w:p>
            <w:p>
              <w:pPr>
                <w:spacing w:line="400" w:lineRule="exact"/>
                <w:ind w:firstLine="420" w:firstLineChars="200"/>
              </w:pPr>
            </w:p>
          </w:sdtContent>
        </w:sdt>
        <w:p/>
      </w:sdtContent>
    </w:sdt>
    <w:sdt>
      <w:sdtPr>
        <w:rPr>
          <w:rFonts w:hint="eastAsia" w:ascii="宋体" w:hAnsi="宋体" w:cs="宋体"/>
          <w:b w:val="0"/>
          <w:bCs w:val="0"/>
          <w:kern w:val="0"/>
          <w:szCs w:val="24"/>
        </w:rPr>
        <w:alias w:val="模块:报告期内公司主要资产发生重大变化情况的说明"/>
        <w:tag w:val="_SEC_d733579ca1be4b6280b2cf34d2da3454"/>
        <w:id w:val="865722245"/>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7"/>
            </w:numPr>
            <w:ind w:left="368" w:hanging="367" w:hangingChars="175"/>
          </w:pPr>
          <w:r>
            <w:rPr>
              <w:rFonts w:hint="eastAsia"/>
            </w:rPr>
            <w:t>报告期内核心竞争力分析</w:t>
          </w:r>
        </w:p>
        <w:sdt>
          <w:sdtPr>
            <w:alias w:val="是否适用：报告期内核心竞争力分析[双击切换]"/>
            <w:tag w:val="_GBC_a03591f0f7444c9b8f5c55d6f75c3136"/>
            <w:id w:val="86572224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865722244"/>
            <w:lock w:val="sdtLocked"/>
            <w:placeholder>
              <w:docPart w:val="GBC22222222222222222222222222222"/>
            </w:placeholder>
          </w:sdtPr>
          <w:sdtEndPr>
            <w:rPr>
              <w:rFonts w:hint="eastAsia"/>
            </w:rPr>
          </w:sdtEndPr>
          <w:sdtContent>
            <w:p>
              <w:pPr>
                <w:spacing w:line="440" w:lineRule="exact"/>
                <w:rPr>
                  <w:rFonts w:ascii="Times New Roman" w:hAnsi="Times New Roman" w:cs="Times New Roman"/>
                  <w:b/>
                  <w:szCs w:val="21"/>
                </w:rPr>
              </w:pPr>
              <w:r>
                <w:rPr>
                  <w:rFonts w:hint="eastAsia"/>
                  <w:b/>
                </w:rPr>
                <w:t>（</w:t>
              </w:r>
              <w:r>
                <w:rPr>
                  <w:rFonts w:ascii="Times New Roman" w:cs="Times New Roman"/>
                  <w:b/>
                  <w:szCs w:val="21"/>
                </w:rPr>
                <w:t>一）研发与技术优势</w:t>
              </w:r>
            </w:p>
            <w:p>
              <w:pPr>
                <w:spacing w:line="360" w:lineRule="exact"/>
                <w:ind w:firstLine="420" w:firstLineChars="200"/>
                <w:rPr>
                  <w:szCs w:val="21"/>
                </w:rPr>
              </w:pPr>
              <w:r>
                <w:rPr>
                  <w:rFonts w:hint="eastAsia"/>
                  <w:szCs w:val="21"/>
                </w:rPr>
                <w:t>公司拥有自主知识产权中药牙膏核心技术，科研开发能力雄厚，是中国口腔清洁护理用品工业协会副理事长单位、中药牙膏行业标准牵头起草单位、国家高新技术企业，拥有自治区级企业技术中心、行业内首家博士后科研工作站。公司博士后科研工作站先后联合复旦大学、成都中医药大学、广西大学等博士后科研流动站招收培养博士后人员。</w:t>
              </w:r>
            </w:p>
            <w:p>
              <w:pPr>
                <w:spacing w:line="440" w:lineRule="exact"/>
                <w:rPr>
                  <w:rFonts w:ascii="Times New Roman" w:hAnsi="Times New Roman" w:cs="Times New Roman"/>
                  <w:b/>
                  <w:szCs w:val="21"/>
                </w:rPr>
              </w:pPr>
              <w:r>
                <w:rPr>
                  <w:rFonts w:ascii="Times New Roman" w:cs="Times New Roman"/>
                  <w:b/>
                  <w:szCs w:val="21"/>
                </w:rPr>
                <w:t>（二）品牌优势</w:t>
              </w:r>
            </w:p>
            <w:p>
              <w:pPr>
                <w:spacing w:line="440" w:lineRule="exact"/>
                <w:ind w:firstLine="420" w:firstLineChars="200"/>
                <w:rPr>
                  <w:rFonts w:ascii="Times New Roman" w:hAnsi="Times New Roman" w:cs="Times New Roman"/>
                  <w:color w:val="0000FF"/>
                  <w:szCs w:val="21"/>
                </w:rPr>
              </w:pPr>
              <w:r>
                <w:rPr>
                  <w:rFonts w:ascii="Times New Roman" w:cs="Times New Roman"/>
                  <w:szCs w:val="21"/>
                </w:rPr>
                <w:t>经过四十多年的发展，</w:t>
              </w:r>
              <w:r>
                <w:rPr>
                  <w:rFonts w:cs="Times New Roman"/>
                  <w:szCs w:val="21"/>
                </w:rPr>
                <w:t>“两面针”品牌享</w:t>
              </w:r>
              <w:r>
                <w:rPr>
                  <w:rFonts w:ascii="Times New Roman" w:cs="Times New Roman"/>
                  <w:szCs w:val="21"/>
                </w:rPr>
                <w:t>誉全国，确立了</w:t>
              </w:r>
              <w:r>
                <w:rPr>
                  <w:rFonts w:cs="Times New Roman"/>
                  <w:szCs w:val="21"/>
                </w:rPr>
                <w:t>“知名”、“优质”品</w:t>
              </w:r>
              <w:r>
                <w:rPr>
                  <w:rFonts w:ascii="Times New Roman" w:cs="Times New Roman"/>
                  <w:szCs w:val="21"/>
                </w:rPr>
                <w:t>牌地位。公司主导产</w:t>
              </w:r>
              <w:r>
                <w:rPr>
                  <w:rFonts w:cs="Times New Roman"/>
                  <w:szCs w:val="21"/>
                </w:rPr>
                <w:t>品“两面针中药牙膏”，</w:t>
              </w:r>
              <w:r>
                <w:rPr>
                  <w:rFonts w:ascii="Times New Roman" w:cs="Times New Roman"/>
                  <w:szCs w:val="21"/>
                </w:rPr>
                <w:t>是行业内最早拥有临床数据验证功效的中药牙膏，被评</w:t>
              </w:r>
              <w:r>
                <w:rPr>
                  <w:rFonts w:cs="Times New Roman"/>
                  <w:szCs w:val="21"/>
                </w:rPr>
                <w:t>为“国家质量标准示范产品”、“全国用户满意产品”和“中国最受公众喜爱的十大民族品牌”。</w:t>
              </w:r>
              <w:r>
                <w:rPr>
                  <w:rFonts w:ascii="Times New Roman" w:hAnsi="Times New Roman" w:cs="Times New Roman"/>
                  <w:szCs w:val="21"/>
                </w:rPr>
                <w:t>2013年起，作为行业合作伙伴参展中国-东盟博览会，</w:t>
              </w:r>
              <w:r>
                <w:rPr>
                  <w:rFonts w:hint="eastAsia" w:ascii="Times New Roman" w:hAnsi="Times New Roman" w:cs="Times New Roman"/>
                  <w:szCs w:val="21"/>
                </w:rPr>
                <w:t>“两面针”系列产品</w:t>
              </w:r>
              <w:r>
                <w:rPr>
                  <w:rFonts w:ascii="Times New Roman" w:hAnsi="Times New Roman" w:cs="Times New Roman"/>
                  <w:szCs w:val="21"/>
                </w:rPr>
                <w:t>连续</w:t>
              </w:r>
              <w:r>
                <w:rPr>
                  <w:rFonts w:hint="eastAsia" w:ascii="Times New Roman" w:hAnsi="Times New Roman" w:cs="Times New Roman"/>
                  <w:szCs w:val="21"/>
                </w:rPr>
                <w:t>9</w:t>
              </w:r>
              <w:r>
                <w:rPr>
                  <w:rFonts w:ascii="Times New Roman" w:hAnsi="Times New Roman" w:cs="Times New Roman"/>
                  <w:szCs w:val="21"/>
                </w:rPr>
                <w:t>年成为中国-东盟博览会指定用品。</w:t>
              </w:r>
            </w:p>
            <w:p>
              <w:pPr>
                <w:spacing w:line="440" w:lineRule="exact"/>
                <w:rPr>
                  <w:rFonts w:ascii="Times New Roman" w:hAnsi="Times New Roman" w:cs="Times New Roman"/>
                  <w:b/>
                  <w:szCs w:val="21"/>
                </w:rPr>
              </w:pPr>
              <w:r>
                <w:rPr>
                  <w:rFonts w:ascii="Times New Roman" w:hAnsi="Times New Roman" w:cs="Times New Roman"/>
                  <w:b/>
                  <w:szCs w:val="21"/>
                </w:rPr>
                <w:t>（三）产品质量优势</w:t>
              </w:r>
            </w:p>
            <w:p>
              <w:pPr>
                <w:spacing w:line="440" w:lineRule="exact"/>
                <w:ind w:firstLine="420" w:firstLineChars="200"/>
                <w:rPr>
                  <w:rFonts w:ascii="Times New Roman" w:hAnsi="Times New Roman" w:cs="Times New Roman"/>
                  <w:szCs w:val="21"/>
                </w:rPr>
              </w:pPr>
              <w:r>
                <w:rPr>
                  <w:rFonts w:hint="eastAsia" w:ascii="Times New Roman" w:hAnsi="Times New Roman" w:cs="Times New Roman"/>
                  <w:szCs w:val="21"/>
                </w:rPr>
                <w:t>公司是行业内首家通过</w:t>
              </w:r>
              <w:r>
                <w:rPr>
                  <w:rFonts w:ascii="Times New Roman" w:hAnsi="Times New Roman" w:cs="Times New Roman"/>
                  <w:szCs w:val="21"/>
                </w:rPr>
                <w:t>ISO9001国际质量体系认证的国家高新技术企业，获得ISO22716认证，欧盟和美国标准的GMPC（化妆品良好规范管理）证书，两面针中药牙膏还通过了美国FDA认证和清真认证（国际Halal认证）。采用国家2G制药标准生产牙膏，确保产品的安全性和有效性。</w:t>
              </w:r>
            </w:p>
            <w:p>
              <w:pPr>
                <w:spacing w:line="440" w:lineRule="exact"/>
                <w:rPr>
                  <w:rFonts w:ascii="Times New Roman" w:hAnsi="Times New Roman" w:cs="Times New Roman"/>
                  <w:b/>
                  <w:szCs w:val="21"/>
                </w:rPr>
              </w:pPr>
              <w:r>
                <w:rPr>
                  <w:rFonts w:ascii="Times New Roman" w:hAnsi="Times New Roman" w:cs="Times New Roman"/>
                  <w:b/>
                  <w:szCs w:val="21"/>
                </w:rPr>
                <w:t>（四）原料供应优势</w:t>
              </w:r>
            </w:p>
            <w:p>
              <w:pPr>
                <w:spacing w:line="440" w:lineRule="exact"/>
                <w:ind w:firstLine="420" w:firstLineChars="200"/>
              </w:pPr>
              <w:r>
                <w:rPr>
                  <w:rFonts w:ascii="Times New Roman" w:cs="Times New Roman"/>
                  <w:szCs w:val="21"/>
                </w:rPr>
                <w:t>公司坐落于广西壮族自治区中部，</w:t>
              </w:r>
              <w:r>
                <w:rPr>
                  <w:rFonts w:ascii="Times New Roman" w:hAnsi="Times New Roman" w:cs="Times New Roman"/>
                  <w:szCs w:val="21"/>
                </w:rPr>
                <w:t>拥有本地丰富的中草药自然资源</w:t>
              </w:r>
              <w:r>
                <w:rPr>
                  <w:rFonts w:ascii="Times New Roman" w:cs="Times New Roman"/>
                  <w:szCs w:val="21"/>
                </w:rPr>
                <w:t>。公司拥有两面</w:t>
              </w:r>
              <w:r>
                <w:rPr>
                  <w:rFonts w:ascii="Times New Roman" w:hAnsi="Times New Roman" w:cs="Times New Roman"/>
                  <w:szCs w:val="21"/>
                </w:rPr>
                <w:t>针GAP种植生产基地，原料供应便捷，能确保两面针提取药材</w:t>
              </w:r>
              <w:r>
                <w:rPr>
                  <w:rFonts w:hint="eastAsia" w:ascii="Times New Roman" w:hAnsi="Times New Roman" w:cs="Times New Roman"/>
                  <w:szCs w:val="21"/>
                </w:rPr>
                <w:t>道地</w:t>
              </w:r>
              <w:r>
                <w:rPr>
                  <w:rFonts w:ascii="Times New Roman" w:hAnsi="Times New Roman" w:cs="Times New Roman"/>
                  <w:szCs w:val="21"/>
                </w:rPr>
                <w:t>、安全、有效。</w:t>
              </w:r>
            </w:p>
          </w:sdtContent>
        </w:sdt>
      </w:sdtContent>
    </w:sdt>
    <w:p>
      <w:pPr>
        <w:rPr>
          <w:rFonts w:asciiTheme="minorEastAsia" w:hAnsiTheme="minorEastAsia" w:eastAsiaTheme="minorEastAsia"/>
        </w:rPr>
      </w:pPr>
    </w:p>
    <w:sdt>
      <w:sdtPr>
        <w:rPr>
          <w:rFonts w:hint="eastAsia" w:ascii="宋体" w:hAnsi="宋体" w:cs="宋体"/>
          <w:b w:val="0"/>
          <w:bCs w:val="0"/>
          <w:kern w:val="0"/>
          <w:szCs w:val="24"/>
        </w:rPr>
        <w:alias w:val="模块:报告期内主要经营情况"/>
        <w:tag w:val="_SEC_5be0fbeb3cd14e7ea98377b294efcb92"/>
        <w:id w:val="865722247"/>
        <w:lock w:val="sdtLocked"/>
        <w:placeholder>
          <w:docPart w:val="GBC22222222222222222222222222222"/>
        </w:placeholder>
      </w:sdtPr>
      <w:sdtEndPr>
        <w:rPr>
          <w:rFonts w:hint="default" w:ascii="Times New Roman" w:hAnsi="Times New Roman" w:cs="Times New Roman"/>
          <w:b w:val="0"/>
          <w:bCs w:val="0"/>
          <w:kern w:val="0"/>
          <w:szCs w:val="24"/>
        </w:rPr>
      </w:sdtEndPr>
      <w:sdtContent>
        <w:p>
          <w:pPr>
            <w:pStyle w:val="3"/>
            <w:numPr>
              <w:ilvl w:val="0"/>
              <w:numId w:val="7"/>
            </w:numPr>
            <w:ind w:left="368" w:hanging="367" w:hangingChars="175"/>
          </w:pPr>
          <w:r>
            <w:rPr>
              <w:rFonts w:hint="eastAsia"/>
            </w:rPr>
            <w:t>报告期内主要经营情况</w:t>
          </w:r>
        </w:p>
        <w:sdt>
          <w:sdtPr>
            <w:rPr>
              <w:rFonts w:hint="eastAsia"/>
            </w:rPr>
            <w:alias w:val="报告期内主要经营情况"/>
            <w:tag w:val="_GBC_655a1c6ffd2a454085e53e5538e3b2ef"/>
            <w:id w:val="865722246"/>
            <w:lock w:val="sdtLocked"/>
            <w:placeholder>
              <w:docPart w:val="GBC22222222222222222222222222222"/>
            </w:placeholder>
          </w:sdtPr>
          <w:sdtEndPr>
            <w:rPr>
              <w:rFonts w:hint="default" w:ascii="Times New Roman" w:hAnsi="Times New Roman" w:cs="Times New Roman"/>
            </w:rPr>
          </w:sdtEndPr>
          <w:sdtContent>
            <w:p>
              <w:pPr>
                <w:spacing w:line="400" w:lineRule="exact"/>
                <w:ind w:firstLine="420" w:firstLineChars="200"/>
                <w:rPr>
                  <w:rFonts w:ascii="Times New Roman" w:hAnsi="Times New Roman" w:cs="Times New Roman"/>
                </w:rPr>
              </w:pPr>
              <w:r>
                <w:rPr>
                  <w:rFonts w:ascii="Times New Roman" w:hAnsi="Times New Roman" w:cs="Times New Roman"/>
                </w:rPr>
                <w:t>2021</w:t>
              </w:r>
              <w:r>
                <w:rPr>
                  <w:rFonts w:hint="eastAsia" w:ascii="Times New Roman" w:hAnsi="Times New Roman" w:cs="Times New Roman"/>
                </w:rPr>
                <w:t>年，公司聚焦主业，紧紧围绕“效益先行，兼顾规模”的指导思想，统筹推进疫情防控和生产经营工作，全体员工砥砺奋进，全力以赴推进各项工作，各业务板块协同稳步发展。</w:t>
              </w:r>
            </w:p>
            <w:p>
              <w:pPr>
                <w:spacing w:line="400" w:lineRule="exact"/>
                <w:ind w:firstLine="422" w:firstLineChars="200"/>
                <w:rPr>
                  <w:rFonts w:ascii="Times New Roman" w:hAnsi="Times New Roman" w:cs="Times New Roman"/>
                  <w:b/>
                </w:rPr>
              </w:pPr>
              <w:r>
                <w:rPr>
                  <w:rFonts w:ascii="Times New Roman" w:hAnsi="Times New Roman" w:cs="Times New Roman"/>
                  <w:b/>
                </w:rPr>
                <w:t>1</w:t>
              </w:r>
              <w:r>
                <w:rPr>
                  <w:rFonts w:ascii="Times New Roman" w:cs="Times New Roman"/>
                  <w:b/>
                </w:rPr>
                <w:t>、日化板块母公司</w:t>
              </w:r>
            </w:p>
            <w:p>
              <w:pPr>
                <w:spacing w:line="400" w:lineRule="exact"/>
                <w:ind w:firstLine="420" w:firstLineChars="200"/>
                <w:rPr>
                  <w:rFonts w:ascii="Times New Roman" w:hAnsi="Times New Roman" w:cs="Times New Roman"/>
                </w:rPr>
              </w:pPr>
              <w:r>
                <w:rPr>
                  <w:rFonts w:ascii="Times New Roman" w:cs="Times New Roman"/>
                </w:rPr>
                <w:t>公司根据市场需求，开发新产品，升级已有产品，丰富产品线。对销售渠道进行优化调整，进一步拓宽新渠道。理顺线上销售，加大线上推广，除入驻</w:t>
              </w:r>
              <w:r>
                <w:rPr>
                  <w:rFonts w:ascii="Times New Roman" w:hAnsi="Times New Roman" w:cs="Times New Roman"/>
                </w:rPr>
                <w:t>“</w:t>
              </w:r>
              <w:r>
                <w:rPr>
                  <w:rFonts w:ascii="Times New Roman" w:cs="Times New Roman"/>
                </w:rPr>
                <w:t>两微一抖</w:t>
              </w:r>
              <w:r>
                <w:rPr>
                  <w:rFonts w:ascii="Times New Roman" w:hAnsi="Times New Roman" w:cs="Times New Roman"/>
                </w:rPr>
                <w:t>”</w:t>
              </w:r>
              <w:r>
                <w:rPr>
                  <w:rFonts w:ascii="Times New Roman" w:cs="Times New Roman"/>
                </w:rPr>
                <w:t>、阿里、京东等平台外，还入驻拼多多、国铁商城、小红书店铺、国航凤凰知音商城、海南航空等平台。通过平台内外投放广告，实施自主直播，参展东盟博览会、美容博览会和迪拜世博会等，吸引客商加盟、宣传产品，推广品牌。本年度，实现营业收入</w:t>
              </w:r>
              <w:r>
                <w:rPr>
                  <w:rFonts w:ascii="Times New Roman" w:hAnsi="Times New Roman" w:cs="Times New Roman"/>
                </w:rPr>
                <w:t>1.42</w:t>
              </w:r>
              <w:r>
                <w:rPr>
                  <w:rFonts w:ascii="Times New Roman" w:cs="Times New Roman"/>
                </w:rPr>
                <w:t>亿元。</w:t>
              </w:r>
            </w:p>
            <w:p>
              <w:pPr>
                <w:spacing w:line="400" w:lineRule="exact"/>
                <w:ind w:firstLine="422" w:firstLineChars="200"/>
                <w:rPr>
                  <w:rFonts w:ascii="Times New Roman" w:hAnsi="Times New Roman" w:cs="Times New Roman"/>
                  <w:b/>
                </w:rPr>
              </w:pPr>
              <w:r>
                <w:rPr>
                  <w:rFonts w:ascii="Times New Roman" w:hAnsi="Times New Roman" w:cs="Times New Roman"/>
                  <w:b/>
                </w:rPr>
                <w:t>2</w:t>
              </w:r>
              <w:r>
                <w:rPr>
                  <w:rFonts w:ascii="Times New Roman" w:cs="Times New Roman"/>
                  <w:b/>
                </w:rPr>
                <w:t>、江苏实业公司</w:t>
              </w:r>
            </w:p>
            <w:p>
              <w:pPr>
                <w:spacing w:line="400" w:lineRule="exact"/>
                <w:ind w:firstLine="420" w:firstLineChars="200"/>
                <w:rPr>
                  <w:rFonts w:ascii="Times New Roman" w:hAnsi="Times New Roman" w:cs="Times New Roman"/>
                </w:rPr>
              </w:pPr>
              <w:r>
                <w:rPr>
                  <w:rFonts w:ascii="Times New Roman" w:cs="Times New Roman"/>
                </w:rPr>
                <w:t>面对区域性疫情反复，对酒店行业的不利影响，江苏实业公司积极调整经营策略，狠抓销售管理，细化区域市场，全力拓展连锁酒店业务。重点打造自有品牌和</w:t>
              </w:r>
              <w:r>
                <w:rPr>
                  <w:rFonts w:ascii="Times New Roman" w:hAnsi="Times New Roman" w:cs="Times New Roman"/>
                </w:rPr>
                <w:t>OEM</w:t>
              </w:r>
              <w:r>
                <w:rPr>
                  <w:rFonts w:ascii="Times New Roman" w:cs="Times New Roman"/>
                </w:rPr>
                <w:t>业务，持续优化口腔护理、洗涤个护和消杀产品结构，以全产业链的成本优势和灵活定制，快速开发的技术优势赢得客户认可。本年度，江苏实业公司实现营业收入</w:t>
              </w:r>
              <w:r>
                <w:rPr>
                  <w:rFonts w:ascii="Times New Roman" w:hAnsi="Times New Roman" w:cs="Times New Roman"/>
                </w:rPr>
                <w:t>4.51</w:t>
              </w:r>
              <w:r>
                <w:rPr>
                  <w:rFonts w:ascii="Times New Roman" w:cs="Times New Roman"/>
                </w:rPr>
                <w:t>亿元，同比增长</w:t>
              </w:r>
              <w:r>
                <w:rPr>
                  <w:rFonts w:ascii="Times New Roman" w:hAnsi="Times New Roman" w:cs="Times New Roman"/>
                </w:rPr>
                <w:t>5.76%</w:t>
              </w:r>
              <w:r>
                <w:rPr>
                  <w:rFonts w:ascii="Times New Roman" w:cs="Times New Roman"/>
                </w:rPr>
                <w:t>，规模稳中有增。</w:t>
              </w:r>
            </w:p>
            <w:p>
              <w:pPr>
                <w:spacing w:line="400" w:lineRule="exact"/>
                <w:ind w:firstLine="422" w:firstLineChars="200"/>
                <w:rPr>
                  <w:rFonts w:ascii="Times New Roman" w:hAnsi="Times New Roman" w:cs="Times New Roman"/>
                  <w:b/>
                </w:rPr>
              </w:pPr>
              <w:r>
                <w:rPr>
                  <w:rFonts w:ascii="Times New Roman" w:hAnsi="Times New Roman" w:cs="Times New Roman"/>
                  <w:b/>
                </w:rPr>
                <w:t>3</w:t>
              </w:r>
              <w:r>
                <w:rPr>
                  <w:rFonts w:ascii="Times New Roman" w:cs="Times New Roman"/>
                  <w:b/>
                </w:rPr>
                <w:t>、芳草公司</w:t>
              </w:r>
            </w:p>
            <w:p>
              <w:pPr>
                <w:spacing w:line="400" w:lineRule="exact"/>
                <w:ind w:firstLine="420" w:firstLineChars="200"/>
                <w:rPr>
                  <w:rFonts w:ascii="Times New Roman" w:hAnsi="Times New Roman" w:cs="Times New Roman"/>
                </w:rPr>
              </w:pPr>
              <w:r>
                <w:rPr>
                  <w:rFonts w:ascii="Times New Roman" w:cs="Times New Roman"/>
                </w:rPr>
                <w:t>芳草公司立足于安徽区域市场，丰富产品链，不断增强营销能力，灵活促销。积极布局城市、乡镇及团购、电商等多个渠道。本年度，实现营业收入</w:t>
              </w:r>
              <w:r>
                <w:rPr>
                  <w:rFonts w:ascii="Times New Roman" w:hAnsi="Times New Roman" w:cs="Times New Roman"/>
                </w:rPr>
                <w:t>2,080</w:t>
              </w:r>
              <w:r>
                <w:rPr>
                  <w:rFonts w:hint="eastAsia" w:ascii="Times New Roman" w:hAnsi="Times New Roman" w:cs="Times New Roman"/>
                </w:rPr>
                <w:t>.33</w:t>
              </w:r>
              <w:r>
                <w:rPr>
                  <w:rFonts w:ascii="Times New Roman" w:cs="Times New Roman"/>
                </w:rPr>
                <w:t>万</w:t>
              </w:r>
              <w:r>
                <w:rPr>
                  <w:rFonts w:hint="eastAsia" w:ascii="Times New Roman" w:cs="Times New Roman"/>
                </w:rPr>
                <w:t>元</w:t>
              </w:r>
              <w:r>
                <w:rPr>
                  <w:rFonts w:ascii="Times New Roman" w:cs="Times New Roman"/>
                </w:rPr>
                <w:t>。</w:t>
              </w:r>
            </w:p>
            <w:p>
              <w:pPr>
                <w:spacing w:line="400" w:lineRule="exact"/>
                <w:ind w:firstLine="422" w:firstLineChars="200"/>
                <w:rPr>
                  <w:rFonts w:ascii="Times New Roman" w:hAnsi="Times New Roman" w:cs="Times New Roman"/>
                  <w:b/>
                </w:rPr>
              </w:pPr>
              <w:r>
                <w:rPr>
                  <w:rFonts w:ascii="Times New Roman" w:hAnsi="Times New Roman" w:cs="Times New Roman"/>
                  <w:b/>
                </w:rPr>
                <w:t>4</w:t>
              </w:r>
              <w:r>
                <w:rPr>
                  <w:rFonts w:ascii="Times New Roman" w:cs="Times New Roman"/>
                  <w:b/>
                </w:rPr>
                <w:t>、亿康公司</w:t>
              </w:r>
            </w:p>
            <w:p>
              <w:pPr>
                <w:spacing w:line="400" w:lineRule="exact"/>
                <w:ind w:firstLine="420" w:firstLineChars="200"/>
                <w:rPr>
                  <w:rFonts w:ascii="Times New Roman" w:hAnsi="Times New Roman" w:cs="Times New Roman"/>
                </w:rPr>
              </w:pPr>
              <w:r>
                <w:rPr>
                  <w:rFonts w:ascii="Times New Roman" w:cs="Times New Roman"/>
                </w:rPr>
                <w:t>亿康公司</w:t>
              </w:r>
              <w:r>
                <w:rPr>
                  <w:rFonts w:cs="Times New Roman" w:asciiTheme="minorEastAsia" w:hAnsiTheme="minorEastAsia" w:eastAsiaTheme="minorEastAsia"/>
                </w:rPr>
                <w:t>以“为亿万民众健康服务”为经</w:t>
              </w:r>
              <w:r>
                <w:rPr>
                  <w:rFonts w:ascii="Times New Roman" w:cs="Times New Roman"/>
                </w:rPr>
                <w:t>营宗旨，重点进行产品结构调整和销售模式转变。开发连锁药店渠道，拓展终端零售市场。联合强势经销商终端推广，延申基层覆盖率；与贴牌大客户稳定合作，提升两面针亿康的品牌价值。本年度，亿康公司营业收入</w:t>
              </w:r>
              <w:r>
                <w:rPr>
                  <w:rFonts w:ascii="Times New Roman" w:hAnsi="Times New Roman" w:cs="Times New Roman"/>
                </w:rPr>
                <w:t>8,20</w:t>
              </w:r>
              <w:r>
                <w:rPr>
                  <w:rFonts w:hint="eastAsia" w:ascii="Times New Roman" w:hAnsi="Times New Roman" w:cs="Times New Roman"/>
                </w:rPr>
                <w:t>2.30</w:t>
              </w:r>
              <w:r>
                <w:rPr>
                  <w:rFonts w:ascii="Times New Roman" w:cs="Times New Roman"/>
                </w:rPr>
                <w:t>万</w:t>
              </w:r>
              <w:r>
                <w:rPr>
                  <w:rFonts w:hint="eastAsia" w:ascii="Times New Roman" w:cs="Times New Roman"/>
                </w:rPr>
                <w:t>元</w:t>
              </w:r>
              <w:r>
                <w:rPr>
                  <w:rFonts w:ascii="Times New Roman" w:cs="Times New Roman"/>
                </w:rPr>
                <w:t>，同比增长</w:t>
              </w:r>
              <w:r>
                <w:rPr>
                  <w:rFonts w:ascii="Times New Roman" w:hAnsi="Times New Roman" w:cs="Times New Roman"/>
                </w:rPr>
                <w:t>2.53%</w:t>
              </w:r>
              <w:r>
                <w:rPr>
                  <w:rFonts w:ascii="Times New Roman" w:cs="Times New Roman"/>
                </w:rPr>
                <w:t>。</w:t>
              </w:r>
            </w:p>
          </w:sdtContent>
        </w:sdt>
      </w:sdtContent>
    </w:sdt>
    <w:p>
      <w:pPr>
        <w:pStyle w:val="4"/>
        <w:numPr>
          <w:ilvl w:val="0"/>
          <w:numId w:val="8"/>
        </w:numPr>
        <w:ind w:left="369" w:hanging="369" w:hangingChars="175"/>
        <w:rPr>
          <w:szCs w:val="21"/>
        </w:rPr>
      </w:pPr>
      <w:bookmarkStart w:id="24" w:name="_Toc342559738"/>
      <w:bookmarkStart w:id="25" w:name="_Toc342565895"/>
      <w:r>
        <w:rPr>
          <w:rFonts w:hint="eastAsia"/>
          <w:szCs w:val="21"/>
        </w:rPr>
        <w:t>主营业务分析</w:t>
      </w:r>
      <w:bookmarkEnd w:id="24"/>
      <w:bookmarkEnd w:id="25"/>
    </w:p>
    <w:p>
      <w:pPr>
        <w:pStyle w:val="5"/>
        <w:numPr>
          <w:ilvl w:val="0"/>
          <w:numId w:val="9"/>
        </w:numPr>
      </w:pPr>
      <w:r>
        <w:t>利润表及现金流量表相关科目变动分析表</w:t>
      </w:r>
    </w:p>
    <w:sdt>
      <w:sdtPr>
        <w:rPr>
          <w:rFonts w:hint="eastAsia" w:ascii="宋体" w:hAnsi="宋体"/>
        </w:rPr>
        <w:alias w:val="模块:财务报表相关科目变动分析表"/>
        <w:tag w:val="_SEC_91e850b02ecf462096f16fee26b10620"/>
        <w:id w:val="865722272"/>
        <w:lock w:val="sdtLocked"/>
        <w:placeholder>
          <w:docPart w:val="GBC22222222222222222222222222222"/>
        </w:placeholder>
      </w:sdtPr>
      <w:sdtEndPr>
        <w:rPr>
          <w:rFonts w:hint="eastAsia" w:ascii="宋体" w:hAnsi="宋体"/>
        </w:rPr>
      </w:sdtEndPr>
      <w:sdtContent>
        <w:p>
          <w:pPr>
            <w:pStyle w:val="55"/>
            <w:ind w:left="360" w:firstLine="0" w:firstLineChars="0"/>
            <w:jc w:val="right"/>
            <w:rPr>
              <w:rFonts w:ascii="宋体" w:hAnsi="宋体"/>
            </w:rPr>
          </w:pPr>
          <w:bookmarkStart w:id="26" w:name="_Hlk10208083"/>
          <w:bookmarkStart w:id="27" w:name="_Hlk89098131"/>
          <w:r>
            <w:rPr>
              <w:rFonts w:hint="eastAsia" w:ascii="宋体" w:hAnsi="宋体"/>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8657222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szCs w:val="21"/>
              </w:rPr>
            </w:sdtEndPr>
            <w:sdtContent>
              <w:r>
                <w:rPr>
                  <w:rFonts w:hint="eastAsia" w:ascii="宋体" w:hAnsi="宋体"/>
                  <w:szCs w:val="21"/>
                </w:rPr>
                <w:t>元</w:t>
              </w:r>
            </w:sdtContent>
          </w:sdt>
          <w:r>
            <w:rPr>
              <w:rFonts w:hint="eastAsia" w:ascii="宋体" w:hAnsi="宋体"/>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8657222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szCs w:val="21"/>
              </w:rPr>
            </w:sdtEndPr>
            <w:sdtContent>
              <w:r>
                <w:rPr>
                  <w:rFonts w:hint="eastAsia" w:ascii="宋体" w:hAnsi="宋体"/>
                  <w:szCs w:val="21"/>
                </w:rPr>
                <w:t>人民币</w:t>
              </w:r>
            </w:sdtContent>
          </w:sdt>
        </w:p>
        <w:tbl>
          <w:tblPr>
            <w:tblStyle w:val="3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126"/>
            <w:gridCol w:w="198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e184eafc8be3478d9fc8a544274385f7"/>
                <w:id w:val="865722250"/>
                <w:lock w:val="sdtLocked"/>
              </w:sdtPr>
              <w:sdtEndPr>
                <w:rPr>
                  <w:rFonts w:ascii="Times New Roman" w:hAnsi="Times New Roman"/>
                </w:rPr>
              </w:sdtEndPr>
              <w:sdtContent>
                <w:tc>
                  <w:tcPr>
                    <w:tcW w:w="1707" w:type="pct"/>
                  </w:tcPr>
                  <w:p>
                    <w:pPr>
                      <w:pStyle w:val="55"/>
                      <w:ind w:firstLine="0" w:firstLineChars="0"/>
                      <w:rPr>
                        <w:rFonts w:ascii="Times New Roman" w:hAnsi="Times New Roman"/>
                        <w:szCs w:val="21"/>
                      </w:rPr>
                    </w:pPr>
                    <w:bookmarkStart w:id="28" w:name="_Hlk10208057"/>
                    <w:r>
                      <w:rPr>
                        <w:rFonts w:ascii="Times New Roman" w:hAnsi="宋体"/>
                        <w:szCs w:val="21"/>
                      </w:rPr>
                      <w:t>科目</w:t>
                    </w:r>
                  </w:p>
                </w:tc>
              </w:sdtContent>
            </w:sdt>
            <w:sdt>
              <w:sdtPr>
                <w:rPr>
                  <w:rFonts w:ascii="Times New Roman" w:hAnsi="Times New Roman"/>
                </w:rPr>
                <w:tag w:val="_PLD_c49cd176da60479fbcfeedd35cc9f509"/>
                <w:id w:val="865722251"/>
                <w:lock w:val="sdtLocked"/>
              </w:sdtPr>
              <w:sdtEndPr>
                <w:rPr>
                  <w:rFonts w:ascii="Times New Roman" w:hAnsi="Times New Roman"/>
                </w:rPr>
              </w:sdtEndPr>
              <w:sdtContent>
                <w:tc>
                  <w:tcPr>
                    <w:tcW w:w="1176" w:type="pct"/>
                    <w:vAlign w:val="center"/>
                  </w:tcPr>
                  <w:p>
                    <w:pPr>
                      <w:pStyle w:val="55"/>
                      <w:ind w:firstLine="0" w:firstLineChars="0"/>
                      <w:jc w:val="center"/>
                      <w:rPr>
                        <w:rFonts w:ascii="Times New Roman" w:hAnsi="Times New Roman"/>
                        <w:szCs w:val="21"/>
                      </w:rPr>
                    </w:pPr>
                    <w:r>
                      <w:rPr>
                        <w:rFonts w:ascii="Times New Roman" w:hAnsi="宋体"/>
                        <w:szCs w:val="21"/>
                      </w:rPr>
                      <w:t>本期数</w:t>
                    </w:r>
                  </w:p>
                </w:tc>
              </w:sdtContent>
            </w:sdt>
            <w:sdt>
              <w:sdtPr>
                <w:rPr>
                  <w:rFonts w:ascii="Times New Roman" w:hAnsi="Times New Roman"/>
                </w:rPr>
                <w:tag w:val="_PLD_0b6df7534554463db9f304bbe9b6a71e"/>
                <w:id w:val="865722252"/>
                <w:lock w:val="sdtLocked"/>
              </w:sdtPr>
              <w:sdtEndPr>
                <w:rPr>
                  <w:rFonts w:ascii="Times New Roman" w:hAnsi="Times New Roman"/>
                </w:rPr>
              </w:sdtEndPr>
              <w:sdtContent>
                <w:tc>
                  <w:tcPr>
                    <w:tcW w:w="1098" w:type="pct"/>
                    <w:vAlign w:val="center"/>
                  </w:tcPr>
                  <w:p>
                    <w:pPr>
                      <w:pStyle w:val="55"/>
                      <w:ind w:firstLine="0" w:firstLineChars="0"/>
                      <w:jc w:val="center"/>
                      <w:rPr>
                        <w:rFonts w:ascii="Times New Roman" w:hAnsi="Times New Roman"/>
                        <w:szCs w:val="21"/>
                      </w:rPr>
                    </w:pPr>
                    <w:r>
                      <w:rPr>
                        <w:rFonts w:ascii="Times New Roman" w:hAnsi="宋体"/>
                        <w:szCs w:val="21"/>
                      </w:rPr>
                      <w:t>上年同期数</w:t>
                    </w:r>
                  </w:p>
                </w:tc>
              </w:sdtContent>
            </w:sdt>
            <w:sdt>
              <w:sdtPr>
                <w:rPr>
                  <w:rFonts w:ascii="Times New Roman" w:hAnsi="Times New Roman"/>
                </w:rPr>
                <w:tag w:val="_PLD_a903eeff1728490ba821c9389249303c"/>
                <w:id w:val="865722253"/>
                <w:lock w:val="sdtLocked"/>
              </w:sdtPr>
              <w:sdtEndPr>
                <w:rPr>
                  <w:rFonts w:ascii="Times New Roman" w:hAnsi="Times New Roman"/>
                </w:rPr>
              </w:sdtEndPr>
              <w:sdtContent>
                <w:tc>
                  <w:tcPr>
                    <w:tcW w:w="1019" w:type="pct"/>
                    <w:vAlign w:val="center"/>
                  </w:tcPr>
                  <w:p>
                    <w:pPr>
                      <w:pStyle w:val="55"/>
                      <w:ind w:firstLine="0" w:firstLineChars="0"/>
                      <w:jc w:val="center"/>
                      <w:rPr>
                        <w:rFonts w:ascii="Times New Roman" w:hAnsi="Times New Roman"/>
                        <w:szCs w:val="21"/>
                      </w:rPr>
                    </w:pPr>
                    <w:r>
                      <w:rPr>
                        <w:rFonts w:ascii="Times New Roman" w:hAnsi="宋体"/>
                        <w:szCs w:val="21"/>
                      </w:rPr>
                      <w:t>变动比例（</w:t>
                    </w:r>
                    <w:r>
                      <w:rPr>
                        <w:rFonts w:ascii="Times New Roman" w:hAnsi="Times New Roman"/>
                        <w:szCs w:val="21"/>
                      </w:rPr>
                      <w:t>%</w:t>
                    </w:r>
                    <w:r>
                      <w:rPr>
                        <w:rFonts w:ascii="Times New Roman" w:hAnsi="宋体"/>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Times New Roman" w:hAnsi="Times New Roman"/>
                    <w:szCs w:val="21"/>
                  </w:rPr>
                </w:pPr>
                <w:r>
                  <w:rPr>
                    <w:rFonts w:ascii="Times New Roman" w:hAnsi="宋体"/>
                    <w:szCs w:val="21"/>
                  </w:rPr>
                  <w:t>营业收入</w:t>
                </w:r>
              </w:p>
            </w:tc>
            <w:tc>
              <w:tcPr>
                <w:tcW w:w="1176" w:type="pct"/>
                <w:vAlign w:val="center"/>
              </w:tcPr>
              <w:p>
                <w:pPr>
                  <w:widowControl w:val="0"/>
                  <w:jc w:val="right"/>
                  <w:rPr>
                    <w:rFonts w:ascii="Times New Roman" w:hAnsi="Times New Roman" w:cs="Times New Roman"/>
                    <w:sz w:val="24"/>
                  </w:rPr>
                </w:pPr>
                <w:r>
                  <w:rPr>
                    <w:rFonts w:ascii="Times New Roman" w:hAnsi="Times New Roman" w:cs="Times New Roman"/>
                  </w:rPr>
                  <w:t>717,526,128.25</w:t>
                </w:r>
              </w:p>
            </w:tc>
            <w:tc>
              <w:tcPr>
                <w:tcW w:w="1098" w:type="pct"/>
                <w:vAlign w:val="center"/>
              </w:tcPr>
              <w:p>
                <w:pPr>
                  <w:widowControl w:val="0"/>
                  <w:jc w:val="right"/>
                  <w:rPr>
                    <w:rFonts w:ascii="Times New Roman" w:hAnsi="Times New Roman" w:cs="Times New Roman"/>
                    <w:sz w:val="24"/>
                  </w:rPr>
                </w:pPr>
                <w:r>
                  <w:rPr>
                    <w:rFonts w:ascii="Times New Roman" w:hAnsi="Times New Roman" w:cs="Times New Roman"/>
                  </w:rPr>
                  <w:t>685,431,238.99</w:t>
                </w:r>
              </w:p>
            </w:tc>
            <w:tc>
              <w:tcPr>
                <w:tcW w:w="1019" w:type="pct"/>
                <w:vAlign w:val="center"/>
              </w:tcPr>
              <w:p>
                <w:pPr>
                  <w:widowControl w:val="0"/>
                  <w:jc w:val="right"/>
                  <w:rPr>
                    <w:rFonts w:ascii="Times New Roman" w:hAnsi="Times New Roman" w:cs="Times New Roman"/>
                    <w:sz w:val="24"/>
                  </w:rPr>
                </w:pPr>
                <w:r>
                  <w:rPr>
                    <w:rFonts w:ascii="Times New Roman" w:hAnsi="Times New Roman" w:cs="Times New Roma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Times New Roman" w:hAnsi="Times New Roman"/>
                    <w:szCs w:val="21"/>
                  </w:rPr>
                </w:pPr>
                <w:r>
                  <w:rPr>
                    <w:rFonts w:ascii="Times New Roman" w:hAnsi="宋体"/>
                    <w:szCs w:val="21"/>
                  </w:rPr>
                  <w:t>营业成本</w:t>
                </w:r>
              </w:p>
            </w:tc>
            <w:tc>
              <w:tcPr>
                <w:tcW w:w="1176" w:type="pct"/>
                <w:vAlign w:val="center"/>
              </w:tcPr>
              <w:p>
                <w:pPr>
                  <w:widowControl w:val="0"/>
                  <w:jc w:val="right"/>
                  <w:rPr>
                    <w:rFonts w:ascii="Times New Roman" w:hAnsi="Times New Roman" w:cs="Times New Roman"/>
                    <w:sz w:val="24"/>
                  </w:rPr>
                </w:pPr>
                <w:r>
                  <w:rPr>
                    <w:rFonts w:ascii="Times New Roman" w:hAnsi="Times New Roman" w:cs="Times New Roman"/>
                  </w:rPr>
                  <w:t>572,906,370.02</w:t>
                </w:r>
              </w:p>
            </w:tc>
            <w:tc>
              <w:tcPr>
                <w:tcW w:w="1098" w:type="pct"/>
                <w:vAlign w:val="center"/>
              </w:tcPr>
              <w:p>
                <w:pPr>
                  <w:widowControl w:val="0"/>
                  <w:jc w:val="right"/>
                  <w:rPr>
                    <w:rFonts w:ascii="Times New Roman" w:hAnsi="Times New Roman" w:cs="Times New Roman"/>
                    <w:sz w:val="24"/>
                  </w:rPr>
                </w:pPr>
                <w:r>
                  <w:rPr>
                    <w:rFonts w:ascii="Times New Roman" w:hAnsi="Times New Roman" w:cs="Times New Roman"/>
                  </w:rPr>
                  <w:t>535,590,923.83</w:t>
                </w:r>
              </w:p>
            </w:tc>
            <w:tc>
              <w:tcPr>
                <w:tcW w:w="1019" w:type="pct"/>
                <w:vAlign w:val="center"/>
              </w:tcPr>
              <w:p>
                <w:pPr>
                  <w:widowControl w:val="0"/>
                  <w:jc w:val="right"/>
                  <w:rPr>
                    <w:rFonts w:ascii="Times New Roman" w:hAnsi="Times New Roman" w:cs="Times New Roman"/>
                    <w:sz w:val="24"/>
                  </w:rPr>
                </w:pPr>
                <w:r>
                  <w:rPr>
                    <w:rFonts w:ascii="Times New Roman" w:hAnsi="Times New Roman" w:cs="Times New Roman"/>
                  </w:rPr>
                  <w:t>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Times New Roman" w:hAnsi="Times New Roman"/>
                    <w:szCs w:val="21"/>
                  </w:rPr>
                </w:pPr>
                <w:r>
                  <w:rPr>
                    <w:rFonts w:ascii="Times New Roman" w:hAnsi="宋体"/>
                    <w:szCs w:val="21"/>
                  </w:rPr>
                  <w:t>销售费用</w:t>
                </w:r>
              </w:p>
            </w:tc>
            <w:tc>
              <w:tcPr>
                <w:tcW w:w="1176" w:type="pct"/>
                <w:vAlign w:val="center"/>
              </w:tcPr>
              <w:p>
                <w:pPr>
                  <w:widowControl w:val="0"/>
                  <w:jc w:val="right"/>
                  <w:rPr>
                    <w:rFonts w:ascii="Times New Roman" w:hAnsi="Times New Roman" w:cs="Times New Roman"/>
                    <w:sz w:val="24"/>
                  </w:rPr>
                </w:pPr>
                <w:r>
                  <w:rPr>
                    <w:rFonts w:ascii="Times New Roman" w:hAnsi="Times New Roman" w:cs="Times New Roman"/>
                  </w:rPr>
                  <w:t>87,805,080.22</w:t>
                </w:r>
              </w:p>
            </w:tc>
            <w:tc>
              <w:tcPr>
                <w:tcW w:w="1098" w:type="pct"/>
                <w:vAlign w:val="center"/>
              </w:tcPr>
              <w:p>
                <w:pPr>
                  <w:widowControl w:val="0"/>
                  <w:jc w:val="right"/>
                  <w:rPr>
                    <w:rFonts w:ascii="Times New Roman" w:hAnsi="Times New Roman" w:cs="Times New Roman"/>
                    <w:sz w:val="24"/>
                  </w:rPr>
                </w:pPr>
                <w:r>
                  <w:rPr>
                    <w:rFonts w:ascii="Times New Roman" w:hAnsi="Times New Roman" w:cs="Times New Roman"/>
                  </w:rPr>
                  <w:t>84,655,234.27</w:t>
                </w:r>
              </w:p>
            </w:tc>
            <w:tc>
              <w:tcPr>
                <w:tcW w:w="1019" w:type="pct"/>
                <w:vAlign w:val="center"/>
              </w:tcPr>
              <w:p>
                <w:pPr>
                  <w:widowControl w:val="0"/>
                  <w:jc w:val="right"/>
                  <w:rPr>
                    <w:rFonts w:ascii="Times New Roman" w:hAnsi="Times New Roman" w:cs="Times New Roman"/>
                    <w:sz w:val="24"/>
                  </w:rPr>
                </w:pPr>
                <w:r>
                  <w:rPr>
                    <w:rFonts w:ascii="Times New Roman" w:hAnsi="Times New Roman" w:cs="Times New Roman"/>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Times New Roman" w:hAnsi="Times New Roman"/>
                    <w:szCs w:val="21"/>
                  </w:rPr>
                </w:pPr>
                <w:r>
                  <w:rPr>
                    <w:rFonts w:ascii="Times New Roman" w:hAnsi="宋体"/>
                    <w:szCs w:val="21"/>
                  </w:rPr>
                  <w:t>管理费用</w:t>
                </w:r>
              </w:p>
            </w:tc>
            <w:tc>
              <w:tcPr>
                <w:tcW w:w="1176" w:type="pct"/>
                <w:vAlign w:val="center"/>
              </w:tcPr>
              <w:p>
                <w:pPr>
                  <w:widowControl w:val="0"/>
                  <w:jc w:val="right"/>
                  <w:rPr>
                    <w:rFonts w:ascii="Times New Roman" w:hAnsi="Times New Roman" w:cs="Times New Roman"/>
                    <w:sz w:val="24"/>
                  </w:rPr>
                </w:pPr>
                <w:r>
                  <w:rPr>
                    <w:rFonts w:ascii="Times New Roman" w:hAnsi="Times New Roman" w:cs="Times New Roman"/>
                  </w:rPr>
                  <w:t>64,284,572.78</w:t>
                </w:r>
              </w:p>
            </w:tc>
            <w:tc>
              <w:tcPr>
                <w:tcW w:w="1098" w:type="pct"/>
                <w:vAlign w:val="center"/>
              </w:tcPr>
              <w:p>
                <w:pPr>
                  <w:widowControl w:val="0"/>
                  <w:jc w:val="right"/>
                  <w:rPr>
                    <w:rFonts w:ascii="Times New Roman" w:hAnsi="Times New Roman" w:cs="Times New Roman"/>
                    <w:sz w:val="24"/>
                  </w:rPr>
                </w:pPr>
                <w:r>
                  <w:rPr>
                    <w:rFonts w:ascii="Times New Roman" w:hAnsi="Times New Roman" w:cs="Times New Roman"/>
                  </w:rPr>
                  <w:t>61,712,998.52</w:t>
                </w:r>
              </w:p>
            </w:tc>
            <w:tc>
              <w:tcPr>
                <w:tcW w:w="1019" w:type="pct"/>
                <w:vAlign w:val="center"/>
              </w:tcPr>
              <w:p>
                <w:pPr>
                  <w:widowControl w:val="0"/>
                  <w:jc w:val="right"/>
                  <w:rPr>
                    <w:rFonts w:ascii="Times New Roman" w:hAnsi="Times New Roman" w:cs="Times New Roman"/>
                    <w:sz w:val="24"/>
                  </w:rPr>
                </w:pPr>
                <w:r>
                  <w:rPr>
                    <w:rFonts w:hint="eastAsia" w:ascii="Times New Roman" w:hAnsi="Times New Roman" w:cs="Times New Roman"/>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Times New Roman" w:hAnsi="Times New Roman"/>
                    <w:szCs w:val="21"/>
                  </w:rPr>
                </w:pPr>
                <w:r>
                  <w:rPr>
                    <w:rFonts w:ascii="Times New Roman" w:hAnsi="宋体"/>
                    <w:szCs w:val="21"/>
                  </w:rPr>
                  <w:t>财务费用</w:t>
                </w:r>
              </w:p>
            </w:tc>
            <w:tc>
              <w:tcPr>
                <w:tcW w:w="1176" w:type="pct"/>
                <w:vAlign w:val="center"/>
              </w:tcPr>
              <w:p>
                <w:pPr>
                  <w:widowControl w:val="0"/>
                  <w:jc w:val="right"/>
                  <w:rPr>
                    <w:rFonts w:ascii="Times New Roman" w:hAnsi="Times New Roman" w:cs="Times New Roman"/>
                    <w:sz w:val="24"/>
                  </w:rPr>
                </w:pPr>
                <w:r>
                  <w:rPr>
                    <w:rFonts w:ascii="Times New Roman" w:hAnsi="Times New Roman" w:cs="Times New Roman"/>
                  </w:rPr>
                  <w:t>-40,189,412.79</w:t>
                </w:r>
              </w:p>
            </w:tc>
            <w:tc>
              <w:tcPr>
                <w:tcW w:w="1098" w:type="pct"/>
                <w:vAlign w:val="center"/>
              </w:tcPr>
              <w:p>
                <w:pPr>
                  <w:widowControl w:val="0"/>
                  <w:jc w:val="right"/>
                  <w:rPr>
                    <w:rFonts w:ascii="Times New Roman" w:hAnsi="Times New Roman" w:cs="Times New Roman"/>
                    <w:sz w:val="24"/>
                  </w:rPr>
                </w:pPr>
                <w:r>
                  <w:rPr>
                    <w:rFonts w:ascii="Times New Roman" w:hAnsi="Times New Roman" w:cs="Times New Roman"/>
                  </w:rPr>
                  <w:t>-40,655,439.50</w:t>
                </w:r>
              </w:p>
            </w:tc>
            <w:tc>
              <w:tcPr>
                <w:tcW w:w="1019" w:type="pct"/>
                <w:vAlign w:val="center"/>
              </w:tcPr>
              <w:p>
                <w:pPr>
                  <w:widowControl w:val="0"/>
                  <w:jc w:val="right"/>
                  <w:rPr>
                    <w:rFonts w:ascii="Times New Roman" w:hAnsi="Times New Roman" w:cs="Times New Roman"/>
                    <w:sz w:val="24"/>
                  </w:rPr>
                </w:pPr>
                <w:r>
                  <w:rPr>
                    <w:rFonts w:ascii="Times New Roman" w:cs="Times New Roma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Times New Roman" w:hAnsi="Times New Roman"/>
                    <w:szCs w:val="21"/>
                  </w:rPr>
                </w:pPr>
                <w:r>
                  <w:rPr>
                    <w:rFonts w:ascii="Times New Roman" w:hAnsi="宋体"/>
                    <w:szCs w:val="21"/>
                  </w:rPr>
                  <w:t>研发费用</w:t>
                </w:r>
              </w:p>
            </w:tc>
            <w:tc>
              <w:tcPr>
                <w:tcW w:w="1176" w:type="pct"/>
                <w:vAlign w:val="center"/>
              </w:tcPr>
              <w:p>
                <w:pPr>
                  <w:widowControl w:val="0"/>
                  <w:jc w:val="right"/>
                  <w:rPr>
                    <w:rFonts w:ascii="Times New Roman" w:hAnsi="Times New Roman" w:cs="Times New Roman"/>
                    <w:sz w:val="24"/>
                  </w:rPr>
                </w:pPr>
                <w:r>
                  <w:rPr>
                    <w:rFonts w:ascii="Times New Roman" w:hAnsi="Times New Roman" w:cs="Times New Roman"/>
                  </w:rPr>
                  <w:t>11,743,940.54</w:t>
                </w:r>
              </w:p>
            </w:tc>
            <w:tc>
              <w:tcPr>
                <w:tcW w:w="1098" w:type="pct"/>
                <w:vAlign w:val="center"/>
              </w:tcPr>
              <w:p>
                <w:pPr>
                  <w:widowControl w:val="0"/>
                  <w:jc w:val="right"/>
                  <w:rPr>
                    <w:rFonts w:ascii="Times New Roman" w:hAnsi="Times New Roman" w:cs="Times New Roman"/>
                    <w:sz w:val="24"/>
                  </w:rPr>
                </w:pPr>
                <w:r>
                  <w:rPr>
                    <w:rFonts w:ascii="Times New Roman" w:hAnsi="Times New Roman" w:cs="Times New Roman"/>
                  </w:rPr>
                  <w:t>11,464,324.32</w:t>
                </w:r>
              </w:p>
            </w:tc>
            <w:tc>
              <w:tcPr>
                <w:tcW w:w="1019" w:type="pct"/>
                <w:vAlign w:val="center"/>
              </w:tcPr>
              <w:p>
                <w:pPr>
                  <w:widowControl w:val="0"/>
                  <w:jc w:val="right"/>
                  <w:rPr>
                    <w:rFonts w:ascii="Times New Roman" w:hAnsi="Times New Roman" w:cs="Times New Roman"/>
                    <w:sz w:val="24"/>
                  </w:rPr>
                </w:pPr>
                <w:r>
                  <w:rPr>
                    <w:rFonts w:ascii="Times New Roman" w:hAnsi="Times New Roman" w:cs="Times New Roman"/>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Times New Roman" w:hAnsi="Times New Roman"/>
                    <w:szCs w:val="21"/>
                  </w:rPr>
                </w:pPr>
                <w:r>
                  <w:rPr>
                    <w:rFonts w:ascii="Times New Roman" w:hAnsi="宋体"/>
                    <w:szCs w:val="21"/>
                  </w:rPr>
                  <w:t>经营活动产生的现金流量净额</w:t>
                </w:r>
              </w:p>
            </w:tc>
            <w:tc>
              <w:tcPr>
                <w:tcW w:w="1176" w:type="pct"/>
                <w:vAlign w:val="center"/>
              </w:tcPr>
              <w:p>
                <w:pPr>
                  <w:widowControl w:val="0"/>
                  <w:jc w:val="right"/>
                  <w:rPr>
                    <w:rFonts w:ascii="Times New Roman" w:hAnsi="Times New Roman" w:cs="Times New Roman"/>
                    <w:sz w:val="24"/>
                  </w:rPr>
                </w:pPr>
                <w:r>
                  <w:rPr>
                    <w:rFonts w:ascii="Times New Roman" w:hAnsi="Times New Roman" w:cs="Times New Roman"/>
                  </w:rPr>
                  <w:t>-54,097,194.84</w:t>
                </w:r>
              </w:p>
            </w:tc>
            <w:tc>
              <w:tcPr>
                <w:tcW w:w="1098" w:type="pct"/>
                <w:vAlign w:val="center"/>
              </w:tcPr>
              <w:p>
                <w:pPr>
                  <w:widowControl w:val="0"/>
                  <w:jc w:val="right"/>
                  <w:rPr>
                    <w:rFonts w:ascii="Times New Roman" w:hAnsi="Times New Roman" w:cs="Times New Roman"/>
                    <w:sz w:val="24"/>
                  </w:rPr>
                </w:pPr>
                <w:r>
                  <w:rPr>
                    <w:rFonts w:ascii="Times New Roman" w:hAnsi="Times New Roman" w:cs="Times New Roman"/>
                  </w:rPr>
                  <w:t>15,786,447.07</w:t>
                </w:r>
              </w:p>
            </w:tc>
            <w:tc>
              <w:tcPr>
                <w:tcW w:w="1019" w:type="pct"/>
                <w:vAlign w:val="center"/>
              </w:tcPr>
              <w:p>
                <w:pPr>
                  <w:widowControl w:val="0"/>
                  <w:jc w:val="right"/>
                  <w:rPr>
                    <w:rFonts w:ascii="Times New Roman" w:hAnsi="Times New Roman" w:cs="Times New Roman"/>
                    <w:sz w:val="24"/>
                  </w:rPr>
                </w:pPr>
                <w:r>
                  <w:rPr>
                    <w:rFonts w:ascii="Times New Roman" w:cs="Times New Roma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Times New Roman" w:hAnsi="Times New Roman"/>
                    <w:szCs w:val="21"/>
                  </w:rPr>
                </w:pPr>
                <w:r>
                  <w:rPr>
                    <w:rFonts w:ascii="Times New Roman" w:hAnsi="宋体"/>
                    <w:szCs w:val="21"/>
                  </w:rPr>
                  <w:t>投资活动产生的现金流量净额</w:t>
                </w:r>
              </w:p>
            </w:tc>
            <w:tc>
              <w:tcPr>
                <w:tcW w:w="1176" w:type="pct"/>
                <w:vAlign w:val="center"/>
              </w:tcPr>
              <w:p>
                <w:pPr>
                  <w:widowControl w:val="0"/>
                  <w:jc w:val="right"/>
                  <w:rPr>
                    <w:rFonts w:ascii="Times New Roman" w:hAnsi="Times New Roman" w:cs="Times New Roman"/>
                    <w:sz w:val="24"/>
                  </w:rPr>
                </w:pPr>
                <w:r>
                  <w:rPr>
                    <w:rFonts w:ascii="Times New Roman" w:hAnsi="Times New Roman" w:cs="Times New Roman"/>
                  </w:rPr>
                  <w:t>667,967,242.52</w:t>
                </w:r>
              </w:p>
            </w:tc>
            <w:tc>
              <w:tcPr>
                <w:tcW w:w="1098" w:type="pct"/>
                <w:vAlign w:val="center"/>
              </w:tcPr>
              <w:p>
                <w:pPr>
                  <w:widowControl w:val="0"/>
                  <w:jc w:val="right"/>
                  <w:rPr>
                    <w:rFonts w:ascii="Times New Roman" w:hAnsi="Times New Roman" w:cs="Times New Roman"/>
                    <w:sz w:val="24"/>
                  </w:rPr>
                </w:pPr>
                <w:r>
                  <w:rPr>
                    <w:rFonts w:ascii="Times New Roman" w:hAnsi="Times New Roman" w:cs="Times New Roman"/>
                  </w:rPr>
                  <w:t>47,692,559.30</w:t>
                </w:r>
              </w:p>
            </w:tc>
            <w:tc>
              <w:tcPr>
                <w:tcW w:w="1019" w:type="pct"/>
                <w:vAlign w:val="center"/>
              </w:tcPr>
              <w:p>
                <w:pPr>
                  <w:widowControl w:val="0"/>
                  <w:jc w:val="right"/>
                  <w:rPr>
                    <w:rFonts w:ascii="Times New Roman" w:hAnsi="Times New Roman" w:cs="Times New Roman"/>
                    <w:sz w:val="24"/>
                  </w:rPr>
                </w:pPr>
                <w:r>
                  <w:rPr>
                    <w:rFonts w:ascii="Times New Roman" w:hAnsi="Times New Roman" w:cs="Times New Roman"/>
                  </w:rPr>
                  <w:t>1,300.57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Times New Roman" w:hAnsi="Times New Roman"/>
                    <w:szCs w:val="21"/>
                  </w:rPr>
                </w:pPr>
                <w:r>
                  <w:rPr>
                    <w:rFonts w:ascii="Times New Roman" w:hAnsi="宋体"/>
                    <w:szCs w:val="21"/>
                  </w:rPr>
                  <w:t>筹资活动产生的现金流量净额</w:t>
                </w:r>
              </w:p>
            </w:tc>
            <w:tc>
              <w:tcPr>
                <w:tcW w:w="1176" w:type="pct"/>
                <w:vAlign w:val="center"/>
              </w:tcPr>
              <w:p>
                <w:pPr>
                  <w:widowControl w:val="0"/>
                  <w:jc w:val="right"/>
                  <w:rPr>
                    <w:rFonts w:ascii="Times New Roman" w:hAnsi="Times New Roman" w:cs="Times New Roman"/>
                    <w:sz w:val="24"/>
                  </w:rPr>
                </w:pPr>
                <w:r>
                  <w:rPr>
                    <w:rFonts w:ascii="Times New Roman" w:hAnsi="Times New Roman" w:cs="Times New Roman"/>
                  </w:rPr>
                  <w:t>-458,864.20</w:t>
                </w:r>
              </w:p>
            </w:tc>
            <w:tc>
              <w:tcPr>
                <w:tcW w:w="1098" w:type="pct"/>
                <w:vAlign w:val="center"/>
              </w:tcPr>
              <w:p>
                <w:pPr>
                  <w:widowControl w:val="0"/>
                  <w:jc w:val="right"/>
                  <w:rPr>
                    <w:rFonts w:ascii="Times New Roman" w:hAnsi="Times New Roman" w:cs="Times New Roman"/>
                    <w:sz w:val="24"/>
                  </w:rPr>
                </w:pPr>
                <w:r>
                  <w:rPr>
                    <w:rFonts w:ascii="Times New Roman" w:hAnsi="Times New Roman" w:cs="Times New Roman"/>
                  </w:rPr>
                  <w:t>-171,147,829.96</w:t>
                </w:r>
              </w:p>
            </w:tc>
            <w:tc>
              <w:tcPr>
                <w:tcW w:w="1019" w:type="pct"/>
                <w:vAlign w:val="center"/>
              </w:tcPr>
              <w:p>
                <w:pPr>
                  <w:widowControl w:val="0"/>
                  <w:jc w:val="right"/>
                  <w:rPr>
                    <w:rFonts w:ascii="Times New Roman" w:hAnsi="Times New Roman" w:cs="Times New Roman"/>
                    <w:sz w:val="24"/>
                  </w:rPr>
                </w:pPr>
                <w:r>
                  <w:rPr>
                    <w:rFonts w:ascii="Times New Roman" w:cs="Times New Roman"/>
                  </w:rPr>
                  <w:t>不适用</w:t>
                </w:r>
              </w:p>
            </w:tc>
          </w:tr>
          <w:bookmarkEnd w:id="28"/>
        </w:tbl>
        <w:p>
          <w:pPr>
            <w:pStyle w:val="55"/>
            <w:ind w:firstLine="0" w:firstLineChars="0"/>
            <w:jc w:val="left"/>
            <w:rPr>
              <w:rFonts w:ascii="宋体" w:hAnsi="宋体"/>
            </w:rPr>
          </w:pPr>
        </w:p>
        <w:p>
          <w:pPr>
            <w:pStyle w:val="55"/>
            <w:spacing w:line="400" w:lineRule="exact"/>
            <w:ind w:firstLine="0" w:firstLineChars="0"/>
            <w:jc w:val="left"/>
            <w:rPr>
              <w:rFonts w:ascii="宋体" w:hAnsi="宋体"/>
            </w:rPr>
          </w:pPr>
          <w:r>
            <w:rPr>
              <w:rFonts w:hint="eastAsia" w:ascii="宋体" w:hAnsi="宋体"/>
            </w:rPr>
            <w:t>营业收入变动原因说明：</w:t>
          </w:r>
          <w:sdt>
            <w:sdtPr>
              <w:rPr>
                <w:rFonts w:ascii="宋体" w:hAnsi="宋体"/>
                <w:szCs w:val="21"/>
              </w:rPr>
              <w:alias w:val="营业收入变动原因说明"/>
              <w:tag w:val="_GBC_02f544181db247728469e929886776a1"/>
              <w:id w:val="865722254"/>
              <w:lock w:val="sdtLocked"/>
              <w:placeholder>
                <w:docPart w:val="GBC22222222222222222222222222222"/>
              </w:placeholder>
            </w:sdtPr>
            <w:sdtEndPr>
              <w:rPr>
                <w:rFonts w:ascii="宋体" w:hAnsi="宋体"/>
                <w:szCs w:val="21"/>
              </w:rPr>
            </w:sdtEndPr>
            <w:sdtContent>
              <w:r>
                <w:rPr>
                  <w:rFonts w:hint="eastAsia" w:ascii="宋体" w:hAnsi="宋体"/>
                  <w:szCs w:val="21"/>
                </w:rPr>
                <w:t>无重大变化。</w:t>
              </w:r>
            </w:sdtContent>
          </w:sdt>
        </w:p>
        <w:p>
          <w:pPr>
            <w:pStyle w:val="55"/>
            <w:spacing w:line="400" w:lineRule="exact"/>
            <w:ind w:firstLine="0" w:firstLineChars="0"/>
            <w:jc w:val="left"/>
            <w:rPr>
              <w:rFonts w:ascii="宋体" w:hAnsi="宋体"/>
            </w:rPr>
          </w:pPr>
          <w:r>
            <w:rPr>
              <w:rFonts w:hint="eastAsia" w:ascii="宋体" w:hAnsi="宋体"/>
            </w:rPr>
            <w:t>营业成本变动原因说明：</w:t>
          </w:r>
          <w:sdt>
            <w:sdtPr>
              <w:rPr>
                <w:rFonts w:hint="eastAsia" w:ascii="宋体" w:hAnsi="宋体"/>
              </w:rPr>
              <w:alias w:val="营业成本变动原因说明"/>
              <w:tag w:val="_GBC_cc56ae4655044c7092acfc9c59da077d"/>
              <w:id w:val="865722255"/>
              <w:lock w:val="sdtLocked"/>
              <w:placeholder>
                <w:docPart w:val="GBC22222222222222222222222222222"/>
              </w:placeholder>
            </w:sdtPr>
            <w:sdtEndPr>
              <w:rPr>
                <w:rFonts w:hint="eastAsia" w:ascii="宋体" w:hAnsi="宋体"/>
              </w:rPr>
            </w:sdtEndPr>
            <w:sdtContent>
              <w:r>
                <w:rPr>
                  <w:rFonts w:hint="eastAsia" w:ascii="宋体" w:hAnsi="宋体"/>
                </w:rPr>
                <w:t>无重大变化。</w:t>
              </w:r>
            </w:sdtContent>
          </w:sdt>
        </w:p>
        <w:p>
          <w:pPr>
            <w:pStyle w:val="55"/>
            <w:spacing w:line="400" w:lineRule="exact"/>
            <w:ind w:firstLine="0" w:firstLineChars="0"/>
            <w:jc w:val="left"/>
            <w:rPr>
              <w:rFonts w:ascii="宋体" w:hAnsi="宋体"/>
            </w:rPr>
          </w:pPr>
          <w:r>
            <w:rPr>
              <w:rFonts w:hint="eastAsia" w:ascii="宋体" w:hAnsi="宋体"/>
            </w:rPr>
            <w:t>销售费用变动原因说明：</w:t>
          </w:r>
          <w:sdt>
            <w:sdtPr>
              <w:rPr>
                <w:rFonts w:hint="eastAsia" w:ascii="宋体" w:hAnsi="宋体"/>
              </w:rPr>
              <w:alias w:val="销售费用变动原因说明"/>
              <w:tag w:val="_GBC_c5a5f680c2ee494fb0392b5c43f82ada"/>
              <w:id w:val="865722256"/>
              <w:lock w:val="sdtLocked"/>
              <w:placeholder>
                <w:docPart w:val="GBC22222222222222222222222222222"/>
              </w:placeholder>
            </w:sdtPr>
            <w:sdtEndPr>
              <w:rPr>
                <w:rFonts w:hint="eastAsia" w:ascii="宋体" w:hAnsi="宋体"/>
              </w:rPr>
            </w:sdtEndPr>
            <w:sdtContent>
              <w:r>
                <w:rPr>
                  <w:rFonts w:hint="eastAsia" w:ascii="宋体" w:hAnsi="宋体"/>
                  <w:szCs w:val="21"/>
                </w:rPr>
                <w:t>无重大变化。</w:t>
              </w:r>
            </w:sdtContent>
          </w:sdt>
        </w:p>
        <w:p>
          <w:pPr>
            <w:pStyle w:val="55"/>
            <w:spacing w:line="400" w:lineRule="exact"/>
            <w:ind w:firstLine="0" w:firstLineChars="0"/>
            <w:jc w:val="left"/>
            <w:rPr>
              <w:rFonts w:ascii="宋体" w:hAnsi="宋体"/>
            </w:rPr>
          </w:pPr>
          <w:r>
            <w:rPr>
              <w:rFonts w:hint="eastAsia" w:ascii="宋体" w:hAnsi="宋体"/>
            </w:rPr>
            <w:t>管理费用变动原因说明：</w:t>
          </w:r>
          <w:sdt>
            <w:sdtPr>
              <w:rPr>
                <w:rFonts w:hint="eastAsia" w:ascii="宋体" w:hAnsi="宋体"/>
              </w:rPr>
              <w:alias w:val="管理费用变动原因说明"/>
              <w:tag w:val="_GBC_706b1fc7f80c45629d6554f783797e4f"/>
              <w:id w:val="865722257"/>
              <w:lock w:val="sdtLocked"/>
              <w:placeholder>
                <w:docPart w:val="GBC22222222222222222222222222222"/>
              </w:placeholder>
            </w:sdtPr>
            <w:sdtEndPr>
              <w:rPr>
                <w:rFonts w:hint="eastAsia" w:ascii="宋体" w:hAnsi="宋体"/>
              </w:rPr>
            </w:sdtEndPr>
            <w:sdtContent>
              <w:r>
                <w:rPr>
                  <w:rFonts w:hint="eastAsia" w:ascii="宋体" w:hAnsi="宋体"/>
                  <w:szCs w:val="21"/>
                </w:rPr>
                <w:t>无重大变化。</w:t>
              </w:r>
            </w:sdtContent>
          </w:sdt>
        </w:p>
        <w:p>
          <w:pPr>
            <w:pStyle w:val="55"/>
            <w:spacing w:line="400" w:lineRule="exact"/>
            <w:ind w:firstLine="0" w:firstLineChars="0"/>
            <w:jc w:val="left"/>
            <w:rPr>
              <w:rFonts w:ascii="宋体" w:hAnsi="宋体"/>
            </w:rPr>
          </w:pPr>
          <w:r>
            <w:rPr>
              <w:rFonts w:hint="eastAsia" w:ascii="宋体" w:hAnsi="宋体"/>
            </w:rPr>
            <w:t>财务费用变动原因说明：</w:t>
          </w:r>
          <w:sdt>
            <w:sdtPr>
              <w:rPr>
                <w:rFonts w:hint="eastAsia" w:ascii="宋体" w:hAnsi="宋体"/>
              </w:rPr>
              <w:alias w:val="财务费用变动原因说明"/>
              <w:tag w:val="_GBC_ae0e447440184dbb94565c35b97d07a6"/>
              <w:id w:val="865722258"/>
              <w:lock w:val="sdtLocked"/>
              <w:placeholder>
                <w:docPart w:val="GBC22222222222222222222222222222"/>
              </w:placeholder>
            </w:sdtPr>
            <w:sdtEndPr>
              <w:rPr>
                <w:rFonts w:hint="eastAsia" w:ascii="宋体" w:hAnsi="宋体"/>
              </w:rPr>
            </w:sdtEndPr>
            <w:sdtContent>
              <w:r>
                <w:rPr>
                  <w:rFonts w:hint="eastAsia" w:ascii="宋体" w:hAnsi="宋体"/>
                  <w:szCs w:val="21"/>
                </w:rPr>
                <w:t>无重大变化。</w:t>
              </w:r>
            </w:sdtContent>
          </w:sdt>
        </w:p>
        <w:p>
          <w:pPr>
            <w:pStyle w:val="55"/>
            <w:spacing w:line="400" w:lineRule="exact"/>
            <w:ind w:firstLine="0" w:firstLineChars="0"/>
            <w:jc w:val="left"/>
            <w:rPr>
              <w:rFonts w:ascii="宋体" w:hAnsi="宋体"/>
            </w:rPr>
          </w:pPr>
          <w:r>
            <w:rPr>
              <w:rFonts w:hint="eastAsia" w:ascii="宋体" w:hAnsi="宋体"/>
            </w:rPr>
            <w:t>研发费用变动原因说明</w:t>
          </w:r>
          <w:r>
            <w:rPr>
              <w:rFonts w:ascii="宋体" w:hAnsi="宋体"/>
            </w:rPr>
            <w:t>：</w:t>
          </w:r>
          <w:sdt>
            <w:sdtPr>
              <w:rPr>
                <w:rFonts w:ascii="宋体" w:hAnsi="宋体"/>
              </w:rPr>
              <w:alias w:val="研发费用变动原因说明"/>
              <w:tag w:val="_GBC_310391efac0f4742813d80035c784df4"/>
              <w:id w:val="865722259"/>
              <w:lock w:val="sdtLocked"/>
              <w:placeholder>
                <w:docPart w:val="GBC22222222222222222222222222222"/>
              </w:placeholder>
            </w:sdtPr>
            <w:sdtEndPr>
              <w:rPr>
                <w:rFonts w:ascii="宋体" w:hAnsi="宋体"/>
              </w:rPr>
            </w:sdtEndPr>
            <w:sdtContent>
              <w:r>
                <w:rPr>
                  <w:rFonts w:hint="eastAsia" w:ascii="宋体" w:hAnsi="宋体"/>
                  <w:szCs w:val="21"/>
                </w:rPr>
                <w:t>无重大变化。</w:t>
              </w:r>
            </w:sdtContent>
          </w:sdt>
        </w:p>
        <w:p>
          <w:pPr>
            <w:pStyle w:val="55"/>
            <w:spacing w:line="400" w:lineRule="exact"/>
            <w:ind w:firstLine="0" w:firstLineChars="0"/>
            <w:jc w:val="left"/>
            <w:rPr>
              <w:rFonts w:ascii="宋体" w:hAnsi="宋体"/>
            </w:rPr>
          </w:pPr>
          <w:r>
            <w:rPr>
              <w:rFonts w:ascii="宋体" w:hAnsi="宋体"/>
              <w:szCs w:val="21"/>
            </w:rPr>
            <w:t>经营活动产生的现金流量净额</w:t>
          </w:r>
          <w:r>
            <w:rPr>
              <w:rFonts w:hint="eastAsia" w:ascii="宋体" w:hAnsi="宋体"/>
              <w:szCs w:val="21"/>
            </w:rPr>
            <w:t>变动原因说明：</w:t>
          </w:r>
          <w:sdt>
            <w:sdtPr>
              <w:rPr>
                <w:rFonts w:hint="eastAsia" w:ascii="宋体" w:hAnsi="宋体"/>
                <w:szCs w:val="21"/>
              </w:rPr>
              <w:alias w:val="经营活动产生的现金流量净额变动原因说明"/>
              <w:tag w:val="_GBC_5968661d4f024738ae5c039168b68a45"/>
              <w:id w:val="865722260"/>
              <w:lock w:val="sdtLocked"/>
              <w:placeholder>
                <w:docPart w:val="GBC22222222222222222222222222222"/>
              </w:placeholder>
            </w:sdtPr>
            <w:sdtEndPr>
              <w:rPr>
                <w:rFonts w:hint="eastAsia" w:ascii="宋体" w:hAnsi="宋体"/>
                <w:szCs w:val="21"/>
              </w:rPr>
            </w:sdtEndPr>
            <w:sdtContent>
              <w:r>
                <w:rPr>
                  <w:rFonts w:hint="eastAsia" w:ascii="宋体" w:hAnsi="宋体"/>
                  <w:szCs w:val="21"/>
                </w:rPr>
                <w:t>主要由于本期支付的材料款增加。</w:t>
              </w:r>
            </w:sdtContent>
          </w:sdt>
        </w:p>
        <w:p>
          <w:pPr>
            <w:pStyle w:val="55"/>
            <w:spacing w:line="400" w:lineRule="exact"/>
            <w:ind w:firstLine="0" w:firstLineChars="0"/>
            <w:jc w:val="left"/>
            <w:rPr>
              <w:rFonts w:ascii="宋体" w:hAnsi="宋体"/>
            </w:rPr>
          </w:pPr>
          <w:r>
            <w:rPr>
              <w:rFonts w:ascii="宋体" w:hAnsi="宋体"/>
              <w:szCs w:val="21"/>
            </w:rPr>
            <w:t>投资活动产生的现金流量净额</w:t>
          </w:r>
          <w:r>
            <w:rPr>
              <w:rFonts w:hint="eastAsia" w:ascii="宋体" w:hAnsi="宋体"/>
              <w:szCs w:val="21"/>
            </w:rPr>
            <w:t>变动原因说明：</w:t>
          </w:r>
          <w:sdt>
            <w:sdtPr>
              <w:rPr>
                <w:rFonts w:hint="eastAsia" w:ascii="宋体" w:hAnsi="宋体"/>
                <w:szCs w:val="21"/>
              </w:rPr>
              <w:alias w:val="投资活动产生的现金流量净额变动原因说明"/>
              <w:tag w:val="_GBC_08880b3f89054510a8ebc03403516e54"/>
              <w:id w:val="865722261"/>
              <w:lock w:val="sdtLocked"/>
              <w:placeholder>
                <w:docPart w:val="GBC22222222222222222222222222222"/>
              </w:placeholder>
            </w:sdtPr>
            <w:sdtEndPr>
              <w:rPr>
                <w:rFonts w:hint="eastAsia" w:ascii="宋体" w:hAnsi="宋体"/>
                <w:szCs w:val="21"/>
              </w:rPr>
            </w:sdtEndPr>
            <w:sdtContent>
              <w:r>
                <w:rPr>
                  <w:rFonts w:hint="eastAsia" w:ascii="Times New Roman"/>
                  <w:szCs w:val="21"/>
                </w:rPr>
                <w:t>主要由于本期</w:t>
              </w:r>
              <w:r>
                <w:rPr>
                  <w:rFonts w:ascii="Times New Roman"/>
                  <w:szCs w:val="21"/>
                </w:rPr>
                <w:t>收到</w:t>
              </w:r>
              <w:r>
                <w:rPr>
                  <w:rFonts w:hint="eastAsia" w:ascii="Times New Roman"/>
                  <w:szCs w:val="21"/>
                </w:rPr>
                <w:t>2019年重大资产出售项目的</w:t>
              </w:r>
              <w:r>
                <w:rPr>
                  <w:rFonts w:ascii="Times New Roman"/>
                  <w:szCs w:val="21"/>
                </w:rPr>
                <w:t>交易</w:t>
              </w:r>
              <w:r>
                <w:rPr>
                  <w:rFonts w:hint="eastAsia" w:ascii="Times New Roman"/>
                  <w:szCs w:val="21"/>
                </w:rPr>
                <w:t>尾款及利息，详见公告临2021-029</w:t>
              </w:r>
              <w:r>
                <w:rPr>
                  <w:rFonts w:hint="eastAsia" w:ascii="宋体" w:hAnsi="宋体"/>
                  <w:szCs w:val="21"/>
                </w:rPr>
                <w:t>。</w:t>
              </w:r>
            </w:sdtContent>
          </w:sdt>
        </w:p>
        <w:p>
          <w:pPr>
            <w:pStyle w:val="55"/>
            <w:spacing w:line="400" w:lineRule="exact"/>
            <w:ind w:firstLine="0" w:firstLineChars="0"/>
            <w:jc w:val="left"/>
            <w:rPr>
              <w:rFonts w:ascii="宋体" w:hAnsi="宋体"/>
            </w:rPr>
          </w:pPr>
          <w:r>
            <w:rPr>
              <w:rFonts w:ascii="宋体" w:hAnsi="宋体"/>
              <w:szCs w:val="21"/>
            </w:rPr>
            <w:t>筹资活动产生的现金流量净额</w:t>
          </w:r>
          <w:r>
            <w:rPr>
              <w:rFonts w:hint="eastAsia" w:ascii="宋体" w:hAnsi="宋体"/>
              <w:szCs w:val="21"/>
            </w:rPr>
            <w:t>变动原因说明：</w:t>
          </w:r>
          <w:sdt>
            <w:sdtPr>
              <w:rPr>
                <w:rFonts w:hint="eastAsia" w:ascii="宋体" w:hAnsi="宋体"/>
                <w:szCs w:val="21"/>
              </w:rPr>
              <w:alias w:val="筹资活动产生的现金流量净额变动原因说明"/>
              <w:tag w:val="_GBC_69e60bcce703432885fa32dfc7a0a266"/>
              <w:id w:val="865722262"/>
              <w:lock w:val="sdtLocked"/>
              <w:placeholder>
                <w:docPart w:val="GBC22222222222222222222222222222"/>
              </w:placeholder>
            </w:sdtPr>
            <w:sdtEndPr>
              <w:rPr>
                <w:rFonts w:hint="eastAsia" w:ascii="宋体" w:hAnsi="宋体"/>
                <w:szCs w:val="21"/>
              </w:rPr>
            </w:sdtEndPr>
            <w:sdtContent>
              <w:r>
                <w:rPr>
                  <w:rFonts w:ascii="Times New Roman" w:hAnsi="宋体"/>
                  <w:szCs w:val="21"/>
                </w:rPr>
                <w:t>主要由于</w:t>
              </w:r>
              <w:r>
                <w:rPr>
                  <w:rFonts w:ascii="Times New Roman" w:hAnsi="Times New Roman"/>
                  <w:szCs w:val="21"/>
                </w:rPr>
                <w:t>2020</w:t>
              </w:r>
              <w:r>
                <w:rPr>
                  <w:rFonts w:ascii="Times New Roman" w:hAnsi="宋体"/>
                  <w:szCs w:val="21"/>
                </w:rPr>
                <w:t>年偿还了</w:t>
              </w:r>
              <w:r>
                <w:rPr>
                  <w:rFonts w:hint="eastAsia" w:ascii="Times New Roman" w:hAnsi="宋体"/>
                  <w:szCs w:val="21"/>
                </w:rPr>
                <w:t>东通</w:t>
              </w:r>
              <w:r>
                <w:rPr>
                  <w:rFonts w:ascii="Times New Roman" w:hAnsi="宋体"/>
                  <w:szCs w:val="21"/>
                </w:rPr>
                <w:t>公司借款，</w:t>
              </w:r>
              <w:r>
                <w:rPr>
                  <w:rFonts w:hint="eastAsia" w:ascii="Times New Roman"/>
                  <w:szCs w:val="21"/>
                </w:rPr>
                <w:t>详见公告临2020-002</w:t>
              </w:r>
              <w:r>
                <w:rPr>
                  <w:rFonts w:ascii="Times New Roman" w:hAnsi="宋体"/>
                  <w:szCs w:val="21"/>
                </w:rPr>
                <w:t>，本期无此项。</w:t>
              </w:r>
            </w:sdtContent>
          </w:sdt>
        </w:p>
      </w:sdtContent>
    </w:sdt>
    <w:bookmarkEnd w:id="26"/>
    <w:bookmarkEnd w:id="27"/>
    <w:p/>
    <w:p/>
    <w:sdt>
      <w:sdtPr>
        <w:alias w:val="模块:公司利润构成或利润来源发生重大变动的详细说明"/>
        <w:tag w:val="_SEC_593b4c4eb33a4edb9c451b51de8804e0"/>
        <w:id w:val="865722275"/>
        <w:lock w:val="sdtLocked"/>
        <w:placeholder>
          <w:docPart w:val="GBC22222222222222222222222222222"/>
        </w:placeholder>
      </w:sdtPr>
      <w:sdtEndPr>
        <w:rPr>
          <w:rFonts w:hint="eastAsia"/>
        </w:rPr>
      </w:sdtEndPr>
      <w:sdtContent>
        <w:p>
          <w:bookmarkStart w:id="29"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86572227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9"/>
    <w:sdt>
      <w:sdtPr>
        <w:rPr>
          <w:rFonts w:hint="eastAsia" w:ascii="宋体" w:hAnsi="宋体" w:eastAsia="宋体" w:cs="宋体"/>
          <w:b w:val="0"/>
          <w:bCs w:val="0"/>
          <w:kern w:val="0"/>
          <w:szCs w:val="24"/>
        </w:rPr>
        <w:alias w:val="模块:收入和成本分析"/>
        <w:tag w:val="_SEC_eabe373ea4a44068936322286f1ec6fe"/>
        <w:id w:val="865722278"/>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9"/>
            </w:numPr>
          </w:pPr>
          <w:r>
            <w:rPr>
              <w:rFonts w:hint="eastAsia"/>
            </w:rPr>
            <w:t>收入和成本分析</w:t>
          </w:r>
        </w:p>
        <w:sdt>
          <w:sdtPr>
            <w:alias w:val="是否适用：收入和成本分析[双击切换]"/>
            <w:tag w:val="_GBC_c1a771ff956341da84dd26322335800f"/>
            <w:id w:val="86572227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865722277"/>
            <w:lock w:val="sdtLocked"/>
            <w:placeholder>
              <w:docPart w:val="GBC22222222222222222222222222222"/>
            </w:placeholder>
          </w:sdtPr>
          <w:sdtEndPr>
            <w:rPr>
              <w:rFonts w:hint="eastAsia"/>
            </w:rPr>
          </w:sdtEndPr>
          <w:sdtContent>
            <w:p>
              <w:pPr>
                <w:tabs>
                  <w:tab w:val="left" w:pos="851"/>
                </w:tabs>
              </w:pPr>
              <w:r>
                <w:rPr>
                  <w:rFonts w:hint="eastAsia"/>
                </w:rPr>
                <w:t>详见下表</w:t>
              </w:r>
            </w:p>
          </w:sdtContent>
        </w:sdt>
        <w:p>
          <w:pPr>
            <w:tabs>
              <w:tab w:val="left" w:pos="851"/>
            </w:tabs>
          </w:pPr>
        </w:p>
      </w:sdtContent>
    </w:sdt>
    <w:sdt>
      <w:sdtPr>
        <w:rPr>
          <w:rFonts w:hint="eastAsia" w:ascii="宋体" w:hAnsi="宋体" w:cs="宋体"/>
          <w:b w:val="0"/>
          <w:bCs w:val="0"/>
          <w:kern w:val="0"/>
          <w:szCs w:val="24"/>
        </w:rPr>
        <w:alias w:val="模块:主营业务分行业、分产品、分地区情况"/>
        <w:tag w:val="_SEC_aa7718c852e84d458e04e912c587a7da"/>
        <w:id w:val="865722323"/>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10"/>
            </w:numPr>
            <w:tabs>
              <w:tab w:val="left" w:pos="567"/>
            </w:tabs>
            <w:ind w:left="0" w:firstLine="0"/>
          </w:pPr>
          <w:bookmarkStart w:id="30" w:name="_Toc342565904"/>
          <w:bookmarkStart w:id="31" w:name="_Toc340829716"/>
          <w:bookmarkStart w:id="32" w:name="_Toc342559756"/>
          <w:r>
            <w:t>主营业务</w:t>
          </w:r>
          <w:r>
            <w:rPr>
              <w:rFonts w:hint="eastAsia"/>
            </w:rPr>
            <w:t>分</w:t>
          </w:r>
          <w:r>
            <w:t>行业</w:t>
          </w:r>
          <w:r>
            <w:rPr>
              <w:rFonts w:hint="eastAsia"/>
            </w:rPr>
            <w:t>、分</w:t>
          </w:r>
          <w:r>
            <w:t>产品</w:t>
          </w:r>
          <w:r>
            <w:rPr>
              <w:rFonts w:hint="eastAsia"/>
            </w:rPr>
            <w:t>、分地区、分销售模式情况</w:t>
          </w:r>
          <w:bookmarkEnd w:id="30"/>
          <w:bookmarkEnd w:id="31"/>
          <w:bookmarkEnd w:id="32"/>
        </w:p>
        <w:p>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8657222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86572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44"/>
            <w:gridCol w:w="1442"/>
            <w:gridCol w:w="116"/>
            <w:gridCol w:w="1571"/>
            <w:gridCol w:w="130"/>
            <w:gridCol w:w="994"/>
            <w:gridCol w:w="1138"/>
            <w:gridCol w:w="1138"/>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033a4d190942bd99650d59a8d741f9"/>
                <w:id w:val="34667846"/>
                <w:lock w:val="sdtLocked"/>
              </w:sdtPr>
              <w:sdtContent>
                <w:tc>
                  <w:tcPr>
                    <w:tcW w:w="5000" w:type="pct"/>
                    <w:gridSpan w:val="10"/>
                    <w:vAlign w:val="center"/>
                  </w:tcPr>
                  <w:p>
                    <w:pPr>
                      <w:widowControl w:val="0"/>
                      <w:jc w:val="center"/>
                      <w:rPr>
                        <w:szCs w:val="21"/>
                      </w:rPr>
                    </w:pPr>
                    <w:r>
                      <w:rPr>
                        <w:szCs w:val="21"/>
                      </w:rPr>
                      <w:t>主营业务分行业情况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b888f46a9d64f09b94dccfab854ad45"/>
                <w:id w:val="34667847"/>
                <w:lock w:val="sdtLocked"/>
              </w:sdtPr>
              <w:sdtContent>
                <w:tc>
                  <w:tcPr>
                    <w:tcW w:w="765" w:type="pct"/>
                    <w:gridSpan w:val="2"/>
                    <w:vAlign w:val="center"/>
                  </w:tcPr>
                  <w:p>
                    <w:pPr>
                      <w:widowControl w:val="0"/>
                      <w:jc w:val="center"/>
                      <w:rPr>
                        <w:szCs w:val="21"/>
                      </w:rPr>
                    </w:pPr>
                    <w:r>
                      <w:rPr>
                        <w:szCs w:val="21"/>
                      </w:rPr>
                      <w:t>分行业</w:t>
                    </w:r>
                  </w:p>
                </w:tc>
              </w:sdtContent>
            </w:sdt>
            <w:sdt>
              <w:sdtPr>
                <w:tag w:val="_PLD_7fe8bd490c23482eac6c726b40c3125c"/>
                <w:id w:val="34667848"/>
                <w:lock w:val="sdtLocked"/>
              </w:sdtPr>
              <w:sdtContent>
                <w:tc>
                  <w:tcPr>
                    <w:tcW w:w="861" w:type="pct"/>
                    <w:gridSpan w:val="2"/>
                    <w:vAlign w:val="center"/>
                  </w:tcPr>
                  <w:p>
                    <w:pPr>
                      <w:widowControl w:val="0"/>
                      <w:jc w:val="center"/>
                      <w:rPr>
                        <w:szCs w:val="21"/>
                      </w:rPr>
                    </w:pPr>
                    <w:r>
                      <w:rPr>
                        <w:szCs w:val="21"/>
                      </w:rPr>
                      <w:t>营业收入</w:t>
                    </w:r>
                  </w:p>
                </w:tc>
              </w:sdtContent>
            </w:sdt>
            <w:sdt>
              <w:sdtPr>
                <w:tag w:val="_PLD_43ea5bcd646542838f56af8b6a2863cb"/>
                <w:id w:val="34667849"/>
                <w:lock w:val="sdtLocked"/>
              </w:sdtPr>
              <w:sdtContent>
                <w:tc>
                  <w:tcPr>
                    <w:tcW w:w="940" w:type="pct"/>
                    <w:gridSpan w:val="2"/>
                    <w:vAlign w:val="center"/>
                  </w:tcPr>
                  <w:p>
                    <w:pPr>
                      <w:widowControl w:val="0"/>
                      <w:jc w:val="center"/>
                      <w:rPr>
                        <w:szCs w:val="21"/>
                      </w:rPr>
                    </w:pPr>
                    <w:r>
                      <w:rPr>
                        <w:szCs w:val="21"/>
                      </w:rPr>
                      <w:t>营业成本</w:t>
                    </w:r>
                  </w:p>
                </w:tc>
              </w:sdtContent>
            </w:sdt>
            <w:sdt>
              <w:sdtPr>
                <w:tag w:val="_PLD_2beea8e29ca14ce68ca930225f6b78ba"/>
                <w:id w:val="34667850"/>
                <w:lock w:val="sdtLocked"/>
              </w:sdtPr>
              <w:sdtContent>
                <w:tc>
                  <w:tcPr>
                    <w:tcW w:w="549" w:type="pct"/>
                    <w:vAlign w:val="center"/>
                  </w:tcPr>
                  <w:p>
                    <w:pPr>
                      <w:widowControl w:val="0"/>
                      <w:jc w:val="center"/>
                      <w:rPr>
                        <w:szCs w:val="21"/>
                      </w:rPr>
                    </w:pPr>
                    <w:r>
                      <w:rPr>
                        <w:szCs w:val="21"/>
                      </w:rPr>
                      <w:t>毛利率（%）</w:t>
                    </w:r>
                  </w:p>
                </w:tc>
              </w:sdtContent>
            </w:sdt>
            <w:sdt>
              <w:sdtPr>
                <w:tag w:val="_PLD_f9dadced328346f0b76bc97b709dc071"/>
                <w:id w:val="34667851"/>
                <w:lock w:val="sdtLocked"/>
              </w:sdtPr>
              <w:sdtContent>
                <w:tc>
                  <w:tcPr>
                    <w:tcW w:w="629" w:type="pct"/>
                    <w:vAlign w:val="center"/>
                  </w:tcPr>
                  <w:p>
                    <w:pPr>
                      <w:widowControl w:val="0"/>
                      <w:jc w:val="center"/>
                      <w:rPr>
                        <w:szCs w:val="21"/>
                      </w:rPr>
                    </w:pPr>
                    <w:r>
                      <w:rPr>
                        <w:szCs w:val="21"/>
                      </w:rPr>
                      <w:t>营业收入比上年增减（%）</w:t>
                    </w:r>
                  </w:p>
                </w:tc>
              </w:sdtContent>
            </w:sdt>
            <w:sdt>
              <w:sdtPr>
                <w:tag w:val="_PLD_c02171812b4a4964854b289e6b6282d1"/>
                <w:id w:val="34667852"/>
                <w:lock w:val="sdtLocked"/>
              </w:sdtPr>
              <w:sdtContent>
                <w:tc>
                  <w:tcPr>
                    <w:tcW w:w="629" w:type="pct"/>
                    <w:vAlign w:val="center"/>
                  </w:tcPr>
                  <w:p>
                    <w:pPr>
                      <w:widowControl w:val="0"/>
                      <w:jc w:val="center"/>
                      <w:rPr>
                        <w:szCs w:val="21"/>
                      </w:rPr>
                    </w:pPr>
                    <w:r>
                      <w:rPr>
                        <w:szCs w:val="21"/>
                      </w:rPr>
                      <w:t>营业成本比上年增减（%）</w:t>
                    </w:r>
                  </w:p>
                </w:tc>
              </w:sdtContent>
            </w:sdt>
            <w:sdt>
              <w:sdtPr>
                <w:tag w:val="_PLD_6ec6853f40254c1e8badc94bd41729ab"/>
                <w:id w:val="34667853"/>
                <w:lock w:val="sdtLocked"/>
              </w:sdtPr>
              <w:sdtContent>
                <w:tc>
                  <w:tcPr>
                    <w:tcW w:w="627" w:type="pct"/>
                    <w:vAlign w:val="center"/>
                  </w:tcPr>
                  <w:p>
                    <w:pPr>
                      <w:widowControl w:val="0"/>
                      <w:jc w:val="center"/>
                      <w:rPr>
                        <w:szCs w:val="21"/>
                      </w:rPr>
                    </w:pPr>
                    <w:r>
                      <w:rPr>
                        <w:szCs w:val="21"/>
                      </w:rPr>
                      <w:t>毛利率比上年增减（%）</w:t>
                    </w:r>
                  </w:p>
                </w:tc>
              </w:sdtContent>
            </w:sdt>
          </w:tr>
          <w:sdt>
            <w:sdtPr>
              <w:rPr>
                <w:rFonts w:ascii="Times New Roman" w:hAnsi="Times New Roman" w:eastAsiaTheme="minorEastAsia" w:cstheme="minorBidi"/>
                <w:kern w:val="0"/>
                <w:szCs w:val="21"/>
              </w:rPr>
              <w:alias w:val="董事会报告出具的分行业主营业务"/>
              <w:tag w:val="_TUP_fab3da88965048348763b19310ce503d"/>
              <w:id w:val="34667854"/>
              <w:lock w:val="sdtLocked"/>
            </w:sdtPr>
            <w:sdtEndPr>
              <w:rPr>
                <w:rFonts w:ascii="Times New Roman" w:hAnsi="Times New Roman" w:cs="Times New Roman" w:eastAsiaTheme="minorEastAsia"/>
                <w:color w:val="008000"/>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gridSpan w:val="2"/>
                    <w:vAlign w:val="center"/>
                  </w:tcPr>
                  <w:p>
                    <w:pPr>
                      <w:pStyle w:val="55"/>
                      <w:ind w:firstLine="0" w:firstLineChars="0"/>
                      <w:rPr>
                        <w:rFonts w:ascii="Times New Roman" w:hAnsi="Times New Roman"/>
                        <w:szCs w:val="21"/>
                      </w:rPr>
                    </w:pPr>
                    <w:r>
                      <w:rPr>
                        <w:rFonts w:ascii="Times New Roman"/>
                      </w:rPr>
                      <w:t>工业制造业</w:t>
                    </w:r>
                  </w:p>
                </w:tc>
                <w:tc>
                  <w:tcPr>
                    <w:tcW w:w="861" w:type="pct"/>
                    <w:gridSpan w:val="2"/>
                    <w:vAlign w:val="center"/>
                  </w:tcPr>
                  <w:p>
                    <w:pPr>
                      <w:widowControl w:val="0"/>
                      <w:jc w:val="right"/>
                      <w:rPr>
                        <w:rFonts w:ascii="Times New Roman" w:hAnsi="Times New Roman" w:cs="Times New Roman"/>
                        <w:szCs w:val="21"/>
                      </w:rPr>
                    </w:pPr>
                    <w:r>
                      <w:rPr>
                        <w:rFonts w:ascii="Times New Roman" w:hAnsi="Times New Roman" w:cs="Times New Roman"/>
                      </w:rPr>
                      <w:t>668,571,149.34</w:t>
                    </w:r>
                  </w:p>
                </w:tc>
                <w:tc>
                  <w:tcPr>
                    <w:tcW w:w="940" w:type="pct"/>
                    <w:gridSpan w:val="2"/>
                    <w:vAlign w:val="center"/>
                  </w:tcPr>
                  <w:p>
                    <w:pPr>
                      <w:widowControl w:val="0"/>
                      <w:jc w:val="right"/>
                      <w:rPr>
                        <w:rFonts w:ascii="Times New Roman" w:hAnsi="Times New Roman" w:cs="Times New Roman"/>
                        <w:szCs w:val="21"/>
                      </w:rPr>
                    </w:pPr>
                    <w:r>
                      <w:rPr>
                        <w:rFonts w:ascii="Times New Roman" w:hAnsi="Times New Roman" w:cs="Times New Roman"/>
                      </w:rPr>
                      <w:t>528,343,712.24</w:t>
                    </w:r>
                  </w:p>
                </w:tc>
                <w:tc>
                  <w:tcPr>
                    <w:tcW w:w="549" w:type="pct"/>
                    <w:vAlign w:val="center"/>
                  </w:tcPr>
                  <w:p>
                    <w:pPr>
                      <w:widowControl w:val="0"/>
                      <w:jc w:val="right"/>
                      <w:rPr>
                        <w:rFonts w:ascii="Times New Roman" w:hAnsi="Times New Roman" w:cs="Times New Roman"/>
                        <w:szCs w:val="21"/>
                      </w:rPr>
                    </w:pPr>
                    <w:r>
                      <w:rPr>
                        <w:rFonts w:ascii="Times New Roman" w:hAnsi="Times New Roman" w:cs="Times New Roman"/>
                      </w:rPr>
                      <w:t>20.97</w:t>
                    </w:r>
                  </w:p>
                </w:tc>
                <w:tc>
                  <w:tcPr>
                    <w:tcW w:w="629" w:type="pct"/>
                    <w:vAlign w:val="center"/>
                  </w:tcPr>
                  <w:p>
                    <w:pPr>
                      <w:widowControl w:val="0"/>
                      <w:jc w:val="right"/>
                      <w:rPr>
                        <w:rFonts w:ascii="Times New Roman" w:hAnsi="Times New Roman" w:cs="Times New Roman"/>
                        <w:szCs w:val="21"/>
                      </w:rPr>
                    </w:pPr>
                    <w:r>
                      <w:rPr>
                        <w:rFonts w:ascii="Times New Roman" w:hAnsi="Times New Roman" w:cs="Times New Roman"/>
                      </w:rPr>
                      <w:t>1.10</w:t>
                    </w:r>
                  </w:p>
                </w:tc>
                <w:tc>
                  <w:tcPr>
                    <w:tcW w:w="629" w:type="pct"/>
                    <w:vAlign w:val="center"/>
                  </w:tcPr>
                  <w:p>
                    <w:pPr>
                      <w:widowControl w:val="0"/>
                      <w:jc w:val="right"/>
                      <w:rPr>
                        <w:rFonts w:ascii="Times New Roman" w:hAnsi="Times New Roman" w:cs="Times New Roman"/>
                        <w:szCs w:val="21"/>
                      </w:rPr>
                    </w:pPr>
                    <w:r>
                      <w:rPr>
                        <w:rFonts w:hint="eastAsia" w:ascii="Times New Roman" w:hAnsi="Times New Roman" w:cs="Times New Roman"/>
                      </w:rPr>
                      <w:t>1.90</w:t>
                    </w:r>
                  </w:p>
                </w:tc>
                <w:tc>
                  <w:tcPr>
                    <w:tcW w:w="627" w:type="pct"/>
                    <w:vAlign w:val="center"/>
                  </w:tcPr>
                  <w:p>
                    <w:pPr>
                      <w:widowControl w:val="0"/>
                      <w:jc w:val="right"/>
                      <w:rPr>
                        <w:rFonts w:ascii="Times New Roman" w:hAnsi="Times New Roman" w:cs="Times New Roman"/>
                        <w:szCs w:val="21"/>
                      </w:rPr>
                    </w:pPr>
                    <w:r>
                      <w:rPr>
                        <w:rFonts w:ascii="Times New Roman" w:cs="Times New Roman"/>
                      </w:rPr>
                      <w:t>减少</w:t>
                    </w:r>
                    <w:r>
                      <w:rPr>
                        <w:rFonts w:ascii="Times New Roman" w:hAnsi="Times New Roman" w:cs="Times New Roman"/>
                      </w:rPr>
                      <w:t>3.46</w:t>
                    </w:r>
                    <w:r>
                      <w:rPr>
                        <w:rFonts w:ascii="Times New Roman" w:cs="Times New Roman"/>
                      </w:rPr>
                      <w:t>个百分点</w:t>
                    </w:r>
                  </w:p>
                </w:tc>
              </w:tr>
            </w:sdtContent>
          </w:sdt>
          <w:sdt>
            <w:sdtPr>
              <w:rPr>
                <w:rFonts w:ascii="Times New Roman" w:hAnsi="Times New Roman" w:eastAsiaTheme="minorEastAsia" w:cstheme="minorBidi"/>
                <w:kern w:val="0"/>
                <w:szCs w:val="21"/>
              </w:rPr>
              <w:alias w:val="董事会报告出具的分行业主营业务"/>
              <w:tag w:val="_TUP_fab3da88965048348763b19310ce503d"/>
              <w:id w:val="34667855"/>
              <w:lock w:val="sdtLocked"/>
            </w:sdtPr>
            <w:sdtEndPr>
              <w:rPr>
                <w:rFonts w:ascii="Times New Roman" w:hAnsi="Times New Roman" w:cs="Times New Roman" w:eastAsiaTheme="minorEastAsia"/>
                <w:color w:val="008000"/>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gridSpan w:val="2"/>
                    <w:vAlign w:val="center"/>
                  </w:tcPr>
                  <w:p>
                    <w:pPr>
                      <w:pStyle w:val="55"/>
                      <w:ind w:firstLine="0" w:firstLineChars="0"/>
                      <w:rPr>
                        <w:rFonts w:ascii="Times New Roman" w:hAnsi="Times New Roman"/>
                        <w:szCs w:val="21"/>
                      </w:rPr>
                    </w:pPr>
                    <w:r>
                      <w:rPr>
                        <w:rFonts w:ascii="Times New Roman"/>
                      </w:rPr>
                      <w:t>商业贸易</w:t>
                    </w:r>
                  </w:p>
                </w:tc>
                <w:tc>
                  <w:tcPr>
                    <w:tcW w:w="861" w:type="pct"/>
                    <w:gridSpan w:val="2"/>
                    <w:vAlign w:val="center"/>
                  </w:tcPr>
                  <w:p>
                    <w:pPr>
                      <w:widowControl w:val="0"/>
                      <w:ind w:left="34" w:hanging="33" w:hangingChars="16"/>
                      <w:jc w:val="right"/>
                      <w:rPr>
                        <w:rFonts w:ascii="Times New Roman" w:hAnsi="Times New Roman" w:cs="Times New Roman"/>
                        <w:szCs w:val="21"/>
                      </w:rPr>
                    </w:pPr>
                    <w:r>
                      <w:rPr>
                        <w:rFonts w:ascii="Times New Roman" w:hAnsi="Times New Roman" w:cs="Times New Roman"/>
                      </w:rPr>
                      <w:t>40,552,449.19</w:t>
                    </w:r>
                  </w:p>
                </w:tc>
                <w:tc>
                  <w:tcPr>
                    <w:tcW w:w="940" w:type="pct"/>
                    <w:gridSpan w:val="2"/>
                    <w:vAlign w:val="center"/>
                  </w:tcPr>
                  <w:p>
                    <w:pPr>
                      <w:widowControl w:val="0"/>
                      <w:jc w:val="right"/>
                      <w:rPr>
                        <w:rFonts w:ascii="Times New Roman" w:hAnsi="Times New Roman" w:cs="Times New Roman"/>
                        <w:szCs w:val="21"/>
                      </w:rPr>
                    </w:pPr>
                    <w:r>
                      <w:rPr>
                        <w:rFonts w:ascii="Times New Roman" w:hAnsi="Times New Roman" w:cs="Times New Roman"/>
                      </w:rPr>
                      <w:t>39,072,754.12</w:t>
                    </w:r>
                  </w:p>
                </w:tc>
                <w:tc>
                  <w:tcPr>
                    <w:tcW w:w="549" w:type="pct"/>
                    <w:vAlign w:val="center"/>
                  </w:tcPr>
                  <w:p>
                    <w:pPr>
                      <w:widowControl w:val="0"/>
                      <w:jc w:val="right"/>
                      <w:rPr>
                        <w:rFonts w:ascii="Times New Roman" w:hAnsi="Times New Roman" w:cs="Times New Roman"/>
                        <w:szCs w:val="21"/>
                      </w:rPr>
                    </w:pPr>
                    <w:r>
                      <w:rPr>
                        <w:rFonts w:ascii="Times New Roman" w:hAnsi="Times New Roman" w:cs="Times New Roman"/>
                      </w:rPr>
                      <w:t>3.65</w:t>
                    </w:r>
                  </w:p>
                </w:tc>
                <w:tc>
                  <w:tcPr>
                    <w:tcW w:w="629" w:type="pct"/>
                    <w:vAlign w:val="center"/>
                  </w:tcPr>
                  <w:p>
                    <w:pPr>
                      <w:widowControl w:val="0"/>
                      <w:jc w:val="right"/>
                      <w:rPr>
                        <w:rFonts w:ascii="Times New Roman" w:hAnsi="Times New Roman" w:cs="Times New Roman"/>
                        <w:szCs w:val="21"/>
                      </w:rPr>
                    </w:pPr>
                    <w:r>
                      <w:rPr>
                        <w:rFonts w:ascii="Times New Roman" w:hAnsi="Times New Roman" w:cs="Times New Roman"/>
                      </w:rPr>
                      <w:t>127.76</w:t>
                    </w:r>
                  </w:p>
                </w:tc>
                <w:tc>
                  <w:tcPr>
                    <w:tcW w:w="629" w:type="pct"/>
                    <w:vAlign w:val="center"/>
                  </w:tcPr>
                  <w:p>
                    <w:pPr>
                      <w:widowControl w:val="0"/>
                      <w:jc w:val="right"/>
                      <w:rPr>
                        <w:rFonts w:ascii="Times New Roman" w:hAnsi="Times New Roman" w:cs="Times New Roman"/>
                        <w:szCs w:val="21"/>
                      </w:rPr>
                    </w:pPr>
                    <w:r>
                      <w:rPr>
                        <w:rFonts w:hint="eastAsia" w:ascii="Times New Roman" w:hAnsi="Times New Roman" w:cs="Times New Roman"/>
                      </w:rPr>
                      <w:t>144.13</w:t>
                    </w:r>
                  </w:p>
                </w:tc>
                <w:tc>
                  <w:tcPr>
                    <w:tcW w:w="627" w:type="pct"/>
                    <w:vAlign w:val="center"/>
                  </w:tcPr>
                  <w:p>
                    <w:pPr>
                      <w:widowControl w:val="0"/>
                      <w:jc w:val="right"/>
                      <w:rPr>
                        <w:rFonts w:ascii="Times New Roman" w:hAnsi="Times New Roman" w:cs="Times New Roman"/>
                        <w:szCs w:val="21"/>
                      </w:rPr>
                    </w:pPr>
                    <w:r>
                      <w:rPr>
                        <w:rFonts w:hint="eastAsia" w:ascii="Times New Roman" w:cs="Times New Roman"/>
                      </w:rPr>
                      <w:t>减少</w:t>
                    </w:r>
                    <w:r>
                      <w:rPr>
                        <w:rFonts w:ascii="Times New Roman" w:cs="Times New Roman"/>
                      </w:rPr>
                      <w:t>8.30个百分点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258193d94b4f5fa47e482cd615784f"/>
                <w:id w:val="34667856"/>
                <w:lock w:val="sdtLocked"/>
              </w:sdtPr>
              <w:sdtContent>
                <w:tc>
                  <w:tcPr>
                    <w:tcW w:w="5000" w:type="pct"/>
                    <w:gridSpan w:val="10"/>
                    <w:vAlign w:val="center"/>
                  </w:tcPr>
                  <w:p>
                    <w:pPr>
                      <w:widowControl w:val="0"/>
                      <w:jc w:val="center"/>
                      <w:rPr>
                        <w:szCs w:val="21"/>
                      </w:rPr>
                    </w:pPr>
                    <w:r>
                      <w:rPr>
                        <w:szCs w:val="21"/>
                      </w:rPr>
                      <w:t>主营业务分产品情况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1d72749a5d4248359cb1b92e381ef722"/>
                <w:id w:val="34667857"/>
                <w:lock w:val="sdtLocked"/>
              </w:sdtPr>
              <w:sdtEndPr>
                <w:rPr>
                  <w:rFonts w:ascii="Times New Roman" w:hAnsi="Times New Roman"/>
                </w:rPr>
              </w:sdtEndPr>
              <w:sdtContent>
                <w:tc>
                  <w:tcPr>
                    <w:tcW w:w="765" w:type="pct"/>
                    <w:gridSpan w:val="2"/>
                    <w:vAlign w:val="center"/>
                  </w:tcPr>
                  <w:p>
                    <w:pPr>
                      <w:pStyle w:val="55"/>
                      <w:ind w:firstLine="0" w:firstLineChars="0"/>
                      <w:jc w:val="center"/>
                      <w:rPr>
                        <w:rFonts w:ascii="Times New Roman" w:hAnsi="Times New Roman"/>
                        <w:szCs w:val="21"/>
                      </w:rPr>
                    </w:pPr>
                    <w:r>
                      <w:rPr>
                        <w:rFonts w:ascii="Times New Roman"/>
                        <w:szCs w:val="21"/>
                      </w:rPr>
                      <w:t>分产品</w:t>
                    </w:r>
                  </w:p>
                </w:tc>
              </w:sdtContent>
            </w:sdt>
            <w:sdt>
              <w:sdtPr>
                <w:tag w:val="_PLD_5e318ae25ee540258ffd6821c201e0af"/>
                <w:id w:val="34667858"/>
                <w:lock w:val="sdtLocked"/>
              </w:sdtPr>
              <w:sdtContent>
                <w:tc>
                  <w:tcPr>
                    <w:tcW w:w="861" w:type="pct"/>
                    <w:gridSpan w:val="2"/>
                    <w:vAlign w:val="center"/>
                  </w:tcPr>
                  <w:p>
                    <w:pPr>
                      <w:widowControl w:val="0"/>
                      <w:jc w:val="center"/>
                      <w:rPr>
                        <w:szCs w:val="21"/>
                      </w:rPr>
                    </w:pPr>
                    <w:r>
                      <w:rPr>
                        <w:szCs w:val="21"/>
                      </w:rPr>
                      <w:t>营业收入</w:t>
                    </w:r>
                  </w:p>
                </w:tc>
              </w:sdtContent>
            </w:sdt>
            <w:sdt>
              <w:sdtPr>
                <w:tag w:val="_PLD_d7023b8e0b18494eaae569b7bcd4781f"/>
                <w:id w:val="34667859"/>
                <w:lock w:val="sdtLocked"/>
              </w:sdtPr>
              <w:sdtContent>
                <w:tc>
                  <w:tcPr>
                    <w:tcW w:w="940" w:type="pct"/>
                    <w:gridSpan w:val="2"/>
                    <w:vAlign w:val="center"/>
                  </w:tcPr>
                  <w:p>
                    <w:pPr>
                      <w:widowControl w:val="0"/>
                      <w:jc w:val="center"/>
                      <w:rPr>
                        <w:szCs w:val="21"/>
                      </w:rPr>
                    </w:pPr>
                    <w:r>
                      <w:rPr>
                        <w:szCs w:val="21"/>
                      </w:rPr>
                      <w:t>营业成本</w:t>
                    </w:r>
                  </w:p>
                </w:tc>
              </w:sdtContent>
            </w:sdt>
            <w:sdt>
              <w:sdtPr>
                <w:tag w:val="_PLD_c7e7c31f672744488b53ec34a4e0abde"/>
                <w:id w:val="34667860"/>
                <w:lock w:val="sdtLocked"/>
              </w:sdtPr>
              <w:sdtContent>
                <w:tc>
                  <w:tcPr>
                    <w:tcW w:w="549" w:type="pct"/>
                    <w:vAlign w:val="center"/>
                  </w:tcPr>
                  <w:p>
                    <w:pPr>
                      <w:widowControl w:val="0"/>
                      <w:jc w:val="center"/>
                      <w:rPr>
                        <w:szCs w:val="21"/>
                      </w:rPr>
                    </w:pPr>
                    <w:r>
                      <w:rPr>
                        <w:szCs w:val="21"/>
                      </w:rPr>
                      <w:t>毛利率（%）</w:t>
                    </w:r>
                  </w:p>
                </w:tc>
              </w:sdtContent>
            </w:sdt>
            <w:sdt>
              <w:sdtPr>
                <w:tag w:val="_PLD_0ca65e94b76d4933977b3fe13864caf2"/>
                <w:id w:val="34667861"/>
                <w:lock w:val="sdtLocked"/>
              </w:sdtPr>
              <w:sdtContent>
                <w:tc>
                  <w:tcPr>
                    <w:tcW w:w="629" w:type="pct"/>
                    <w:vAlign w:val="center"/>
                  </w:tcPr>
                  <w:p>
                    <w:pPr>
                      <w:widowControl w:val="0"/>
                      <w:jc w:val="center"/>
                      <w:rPr>
                        <w:szCs w:val="21"/>
                      </w:rPr>
                    </w:pPr>
                    <w:r>
                      <w:rPr>
                        <w:szCs w:val="21"/>
                      </w:rPr>
                      <w:t>营业收入比上年增减（%）</w:t>
                    </w:r>
                  </w:p>
                </w:tc>
              </w:sdtContent>
            </w:sdt>
            <w:sdt>
              <w:sdtPr>
                <w:tag w:val="_PLD_0fcddf8af1ce40e3bbe0b8e78c8c2496"/>
                <w:id w:val="34667862"/>
                <w:lock w:val="sdtLocked"/>
              </w:sdtPr>
              <w:sdtContent>
                <w:tc>
                  <w:tcPr>
                    <w:tcW w:w="629" w:type="pct"/>
                    <w:vAlign w:val="center"/>
                  </w:tcPr>
                  <w:p>
                    <w:pPr>
                      <w:widowControl w:val="0"/>
                      <w:jc w:val="center"/>
                      <w:rPr>
                        <w:szCs w:val="21"/>
                      </w:rPr>
                    </w:pPr>
                    <w:r>
                      <w:rPr>
                        <w:szCs w:val="21"/>
                      </w:rPr>
                      <w:t>营业成本比上年增减（%）</w:t>
                    </w:r>
                  </w:p>
                </w:tc>
              </w:sdtContent>
            </w:sdt>
            <w:sdt>
              <w:sdtPr>
                <w:tag w:val="_PLD_fd695ef26ff948df8cd16c66ef5ffea9"/>
                <w:id w:val="34667863"/>
                <w:lock w:val="sdtLocked"/>
              </w:sdtPr>
              <w:sdtContent>
                <w:tc>
                  <w:tcPr>
                    <w:tcW w:w="627" w:type="pct"/>
                    <w:vAlign w:val="center"/>
                  </w:tcPr>
                  <w:p>
                    <w:pPr>
                      <w:widowControl w:val="0"/>
                      <w:jc w:val="center"/>
                      <w:rPr>
                        <w:szCs w:val="21"/>
                      </w:rPr>
                    </w:pPr>
                    <w:r>
                      <w:rPr>
                        <w:szCs w:val="21"/>
                      </w:rPr>
                      <w:t>毛利率比上年增减（%）</w:t>
                    </w:r>
                  </w:p>
                </w:tc>
              </w:sdtContent>
            </w:sdt>
          </w:tr>
          <w:sdt>
            <w:sdtPr>
              <w:rPr>
                <w:rFonts w:ascii="Times New Roman" w:hAnsi="Times New Roman" w:eastAsiaTheme="minorEastAsia" w:cstheme="minorBidi"/>
                <w:kern w:val="0"/>
                <w:szCs w:val="21"/>
              </w:rPr>
              <w:alias w:val="董事会报告出具的分产品主营业务"/>
              <w:tag w:val="_TUP_f3827583cc4c4df6a57620f0c5061461"/>
              <w:id w:val="34667864"/>
              <w:lock w:val="sdtLocked"/>
            </w:sdtPr>
            <w:sdtEndPr>
              <w:rPr>
                <w:rFonts w:ascii="Times New Roman" w:hAnsi="Times New Roman" w:cs="Times New Roman"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gridSpan w:val="2"/>
                    <w:vAlign w:val="center"/>
                  </w:tcPr>
                  <w:p>
                    <w:pPr>
                      <w:pStyle w:val="55"/>
                      <w:ind w:firstLine="0" w:firstLineChars="0"/>
                      <w:rPr>
                        <w:rFonts w:ascii="Times New Roman" w:hAnsi="Times New Roman"/>
                        <w:szCs w:val="21"/>
                      </w:rPr>
                    </w:pPr>
                    <w:r>
                      <w:rPr>
                        <w:rFonts w:ascii="Times New Roman"/>
                      </w:rPr>
                      <w:t>日化产品</w:t>
                    </w:r>
                  </w:p>
                </w:tc>
                <w:tc>
                  <w:tcPr>
                    <w:tcW w:w="861" w:type="pct"/>
                    <w:gridSpan w:val="2"/>
                    <w:vAlign w:val="center"/>
                  </w:tcPr>
                  <w:p>
                    <w:pPr>
                      <w:widowControl w:val="0"/>
                      <w:jc w:val="right"/>
                      <w:rPr>
                        <w:rFonts w:ascii="Times New Roman" w:hAnsi="Times New Roman" w:cs="Times New Roman"/>
                        <w:szCs w:val="21"/>
                      </w:rPr>
                    </w:pPr>
                    <w:r>
                      <w:rPr>
                        <w:rFonts w:ascii="Times New Roman" w:hAnsi="Times New Roman" w:cs="Times New Roman"/>
                      </w:rPr>
                      <w:t>586,959,758.36</w:t>
                    </w:r>
                  </w:p>
                </w:tc>
                <w:tc>
                  <w:tcPr>
                    <w:tcW w:w="940" w:type="pct"/>
                    <w:gridSpan w:val="2"/>
                    <w:vAlign w:val="center"/>
                  </w:tcPr>
                  <w:p>
                    <w:pPr>
                      <w:widowControl w:val="0"/>
                      <w:jc w:val="right"/>
                      <w:rPr>
                        <w:rFonts w:ascii="Times New Roman" w:hAnsi="Times New Roman" w:cs="Times New Roman"/>
                        <w:szCs w:val="21"/>
                      </w:rPr>
                    </w:pPr>
                    <w:r>
                      <w:rPr>
                        <w:rFonts w:ascii="Times New Roman" w:hAnsi="Times New Roman" w:cs="Times New Roman"/>
                      </w:rPr>
                      <w:t>473,046,818.18</w:t>
                    </w:r>
                  </w:p>
                </w:tc>
                <w:tc>
                  <w:tcPr>
                    <w:tcW w:w="549" w:type="pct"/>
                    <w:vAlign w:val="center"/>
                  </w:tcPr>
                  <w:p>
                    <w:pPr>
                      <w:widowControl w:val="0"/>
                      <w:jc w:val="right"/>
                      <w:rPr>
                        <w:rFonts w:ascii="Times New Roman" w:hAnsi="Times New Roman" w:cs="Times New Roman"/>
                        <w:szCs w:val="21"/>
                      </w:rPr>
                    </w:pPr>
                    <w:r>
                      <w:rPr>
                        <w:rFonts w:ascii="Times New Roman" w:hAnsi="Times New Roman" w:cs="Times New Roman"/>
                      </w:rPr>
                      <w:t>19.41</w:t>
                    </w:r>
                  </w:p>
                </w:tc>
                <w:tc>
                  <w:tcPr>
                    <w:tcW w:w="629" w:type="pct"/>
                    <w:vAlign w:val="center"/>
                  </w:tcPr>
                  <w:p>
                    <w:pPr>
                      <w:widowControl w:val="0"/>
                      <w:jc w:val="right"/>
                      <w:rPr>
                        <w:rFonts w:ascii="Times New Roman" w:hAnsi="Times New Roman" w:cs="Times New Roman"/>
                        <w:szCs w:val="21"/>
                      </w:rPr>
                    </w:pPr>
                    <w:r>
                      <w:rPr>
                        <w:rFonts w:ascii="Times New Roman" w:hAnsi="Times New Roman" w:cs="Times New Roman"/>
                      </w:rPr>
                      <w:t>0.87</w:t>
                    </w:r>
                  </w:p>
                </w:tc>
                <w:tc>
                  <w:tcPr>
                    <w:tcW w:w="629" w:type="pct"/>
                    <w:vAlign w:val="center"/>
                  </w:tcPr>
                  <w:p>
                    <w:pPr>
                      <w:widowControl w:val="0"/>
                      <w:jc w:val="right"/>
                      <w:rPr>
                        <w:rFonts w:ascii="Times New Roman" w:hAnsi="Times New Roman" w:cs="Times New Roman"/>
                        <w:szCs w:val="21"/>
                      </w:rPr>
                    </w:pPr>
                    <w:r>
                      <w:rPr>
                        <w:rFonts w:hint="eastAsia" w:ascii="Times New Roman" w:hAnsi="Times New Roman" w:cs="Times New Roman"/>
                      </w:rPr>
                      <w:t>1.13</w:t>
                    </w:r>
                  </w:p>
                </w:tc>
                <w:tc>
                  <w:tcPr>
                    <w:tcW w:w="627" w:type="pct"/>
                    <w:vAlign w:val="center"/>
                  </w:tcPr>
                  <w:p>
                    <w:pPr>
                      <w:widowControl w:val="0"/>
                      <w:jc w:val="right"/>
                      <w:rPr>
                        <w:rFonts w:ascii="Times New Roman" w:hAnsi="Times New Roman" w:cs="Times New Roman"/>
                        <w:szCs w:val="21"/>
                      </w:rPr>
                    </w:pPr>
                    <w:r>
                      <w:rPr>
                        <w:rFonts w:ascii="Times New Roman" w:cs="Times New Roman"/>
                      </w:rPr>
                      <w:t>减少</w:t>
                    </w:r>
                    <w:r>
                      <w:rPr>
                        <w:rFonts w:ascii="Times New Roman" w:hAnsi="Times New Roman" w:cs="Times New Roman"/>
                      </w:rPr>
                      <w:t>3.22</w:t>
                    </w:r>
                    <w:r>
                      <w:rPr>
                        <w:rFonts w:ascii="Times New Roman" w:cs="Times New Roman"/>
                      </w:rPr>
                      <w:t>个百分点</w:t>
                    </w:r>
                  </w:p>
                </w:tc>
              </w:tr>
            </w:sdtContent>
          </w:sdt>
          <w:sdt>
            <w:sdtPr>
              <w:rPr>
                <w:rFonts w:ascii="Times New Roman" w:hAnsi="Times New Roman" w:eastAsiaTheme="minorEastAsia" w:cstheme="minorBidi"/>
                <w:kern w:val="0"/>
                <w:szCs w:val="21"/>
              </w:rPr>
              <w:alias w:val="董事会报告出具的分产品主营业务"/>
              <w:tag w:val="_TUP_f3827583cc4c4df6a57620f0c5061461"/>
              <w:id w:val="34667865"/>
              <w:lock w:val="sdtLocked"/>
            </w:sdtPr>
            <w:sdtEndPr>
              <w:rPr>
                <w:rFonts w:ascii="Times New Roman" w:hAnsi="Times New Roman" w:cs="Times New Roman"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gridSpan w:val="2"/>
                    <w:vAlign w:val="center"/>
                  </w:tcPr>
                  <w:p>
                    <w:pPr>
                      <w:pStyle w:val="55"/>
                      <w:ind w:firstLine="0" w:firstLineChars="0"/>
                      <w:rPr>
                        <w:rFonts w:ascii="Times New Roman" w:hAnsi="Times New Roman"/>
                        <w:szCs w:val="21"/>
                      </w:rPr>
                    </w:pPr>
                    <w:r>
                      <w:rPr>
                        <w:rFonts w:ascii="Times New Roman"/>
                      </w:rPr>
                      <w:t>药品</w:t>
                    </w:r>
                  </w:p>
                </w:tc>
                <w:tc>
                  <w:tcPr>
                    <w:tcW w:w="861" w:type="pct"/>
                    <w:gridSpan w:val="2"/>
                    <w:vAlign w:val="center"/>
                  </w:tcPr>
                  <w:p>
                    <w:pPr>
                      <w:widowControl w:val="0"/>
                      <w:jc w:val="right"/>
                      <w:rPr>
                        <w:rFonts w:ascii="Times New Roman" w:hAnsi="Times New Roman" w:cs="Times New Roman"/>
                        <w:szCs w:val="21"/>
                      </w:rPr>
                    </w:pPr>
                    <w:r>
                      <w:rPr>
                        <w:rFonts w:ascii="Times New Roman" w:hAnsi="Times New Roman" w:cs="Times New Roman"/>
                      </w:rPr>
                      <w:t>81,611,390.98</w:t>
                    </w:r>
                  </w:p>
                </w:tc>
                <w:tc>
                  <w:tcPr>
                    <w:tcW w:w="940" w:type="pct"/>
                    <w:gridSpan w:val="2"/>
                    <w:vAlign w:val="center"/>
                  </w:tcPr>
                  <w:p>
                    <w:pPr>
                      <w:widowControl w:val="0"/>
                      <w:jc w:val="right"/>
                      <w:rPr>
                        <w:rFonts w:ascii="Times New Roman" w:hAnsi="Times New Roman" w:cs="Times New Roman"/>
                        <w:szCs w:val="21"/>
                      </w:rPr>
                    </w:pPr>
                    <w:r>
                      <w:rPr>
                        <w:rFonts w:ascii="Times New Roman" w:hAnsi="Times New Roman" w:cs="Times New Roman"/>
                      </w:rPr>
                      <w:t>55,296,894.06</w:t>
                    </w:r>
                  </w:p>
                </w:tc>
                <w:tc>
                  <w:tcPr>
                    <w:tcW w:w="549" w:type="pct"/>
                    <w:vAlign w:val="center"/>
                  </w:tcPr>
                  <w:p>
                    <w:pPr>
                      <w:widowControl w:val="0"/>
                      <w:jc w:val="right"/>
                      <w:rPr>
                        <w:rFonts w:ascii="Times New Roman" w:hAnsi="Times New Roman" w:cs="Times New Roman"/>
                        <w:szCs w:val="21"/>
                      </w:rPr>
                    </w:pPr>
                    <w:r>
                      <w:rPr>
                        <w:rFonts w:ascii="Times New Roman" w:hAnsi="Times New Roman" w:cs="Times New Roman"/>
                      </w:rPr>
                      <w:t>32.24</w:t>
                    </w:r>
                  </w:p>
                </w:tc>
                <w:tc>
                  <w:tcPr>
                    <w:tcW w:w="629" w:type="pct"/>
                    <w:vAlign w:val="center"/>
                  </w:tcPr>
                  <w:p>
                    <w:pPr>
                      <w:widowControl w:val="0"/>
                      <w:jc w:val="right"/>
                      <w:rPr>
                        <w:rFonts w:ascii="Times New Roman" w:hAnsi="Times New Roman" w:cs="Times New Roman"/>
                        <w:szCs w:val="21"/>
                      </w:rPr>
                    </w:pPr>
                    <w:r>
                      <w:rPr>
                        <w:rFonts w:ascii="Times New Roman" w:hAnsi="Times New Roman" w:cs="Times New Roman"/>
                      </w:rPr>
                      <w:t>2.78</w:t>
                    </w:r>
                  </w:p>
                </w:tc>
                <w:tc>
                  <w:tcPr>
                    <w:tcW w:w="629" w:type="pct"/>
                    <w:vAlign w:val="center"/>
                  </w:tcPr>
                  <w:p>
                    <w:pPr>
                      <w:widowControl w:val="0"/>
                      <w:jc w:val="right"/>
                      <w:rPr>
                        <w:rFonts w:ascii="Times New Roman" w:hAnsi="Times New Roman" w:cs="Times New Roman"/>
                        <w:szCs w:val="21"/>
                      </w:rPr>
                    </w:pPr>
                    <w:r>
                      <w:rPr>
                        <w:rFonts w:hint="eastAsia" w:ascii="Times New Roman" w:hAnsi="Times New Roman" w:cs="Times New Roman"/>
                      </w:rPr>
                      <w:t>9.02</w:t>
                    </w:r>
                  </w:p>
                </w:tc>
                <w:tc>
                  <w:tcPr>
                    <w:tcW w:w="627" w:type="pct"/>
                    <w:vAlign w:val="center"/>
                  </w:tcPr>
                  <w:p>
                    <w:pPr>
                      <w:widowControl w:val="0"/>
                      <w:jc w:val="right"/>
                      <w:rPr>
                        <w:rFonts w:ascii="Times New Roman" w:hAnsi="Times New Roman" w:cs="Times New Roman"/>
                        <w:szCs w:val="21"/>
                      </w:rPr>
                    </w:pPr>
                    <w:r>
                      <w:rPr>
                        <w:rFonts w:ascii="Times New Roman" w:cs="Times New Roman"/>
                      </w:rPr>
                      <w:t>减少</w:t>
                    </w:r>
                    <w:r>
                      <w:rPr>
                        <w:rFonts w:ascii="Times New Roman" w:hAnsi="Times New Roman" w:cs="Times New Roman"/>
                      </w:rPr>
                      <w:t>5.36</w:t>
                    </w:r>
                    <w:r>
                      <w:rPr>
                        <w:rFonts w:ascii="Times New Roman" w:cs="Times New Roman"/>
                      </w:rPr>
                      <w:t>个百分点</w:t>
                    </w:r>
                  </w:p>
                </w:tc>
              </w:tr>
            </w:sdtContent>
          </w:sdt>
          <w:sdt>
            <w:sdtPr>
              <w:rPr>
                <w:rFonts w:ascii="Times New Roman" w:hAnsi="Times New Roman" w:eastAsiaTheme="minorEastAsia" w:cstheme="minorBidi"/>
                <w:kern w:val="0"/>
                <w:szCs w:val="21"/>
              </w:rPr>
              <w:alias w:val="董事会报告出具的分产品主营业务"/>
              <w:tag w:val="_TUP_f3827583cc4c4df6a57620f0c5061461"/>
              <w:id w:val="34667866"/>
              <w:lock w:val="sdtLocked"/>
            </w:sdtPr>
            <w:sdtEndPr>
              <w:rPr>
                <w:rFonts w:ascii="Times New Roman" w:hAnsi="Times New Roman" w:eastAsia="宋体" w:cs="Times New Roman"/>
                <w:kern w:val="0"/>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gridSpan w:val="2"/>
                    <w:vAlign w:val="center"/>
                  </w:tcPr>
                  <w:p>
                    <w:pPr>
                      <w:pStyle w:val="55"/>
                      <w:ind w:firstLine="0" w:firstLineChars="0"/>
                      <w:rPr>
                        <w:rFonts w:ascii="Times New Roman" w:hAnsi="Times New Roman" w:eastAsiaTheme="minorEastAsia"/>
                        <w:szCs w:val="21"/>
                      </w:rPr>
                    </w:pPr>
                    <w:r>
                      <w:rPr>
                        <w:rFonts w:ascii="Times New Roman"/>
                      </w:rPr>
                      <w:t>商业贸易</w:t>
                    </w:r>
                  </w:p>
                </w:tc>
                <w:tc>
                  <w:tcPr>
                    <w:tcW w:w="861" w:type="pct"/>
                    <w:gridSpan w:val="2"/>
                    <w:vAlign w:val="center"/>
                  </w:tcPr>
                  <w:p>
                    <w:pPr>
                      <w:widowControl w:val="0"/>
                      <w:jc w:val="right"/>
                      <w:rPr>
                        <w:rFonts w:ascii="Times New Roman" w:hAnsi="Times New Roman" w:cs="Times New Roman"/>
                      </w:rPr>
                    </w:pPr>
                    <w:r>
                      <w:rPr>
                        <w:rFonts w:ascii="Times New Roman" w:hAnsi="Times New Roman" w:cs="Times New Roman"/>
                      </w:rPr>
                      <w:t>40,552,449.19</w:t>
                    </w:r>
                  </w:p>
                </w:tc>
                <w:tc>
                  <w:tcPr>
                    <w:tcW w:w="940" w:type="pct"/>
                    <w:gridSpan w:val="2"/>
                    <w:vAlign w:val="center"/>
                  </w:tcPr>
                  <w:p>
                    <w:pPr>
                      <w:widowControl w:val="0"/>
                      <w:jc w:val="right"/>
                      <w:rPr>
                        <w:rFonts w:ascii="Times New Roman" w:hAnsi="Times New Roman" w:cs="Times New Roman"/>
                      </w:rPr>
                    </w:pPr>
                    <w:r>
                      <w:rPr>
                        <w:rFonts w:ascii="Times New Roman" w:hAnsi="Times New Roman" w:cs="Times New Roman"/>
                      </w:rPr>
                      <w:t>39,072,754.12</w:t>
                    </w:r>
                  </w:p>
                </w:tc>
                <w:tc>
                  <w:tcPr>
                    <w:tcW w:w="549" w:type="pct"/>
                    <w:vAlign w:val="center"/>
                  </w:tcPr>
                  <w:p>
                    <w:pPr>
                      <w:widowControl w:val="0"/>
                      <w:jc w:val="right"/>
                      <w:rPr>
                        <w:rFonts w:ascii="Times New Roman" w:hAnsi="Times New Roman" w:cs="Times New Roman"/>
                      </w:rPr>
                    </w:pPr>
                    <w:r>
                      <w:rPr>
                        <w:rFonts w:ascii="Times New Roman" w:hAnsi="Times New Roman" w:cs="Times New Roman"/>
                      </w:rPr>
                      <w:t>3.65</w:t>
                    </w:r>
                  </w:p>
                </w:tc>
                <w:tc>
                  <w:tcPr>
                    <w:tcW w:w="629" w:type="pct"/>
                    <w:vAlign w:val="center"/>
                  </w:tcPr>
                  <w:p>
                    <w:pPr>
                      <w:widowControl w:val="0"/>
                      <w:jc w:val="right"/>
                      <w:rPr>
                        <w:rFonts w:ascii="Times New Roman" w:hAnsi="Times New Roman" w:cs="Times New Roman"/>
                      </w:rPr>
                    </w:pPr>
                    <w:r>
                      <w:rPr>
                        <w:rFonts w:ascii="Times New Roman" w:hAnsi="Times New Roman" w:cs="Times New Roman"/>
                      </w:rPr>
                      <w:t>127.76</w:t>
                    </w:r>
                  </w:p>
                </w:tc>
                <w:tc>
                  <w:tcPr>
                    <w:tcW w:w="629" w:type="pct"/>
                    <w:vAlign w:val="center"/>
                  </w:tcPr>
                  <w:p>
                    <w:pPr>
                      <w:widowControl w:val="0"/>
                      <w:jc w:val="right"/>
                      <w:rPr>
                        <w:rFonts w:ascii="Times New Roman" w:hAnsi="Times New Roman" w:cs="Times New Roman"/>
                      </w:rPr>
                    </w:pPr>
                    <w:r>
                      <w:rPr>
                        <w:rFonts w:hint="eastAsia" w:ascii="Times New Roman" w:hAnsi="Times New Roman" w:cs="Times New Roman"/>
                      </w:rPr>
                      <w:t>144.13</w:t>
                    </w:r>
                  </w:p>
                </w:tc>
                <w:tc>
                  <w:tcPr>
                    <w:tcW w:w="627" w:type="pct"/>
                    <w:vAlign w:val="center"/>
                  </w:tcPr>
                  <w:p>
                    <w:pPr>
                      <w:widowControl w:val="0"/>
                      <w:jc w:val="right"/>
                      <w:rPr>
                        <w:rFonts w:ascii="Times New Roman" w:hAnsi="Times New Roman" w:cs="Times New Roman"/>
                      </w:rPr>
                    </w:pPr>
                    <w:r>
                      <w:rPr>
                        <w:rFonts w:ascii="Times New Roman" w:cs="Times New Roman"/>
                      </w:rPr>
                      <w:t>减少</w:t>
                    </w:r>
                    <w:r>
                      <w:rPr>
                        <w:rFonts w:ascii="Times New Roman" w:hAnsi="Times New Roman" w:cs="Times New Roman"/>
                      </w:rPr>
                      <w:t>8.30</w:t>
                    </w:r>
                    <w:r>
                      <w:rPr>
                        <w:rFonts w:ascii="Times New Roman" w:cs="Times New Roman"/>
                      </w:rPr>
                      <w:t>个百分点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e4b98c3f70c495d9eb9797ce0f7b5f6"/>
                <w:id w:val="34667867"/>
                <w:lock w:val="sdtLocked"/>
              </w:sdtPr>
              <w:sdtContent>
                <w:tc>
                  <w:tcPr>
                    <w:tcW w:w="5000" w:type="pct"/>
                    <w:gridSpan w:val="10"/>
                  </w:tcPr>
                  <w:p>
                    <w:pPr>
                      <w:widowControl w:val="0"/>
                      <w:jc w:val="center"/>
                      <w:rPr>
                        <w:szCs w:val="21"/>
                      </w:rPr>
                    </w:pPr>
                    <w:r>
                      <w:rPr>
                        <w:szCs w:val="21"/>
                      </w:rPr>
                      <w:t>主营业务分地区情况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d8ea3d867f4a97a5a66d059c2a507e"/>
                <w:id w:val="34667868"/>
                <w:lock w:val="sdtLocked"/>
              </w:sdtPr>
              <w:sdtContent>
                <w:tc>
                  <w:tcPr>
                    <w:tcW w:w="765" w:type="pct"/>
                    <w:gridSpan w:val="2"/>
                    <w:vAlign w:val="center"/>
                  </w:tcPr>
                  <w:p>
                    <w:pPr>
                      <w:widowControl w:val="0"/>
                      <w:jc w:val="center"/>
                      <w:rPr>
                        <w:szCs w:val="21"/>
                      </w:rPr>
                    </w:pPr>
                    <w:r>
                      <w:rPr>
                        <w:szCs w:val="21"/>
                      </w:rPr>
                      <w:t>分地区</w:t>
                    </w:r>
                  </w:p>
                </w:tc>
              </w:sdtContent>
            </w:sdt>
            <w:sdt>
              <w:sdtPr>
                <w:tag w:val="_PLD_d960c947c6424e2a87acbd6f4d534b0a"/>
                <w:id w:val="34667869"/>
                <w:lock w:val="sdtLocked"/>
              </w:sdtPr>
              <w:sdtContent>
                <w:tc>
                  <w:tcPr>
                    <w:tcW w:w="861" w:type="pct"/>
                    <w:gridSpan w:val="2"/>
                    <w:vAlign w:val="center"/>
                  </w:tcPr>
                  <w:p>
                    <w:pPr>
                      <w:widowControl w:val="0"/>
                      <w:jc w:val="center"/>
                      <w:rPr>
                        <w:szCs w:val="21"/>
                      </w:rPr>
                    </w:pPr>
                    <w:r>
                      <w:rPr>
                        <w:szCs w:val="21"/>
                      </w:rPr>
                      <w:t>营业收入</w:t>
                    </w:r>
                  </w:p>
                </w:tc>
              </w:sdtContent>
            </w:sdt>
            <w:sdt>
              <w:sdtPr>
                <w:tag w:val="_PLD_0cab657ed1664cda8d161069df0d4ffe"/>
                <w:id w:val="34667870"/>
                <w:lock w:val="sdtLocked"/>
              </w:sdtPr>
              <w:sdtContent>
                <w:tc>
                  <w:tcPr>
                    <w:tcW w:w="940" w:type="pct"/>
                    <w:gridSpan w:val="2"/>
                    <w:vAlign w:val="center"/>
                  </w:tcPr>
                  <w:p>
                    <w:pPr>
                      <w:widowControl w:val="0"/>
                      <w:jc w:val="center"/>
                      <w:rPr>
                        <w:szCs w:val="21"/>
                      </w:rPr>
                    </w:pPr>
                    <w:r>
                      <w:rPr>
                        <w:szCs w:val="21"/>
                      </w:rPr>
                      <w:t>营业成本</w:t>
                    </w:r>
                  </w:p>
                </w:tc>
              </w:sdtContent>
            </w:sdt>
            <w:sdt>
              <w:sdtPr>
                <w:tag w:val="_PLD_de52f565c0c94f5f8930a8d275890566"/>
                <w:id w:val="34667871"/>
                <w:lock w:val="sdtLocked"/>
              </w:sdtPr>
              <w:sdtContent>
                <w:tc>
                  <w:tcPr>
                    <w:tcW w:w="549" w:type="pct"/>
                    <w:vAlign w:val="center"/>
                  </w:tcPr>
                  <w:p>
                    <w:pPr>
                      <w:widowControl w:val="0"/>
                      <w:jc w:val="center"/>
                      <w:rPr>
                        <w:szCs w:val="21"/>
                      </w:rPr>
                    </w:pPr>
                    <w:r>
                      <w:rPr>
                        <w:szCs w:val="21"/>
                      </w:rPr>
                      <w:t>毛利率（%）</w:t>
                    </w:r>
                  </w:p>
                </w:tc>
              </w:sdtContent>
            </w:sdt>
            <w:sdt>
              <w:sdtPr>
                <w:tag w:val="_PLD_66acbff90fbb46ac8fc6c5840a2a1352"/>
                <w:id w:val="34667872"/>
                <w:lock w:val="sdtLocked"/>
              </w:sdtPr>
              <w:sdtContent>
                <w:tc>
                  <w:tcPr>
                    <w:tcW w:w="629" w:type="pct"/>
                    <w:vAlign w:val="center"/>
                  </w:tcPr>
                  <w:p>
                    <w:pPr>
                      <w:widowControl w:val="0"/>
                      <w:jc w:val="center"/>
                      <w:rPr>
                        <w:szCs w:val="21"/>
                      </w:rPr>
                    </w:pPr>
                    <w:r>
                      <w:rPr>
                        <w:szCs w:val="21"/>
                      </w:rPr>
                      <w:t>营业收入比上年增减（%）</w:t>
                    </w:r>
                  </w:p>
                </w:tc>
              </w:sdtContent>
            </w:sdt>
            <w:sdt>
              <w:sdtPr>
                <w:tag w:val="_PLD_24222e0fb06f4b87bb8e6a25bfc923a9"/>
                <w:id w:val="34667873"/>
                <w:lock w:val="sdtLocked"/>
              </w:sdtPr>
              <w:sdtContent>
                <w:tc>
                  <w:tcPr>
                    <w:tcW w:w="629" w:type="pct"/>
                    <w:vAlign w:val="center"/>
                  </w:tcPr>
                  <w:p>
                    <w:pPr>
                      <w:widowControl w:val="0"/>
                      <w:jc w:val="center"/>
                      <w:rPr>
                        <w:szCs w:val="21"/>
                      </w:rPr>
                    </w:pPr>
                    <w:r>
                      <w:rPr>
                        <w:szCs w:val="21"/>
                      </w:rPr>
                      <w:t>营业成本比上年增减（%）</w:t>
                    </w:r>
                  </w:p>
                </w:tc>
              </w:sdtContent>
            </w:sdt>
            <w:sdt>
              <w:sdtPr>
                <w:tag w:val="_PLD_055160da443c4e4a8c520dbbde5baec3"/>
                <w:id w:val="34667874"/>
                <w:lock w:val="sdtLocked"/>
              </w:sdtPr>
              <w:sdtContent>
                <w:tc>
                  <w:tcPr>
                    <w:tcW w:w="627" w:type="pct"/>
                    <w:vAlign w:val="center"/>
                  </w:tcPr>
                  <w:p>
                    <w:pPr>
                      <w:widowControl w:val="0"/>
                      <w:jc w:val="center"/>
                      <w:rPr>
                        <w:szCs w:val="21"/>
                      </w:rPr>
                    </w:pPr>
                    <w:r>
                      <w:rPr>
                        <w:szCs w:val="21"/>
                      </w:rPr>
                      <w:t>毛利率比上年增减（%）</w:t>
                    </w:r>
                  </w:p>
                </w:tc>
              </w:sdtContent>
            </w:sdt>
          </w:tr>
          <w:sdt>
            <w:sdtPr>
              <w:rPr>
                <w:rFonts w:ascii="Times New Roman" w:hAnsi="Times New Roman" w:eastAsiaTheme="minorEastAsia" w:cstheme="minorBidi"/>
                <w:kern w:val="0"/>
                <w:szCs w:val="21"/>
              </w:rPr>
              <w:alias w:val="董事会报告出具的分地区主营业务"/>
              <w:tag w:val="_TUP_0f1c163f212246d99030500182c6a741"/>
              <w:id w:val="34667875"/>
              <w:lock w:val="sdtLocked"/>
            </w:sdtPr>
            <w:sdtEndPr>
              <w:rPr>
                <w:rFonts w:ascii="Times New Roman" w:hAnsi="Times New Roman" w:cs="Times New Roman"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gridSpan w:val="2"/>
                    <w:vAlign w:val="center"/>
                  </w:tcPr>
                  <w:p>
                    <w:pPr>
                      <w:pStyle w:val="55"/>
                      <w:ind w:firstLine="0" w:firstLineChars="0"/>
                      <w:rPr>
                        <w:rFonts w:ascii="Times New Roman" w:hAnsi="Times New Roman"/>
                        <w:szCs w:val="21"/>
                      </w:rPr>
                    </w:pPr>
                    <w:r>
                      <w:rPr>
                        <w:rFonts w:ascii="Times New Roman"/>
                      </w:rPr>
                      <w:t>国内</w:t>
                    </w:r>
                  </w:p>
                </w:tc>
                <w:tc>
                  <w:tcPr>
                    <w:tcW w:w="861" w:type="pct"/>
                    <w:gridSpan w:val="2"/>
                    <w:vAlign w:val="center"/>
                  </w:tcPr>
                  <w:p>
                    <w:pPr>
                      <w:widowControl w:val="0"/>
                      <w:jc w:val="right"/>
                      <w:rPr>
                        <w:rFonts w:ascii="Times New Roman" w:hAnsi="Times New Roman" w:cs="Times New Roman"/>
                        <w:sz w:val="24"/>
                      </w:rPr>
                    </w:pPr>
                    <w:r>
                      <w:rPr>
                        <w:rFonts w:ascii="Times New Roman" w:hAnsi="Times New Roman" w:cs="Times New Roman"/>
                      </w:rPr>
                      <w:t>660,898,632.30</w:t>
                    </w:r>
                  </w:p>
                </w:tc>
                <w:tc>
                  <w:tcPr>
                    <w:tcW w:w="940" w:type="pct"/>
                    <w:gridSpan w:val="2"/>
                    <w:vAlign w:val="center"/>
                  </w:tcPr>
                  <w:p>
                    <w:pPr>
                      <w:widowControl w:val="0"/>
                      <w:jc w:val="right"/>
                      <w:rPr>
                        <w:rFonts w:ascii="Times New Roman" w:hAnsi="Times New Roman" w:cs="Times New Roman"/>
                        <w:sz w:val="24"/>
                      </w:rPr>
                    </w:pPr>
                    <w:r>
                      <w:rPr>
                        <w:rFonts w:ascii="Times New Roman" w:hAnsi="Times New Roman" w:cs="Times New Roman"/>
                      </w:rPr>
                      <w:t>525,324,509.40</w:t>
                    </w:r>
                  </w:p>
                </w:tc>
                <w:tc>
                  <w:tcPr>
                    <w:tcW w:w="549" w:type="pct"/>
                    <w:vAlign w:val="center"/>
                  </w:tcPr>
                  <w:p>
                    <w:pPr>
                      <w:widowControl w:val="0"/>
                      <w:jc w:val="right"/>
                      <w:rPr>
                        <w:rFonts w:ascii="Times New Roman" w:hAnsi="Times New Roman" w:cs="Times New Roman"/>
                        <w:szCs w:val="21"/>
                      </w:rPr>
                    </w:pPr>
                    <w:r>
                      <w:rPr>
                        <w:rFonts w:ascii="Times New Roman" w:hAnsi="Times New Roman" w:cs="Times New Roman"/>
                      </w:rPr>
                      <w:t>20.51</w:t>
                    </w:r>
                  </w:p>
                </w:tc>
                <w:tc>
                  <w:tcPr>
                    <w:tcW w:w="629" w:type="pct"/>
                    <w:vAlign w:val="center"/>
                  </w:tcPr>
                  <w:p>
                    <w:pPr>
                      <w:widowControl w:val="0"/>
                      <w:jc w:val="right"/>
                      <w:rPr>
                        <w:rFonts w:ascii="Times New Roman" w:hAnsi="Times New Roman" w:cs="Times New Roman"/>
                        <w:szCs w:val="21"/>
                      </w:rPr>
                    </w:pPr>
                    <w:r>
                      <w:rPr>
                        <w:rFonts w:ascii="Times New Roman" w:hAnsi="Times New Roman" w:cs="Times New Roman"/>
                      </w:rPr>
                      <w:t>2.77</w:t>
                    </w:r>
                  </w:p>
                </w:tc>
                <w:tc>
                  <w:tcPr>
                    <w:tcW w:w="629" w:type="pct"/>
                    <w:vAlign w:val="center"/>
                  </w:tcPr>
                  <w:p>
                    <w:pPr>
                      <w:widowControl w:val="0"/>
                      <w:jc w:val="right"/>
                      <w:rPr>
                        <w:rFonts w:ascii="Times New Roman" w:hAnsi="Times New Roman" w:cs="Times New Roman"/>
                        <w:szCs w:val="21"/>
                      </w:rPr>
                    </w:pPr>
                    <w:r>
                      <w:rPr>
                        <w:rFonts w:hint="eastAsia" w:ascii="Times New Roman" w:hAnsi="Times New Roman" w:cs="Times New Roman"/>
                      </w:rPr>
                      <w:t>4.19</w:t>
                    </w:r>
                  </w:p>
                </w:tc>
                <w:tc>
                  <w:tcPr>
                    <w:tcW w:w="627" w:type="pct"/>
                    <w:vAlign w:val="center"/>
                  </w:tcPr>
                  <w:p>
                    <w:pPr>
                      <w:widowControl w:val="0"/>
                      <w:jc w:val="right"/>
                      <w:rPr>
                        <w:rFonts w:ascii="Times New Roman" w:hAnsi="Times New Roman" w:cs="Times New Roman"/>
                        <w:szCs w:val="21"/>
                      </w:rPr>
                    </w:pPr>
                    <w:r>
                      <w:rPr>
                        <w:rFonts w:ascii="Times New Roman" w:cs="Times New Roman"/>
                      </w:rPr>
                      <w:t>减少</w:t>
                    </w:r>
                    <w:r>
                      <w:rPr>
                        <w:rFonts w:ascii="Times New Roman" w:hAnsi="Times New Roman" w:cs="Times New Roman"/>
                      </w:rPr>
                      <w:t>4.06</w:t>
                    </w:r>
                    <w:r>
                      <w:rPr>
                        <w:rFonts w:ascii="Times New Roman" w:cs="Times New Roman"/>
                      </w:rPr>
                      <w:t>个百分点</w:t>
                    </w:r>
                  </w:p>
                </w:tc>
              </w:tr>
            </w:sdtContent>
          </w:sdt>
          <w:sdt>
            <w:sdtPr>
              <w:rPr>
                <w:rFonts w:ascii="Times New Roman" w:hAnsi="Times New Roman" w:eastAsiaTheme="minorEastAsia" w:cstheme="minorBidi"/>
                <w:kern w:val="0"/>
                <w:szCs w:val="21"/>
              </w:rPr>
              <w:alias w:val="董事会报告出具的分地区主营业务"/>
              <w:tag w:val="_TUP_0f1c163f212246d99030500182c6a741"/>
              <w:id w:val="34667876"/>
              <w:lock w:val="sdtLocked"/>
            </w:sdtPr>
            <w:sdtEndPr>
              <w:rPr>
                <w:rFonts w:ascii="Times New Roman" w:hAnsi="Times New Roman" w:cs="Times New Roman"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gridSpan w:val="2"/>
                    <w:vAlign w:val="center"/>
                  </w:tcPr>
                  <w:p>
                    <w:pPr>
                      <w:pStyle w:val="55"/>
                      <w:ind w:firstLine="0" w:firstLineChars="0"/>
                      <w:rPr>
                        <w:rFonts w:ascii="Times New Roman" w:hAnsi="Times New Roman"/>
                        <w:szCs w:val="21"/>
                      </w:rPr>
                    </w:pPr>
                    <w:r>
                      <w:rPr>
                        <w:rFonts w:ascii="Times New Roman"/>
                      </w:rPr>
                      <w:t>国外</w:t>
                    </w:r>
                  </w:p>
                </w:tc>
                <w:tc>
                  <w:tcPr>
                    <w:tcW w:w="861" w:type="pct"/>
                    <w:gridSpan w:val="2"/>
                    <w:vAlign w:val="center"/>
                  </w:tcPr>
                  <w:p>
                    <w:pPr>
                      <w:widowControl w:val="0"/>
                      <w:jc w:val="right"/>
                      <w:rPr>
                        <w:rFonts w:ascii="Times New Roman" w:hAnsi="Times New Roman" w:cs="Times New Roman"/>
                        <w:sz w:val="24"/>
                      </w:rPr>
                    </w:pPr>
                    <w:r>
                      <w:rPr>
                        <w:rFonts w:ascii="Times New Roman" w:hAnsi="Times New Roman" w:cs="Times New Roman"/>
                      </w:rPr>
                      <w:t>48,224,966.23</w:t>
                    </w:r>
                  </w:p>
                </w:tc>
                <w:tc>
                  <w:tcPr>
                    <w:tcW w:w="940" w:type="pct"/>
                    <w:gridSpan w:val="2"/>
                    <w:vAlign w:val="center"/>
                  </w:tcPr>
                  <w:p>
                    <w:pPr>
                      <w:widowControl w:val="0"/>
                      <w:jc w:val="right"/>
                      <w:rPr>
                        <w:rFonts w:ascii="Times New Roman" w:hAnsi="Times New Roman" w:cs="Times New Roman"/>
                        <w:sz w:val="24"/>
                      </w:rPr>
                    </w:pPr>
                    <w:r>
                      <w:rPr>
                        <w:rFonts w:ascii="Times New Roman" w:hAnsi="Times New Roman" w:cs="Times New Roman"/>
                      </w:rPr>
                      <w:t>42,091,956.96</w:t>
                    </w:r>
                  </w:p>
                </w:tc>
                <w:tc>
                  <w:tcPr>
                    <w:tcW w:w="549" w:type="pct"/>
                    <w:vAlign w:val="center"/>
                  </w:tcPr>
                  <w:p>
                    <w:pPr>
                      <w:widowControl w:val="0"/>
                      <w:jc w:val="right"/>
                      <w:rPr>
                        <w:rFonts w:ascii="Times New Roman" w:hAnsi="Times New Roman" w:cs="Times New Roman"/>
                        <w:szCs w:val="21"/>
                      </w:rPr>
                    </w:pPr>
                    <w:r>
                      <w:rPr>
                        <w:rFonts w:ascii="Times New Roman" w:hAnsi="Times New Roman" w:cs="Times New Roman"/>
                      </w:rPr>
                      <w:t>12.72</w:t>
                    </w:r>
                  </w:p>
                </w:tc>
                <w:tc>
                  <w:tcPr>
                    <w:tcW w:w="629" w:type="pct"/>
                    <w:vAlign w:val="center"/>
                  </w:tcPr>
                  <w:p>
                    <w:pPr>
                      <w:widowControl w:val="0"/>
                      <w:jc w:val="right"/>
                      <w:rPr>
                        <w:rFonts w:ascii="Times New Roman" w:hAnsi="Times New Roman" w:cs="Times New Roman"/>
                        <w:szCs w:val="21"/>
                      </w:rPr>
                    </w:pPr>
                    <w:r>
                      <w:rPr>
                        <w:rFonts w:ascii="Times New Roman" w:hAnsi="Times New Roman" w:cs="Times New Roman"/>
                      </w:rPr>
                      <w:t>33.95</w:t>
                    </w:r>
                  </w:p>
                </w:tc>
                <w:tc>
                  <w:tcPr>
                    <w:tcW w:w="629" w:type="pct"/>
                    <w:vAlign w:val="center"/>
                  </w:tcPr>
                  <w:p>
                    <w:pPr>
                      <w:widowControl w:val="0"/>
                      <w:jc w:val="right"/>
                      <w:rPr>
                        <w:rFonts w:ascii="Times New Roman" w:hAnsi="Times New Roman" w:cs="Times New Roman"/>
                        <w:szCs w:val="21"/>
                      </w:rPr>
                    </w:pPr>
                    <w:r>
                      <w:rPr>
                        <w:rFonts w:ascii="Times New Roman" w:hAnsi="Times New Roman" w:cs="Times New Roman"/>
                      </w:rPr>
                      <w:t>38.82</w:t>
                    </w:r>
                  </w:p>
                </w:tc>
                <w:tc>
                  <w:tcPr>
                    <w:tcW w:w="627" w:type="pct"/>
                    <w:vAlign w:val="center"/>
                  </w:tcPr>
                  <w:p>
                    <w:pPr>
                      <w:widowControl w:val="0"/>
                      <w:jc w:val="right"/>
                      <w:rPr>
                        <w:rFonts w:ascii="Times New Roman" w:hAnsi="Times New Roman" w:cs="Times New Roman"/>
                        <w:szCs w:val="21"/>
                      </w:rPr>
                    </w:pPr>
                    <w:r>
                      <w:rPr>
                        <w:rFonts w:ascii="Times New Roman" w:cs="Times New Roman"/>
                      </w:rPr>
                      <w:t>减少</w:t>
                    </w:r>
                    <w:r>
                      <w:rPr>
                        <w:rFonts w:ascii="Times New Roman" w:hAnsi="Times New Roman" w:cs="Times New Roman"/>
                      </w:rPr>
                      <w:t>3.06</w:t>
                    </w:r>
                    <w:r>
                      <w:rPr>
                        <w:rFonts w:ascii="Times New Roman" w:cs="Times New Roman"/>
                      </w:rPr>
                      <w:t>个百分点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tcPr>
              <w:p>
                <w:pPr>
                  <w:widowControl w:val="0"/>
                  <w:jc w:val="center"/>
                  <w:rPr>
                    <w:szCs w:val="21"/>
                  </w:rPr>
                </w:pPr>
                <w:sdt>
                  <w:sdtPr>
                    <w:rPr>
                      <w:szCs w:val="21"/>
                      <w:shd w:val="solid" w:color="FFFFFF" w:fill="auto"/>
                    </w:rPr>
                    <w:tag w:val="_PLD_4be57b876a364ef5aee49673f139ef4a"/>
                    <w:id w:val="34667877"/>
                    <w:lock w:val="sdtLocked"/>
                  </w:sdtPr>
                  <w:sdtEndPr>
                    <w:rPr>
                      <w:szCs w:val="21"/>
                      <w:shd w:val="solid" w:color="FFFFFF" w:fill="auto"/>
                    </w:rPr>
                  </w:sdtEndPr>
                  <w:sdtContent>
                    <w:r>
                      <w:rPr>
                        <w:szCs w:val="21"/>
                        <w:shd w:val="solid" w:color="FFFFFF" w:fill="auto"/>
                      </w:rPr>
                      <w:t>主营业务分销售模式情况</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Cs w:val="21"/>
                </w:rPr>
                <w:tag w:val="_PLD_fe8c7b7bf3a444db814cf5c56b1b72e0"/>
                <w:id w:val="34667878"/>
                <w:lock w:val="sdtLocked"/>
              </w:sdtPr>
              <w:sdtEndPr>
                <w:rPr>
                  <w:rFonts w:ascii="Times New Roman" w:hAnsi="Times New Roman"/>
                  <w:szCs w:val="21"/>
                </w:rPr>
              </w:sdtEndPr>
              <w:sdtContent>
                <w:tc>
                  <w:tcPr>
                    <w:tcW w:w="630" w:type="pct"/>
                    <w:vAlign w:val="center"/>
                  </w:tcPr>
                  <w:p>
                    <w:pPr>
                      <w:pStyle w:val="55"/>
                      <w:ind w:firstLine="0" w:firstLineChars="0"/>
                      <w:jc w:val="center"/>
                      <w:rPr>
                        <w:rFonts w:ascii="Times New Roman" w:hAnsi="Times New Roman"/>
                        <w:szCs w:val="21"/>
                      </w:rPr>
                    </w:pPr>
                    <w:r>
                      <w:rPr>
                        <w:rFonts w:ascii="Times New Roman" w:hAnsi="宋体"/>
                        <w:szCs w:val="21"/>
                      </w:rPr>
                      <w:t>销售模式</w:t>
                    </w:r>
                  </w:p>
                </w:tc>
              </w:sdtContent>
            </w:sdt>
            <w:sdt>
              <w:sdtPr>
                <w:rPr>
                  <w:rFonts w:ascii="Times New Roman" w:hAnsi="Times New Roman"/>
                  <w:szCs w:val="21"/>
                </w:rPr>
                <w:tag w:val="_PLD_a8a3a2b010534c9d820c7f9b6fd92caf"/>
                <w:id w:val="34667879"/>
                <w:lock w:val="sdtLocked"/>
              </w:sdtPr>
              <w:sdtEndPr>
                <w:rPr>
                  <w:rFonts w:ascii="Times New Roman" w:hAnsi="Times New Roman"/>
                  <w:szCs w:val="21"/>
                </w:rPr>
              </w:sdtEndPr>
              <w:sdtContent>
                <w:tc>
                  <w:tcPr>
                    <w:tcW w:w="932" w:type="pct"/>
                    <w:gridSpan w:val="2"/>
                    <w:vAlign w:val="center"/>
                  </w:tcPr>
                  <w:p>
                    <w:pPr>
                      <w:widowControl w:val="0"/>
                      <w:jc w:val="center"/>
                      <w:rPr>
                        <w:szCs w:val="21"/>
                      </w:rPr>
                    </w:pPr>
                    <w:r>
                      <w:rPr>
                        <w:szCs w:val="21"/>
                      </w:rPr>
                      <w:t>营业收入</w:t>
                    </w:r>
                  </w:p>
                </w:tc>
              </w:sdtContent>
            </w:sdt>
            <w:sdt>
              <w:sdtPr>
                <w:rPr>
                  <w:rFonts w:ascii="Times New Roman" w:hAnsi="Times New Roman"/>
                  <w:szCs w:val="21"/>
                </w:rPr>
                <w:tag w:val="_PLD_cc237396dacd4c16b49a8294763c220b"/>
                <w:id w:val="34667880"/>
                <w:lock w:val="sdtLocked"/>
              </w:sdtPr>
              <w:sdtEndPr>
                <w:rPr>
                  <w:rFonts w:ascii="Times New Roman" w:hAnsi="Times New Roman"/>
                  <w:szCs w:val="21"/>
                </w:rPr>
              </w:sdtEndPr>
              <w:sdtContent>
                <w:tc>
                  <w:tcPr>
                    <w:tcW w:w="932" w:type="pct"/>
                    <w:gridSpan w:val="2"/>
                    <w:vAlign w:val="center"/>
                  </w:tcPr>
                  <w:p>
                    <w:pPr>
                      <w:widowControl w:val="0"/>
                      <w:jc w:val="center"/>
                      <w:rPr>
                        <w:szCs w:val="21"/>
                      </w:rPr>
                    </w:pPr>
                    <w:r>
                      <w:rPr>
                        <w:szCs w:val="21"/>
                      </w:rPr>
                      <w:t>营业成本</w:t>
                    </w:r>
                  </w:p>
                </w:tc>
              </w:sdtContent>
            </w:sdt>
            <w:sdt>
              <w:sdtPr>
                <w:rPr>
                  <w:rFonts w:ascii="Times New Roman" w:hAnsi="Times New Roman"/>
                  <w:szCs w:val="21"/>
                </w:rPr>
                <w:tag w:val="_PLD_941b22ab04a244cdbd8aa22ae424dacb"/>
                <w:id w:val="34667881"/>
                <w:lock w:val="sdtLocked"/>
              </w:sdtPr>
              <w:sdtEndPr>
                <w:rPr>
                  <w:rFonts w:ascii="Times New Roman" w:hAnsi="Times New Roman"/>
                  <w:szCs w:val="21"/>
                </w:rPr>
              </w:sdtEndPr>
              <w:sdtContent>
                <w:tc>
                  <w:tcPr>
                    <w:tcW w:w="621" w:type="pct"/>
                    <w:gridSpan w:val="2"/>
                    <w:vAlign w:val="center"/>
                  </w:tcPr>
                  <w:p>
                    <w:pPr>
                      <w:widowControl w:val="0"/>
                      <w:jc w:val="center"/>
                      <w:rPr>
                        <w:szCs w:val="21"/>
                      </w:rPr>
                    </w:pPr>
                    <w:r>
                      <w:rPr>
                        <w:szCs w:val="21"/>
                      </w:rPr>
                      <w:t>毛利率（%）</w:t>
                    </w:r>
                  </w:p>
                </w:tc>
              </w:sdtContent>
            </w:sdt>
            <w:sdt>
              <w:sdtPr>
                <w:rPr>
                  <w:rFonts w:ascii="Times New Roman" w:hAnsi="Times New Roman"/>
                  <w:szCs w:val="21"/>
                </w:rPr>
                <w:tag w:val="_PLD_e219c48b013d406696797c069f5c1054"/>
                <w:id w:val="34667882"/>
                <w:lock w:val="sdtLocked"/>
              </w:sdtPr>
              <w:sdtEndPr>
                <w:rPr>
                  <w:rFonts w:ascii="Times New Roman" w:hAnsi="Times New Roman"/>
                  <w:szCs w:val="21"/>
                </w:rPr>
              </w:sdtEndPr>
              <w:sdtContent>
                <w:tc>
                  <w:tcPr>
                    <w:tcW w:w="629" w:type="pct"/>
                    <w:vAlign w:val="center"/>
                  </w:tcPr>
                  <w:p>
                    <w:pPr>
                      <w:widowControl w:val="0"/>
                      <w:jc w:val="center"/>
                      <w:rPr>
                        <w:szCs w:val="21"/>
                      </w:rPr>
                    </w:pPr>
                    <w:r>
                      <w:rPr>
                        <w:szCs w:val="21"/>
                      </w:rPr>
                      <w:t>营业收入比上年增减（%）</w:t>
                    </w:r>
                  </w:p>
                </w:tc>
              </w:sdtContent>
            </w:sdt>
            <w:sdt>
              <w:sdtPr>
                <w:rPr>
                  <w:rFonts w:ascii="Times New Roman" w:hAnsi="Times New Roman"/>
                  <w:szCs w:val="21"/>
                </w:rPr>
                <w:tag w:val="_PLD_ea6dd0b86c3c4f81ac1d0aab660982a0"/>
                <w:id w:val="34667883"/>
                <w:lock w:val="sdtLocked"/>
              </w:sdtPr>
              <w:sdtEndPr>
                <w:rPr>
                  <w:rFonts w:ascii="Times New Roman" w:hAnsi="Times New Roman"/>
                  <w:szCs w:val="21"/>
                </w:rPr>
              </w:sdtEndPr>
              <w:sdtContent>
                <w:tc>
                  <w:tcPr>
                    <w:tcW w:w="629" w:type="pct"/>
                    <w:vAlign w:val="center"/>
                  </w:tcPr>
                  <w:p>
                    <w:pPr>
                      <w:widowControl w:val="0"/>
                      <w:jc w:val="center"/>
                      <w:rPr>
                        <w:szCs w:val="21"/>
                      </w:rPr>
                    </w:pPr>
                    <w:r>
                      <w:rPr>
                        <w:szCs w:val="21"/>
                      </w:rPr>
                      <w:t>营业成本比上年增减（%）</w:t>
                    </w:r>
                  </w:p>
                </w:tc>
              </w:sdtContent>
            </w:sdt>
            <w:sdt>
              <w:sdtPr>
                <w:rPr>
                  <w:rFonts w:ascii="Times New Roman" w:hAnsi="Times New Roman"/>
                  <w:szCs w:val="21"/>
                </w:rPr>
                <w:tag w:val="_PLD_b228d83849d948259a50feeb3c8039e4"/>
                <w:id w:val="34667884"/>
                <w:lock w:val="sdtLocked"/>
              </w:sdtPr>
              <w:sdtEndPr>
                <w:rPr>
                  <w:rFonts w:ascii="Times New Roman" w:hAnsi="Times New Roman"/>
                  <w:szCs w:val="21"/>
                </w:rPr>
              </w:sdtEndPr>
              <w:sdtContent>
                <w:tc>
                  <w:tcPr>
                    <w:tcW w:w="627" w:type="pct"/>
                    <w:vAlign w:val="center"/>
                  </w:tcPr>
                  <w:p>
                    <w:pPr>
                      <w:widowControl w:val="0"/>
                      <w:jc w:val="center"/>
                      <w:rPr>
                        <w:szCs w:val="21"/>
                      </w:rPr>
                    </w:pPr>
                    <w:r>
                      <w:rPr>
                        <w:szCs w:val="21"/>
                      </w:rPr>
                      <w:t>毛利率比上年增减（%）</w:t>
                    </w:r>
                  </w:p>
                </w:tc>
              </w:sdtContent>
            </w:sdt>
          </w:tr>
          <w:sdt>
            <w:sdtPr>
              <w:rPr>
                <w:rFonts w:ascii="Times New Roman" w:hAnsi="Times New Roman" w:eastAsiaTheme="minorEastAsia" w:cstheme="minorBidi"/>
                <w:kern w:val="0"/>
                <w:szCs w:val="21"/>
              </w:rPr>
              <w:alias w:val="主营业务按销售模式情况明细"/>
              <w:tag w:val="_TUP_b18af0e5ce6b494485a511064f55de99"/>
              <w:id w:val="34667885"/>
              <w:lock w:val="sdtLocked"/>
            </w:sdtPr>
            <w:sdtEndPr>
              <w:rPr>
                <w:rFonts w:ascii="Times New Roman" w:hAnsi="Times New Roman" w:cs="Times New Roman"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pPr>
                      <w:pStyle w:val="55"/>
                      <w:ind w:firstLine="0" w:firstLineChars="0"/>
                      <w:rPr>
                        <w:rFonts w:ascii="Times New Roman" w:hAnsi="Times New Roman"/>
                        <w:szCs w:val="21"/>
                      </w:rPr>
                    </w:pPr>
                    <w:r>
                      <w:t>线上</w:t>
                    </w:r>
                  </w:p>
                </w:tc>
                <w:tc>
                  <w:tcPr>
                    <w:tcW w:w="932" w:type="pct"/>
                    <w:gridSpan w:val="2"/>
                    <w:vAlign w:val="center"/>
                  </w:tcPr>
                  <w:p>
                    <w:pPr>
                      <w:widowControl w:val="0"/>
                      <w:jc w:val="right"/>
                      <w:rPr>
                        <w:rFonts w:ascii="Times New Roman" w:hAnsi="Times New Roman" w:cs="Times New Roman"/>
                        <w:szCs w:val="21"/>
                      </w:rPr>
                    </w:pPr>
                    <w:r>
                      <w:rPr>
                        <w:rFonts w:ascii="Times New Roman" w:hAnsi="Times New Roman" w:cs="Times New Roman"/>
                      </w:rPr>
                      <w:t>18,528,242.77</w:t>
                    </w:r>
                  </w:p>
                </w:tc>
                <w:tc>
                  <w:tcPr>
                    <w:tcW w:w="932" w:type="pct"/>
                    <w:gridSpan w:val="2"/>
                    <w:vAlign w:val="center"/>
                  </w:tcPr>
                  <w:p>
                    <w:pPr>
                      <w:widowControl w:val="0"/>
                      <w:jc w:val="right"/>
                      <w:rPr>
                        <w:rFonts w:ascii="Times New Roman" w:hAnsi="Times New Roman" w:cs="Times New Roman"/>
                        <w:szCs w:val="21"/>
                      </w:rPr>
                    </w:pPr>
                    <w:r>
                      <w:rPr>
                        <w:rFonts w:ascii="Times New Roman" w:hAnsi="Times New Roman" w:cs="Times New Roman"/>
                      </w:rPr>
                      <w:t>8,000,359.09</w:t>
                    </w:r>
                  </w:p>
                </w:tc>
                <w:tc>
                  <w:tcPr>
                    <w:tcW w:w="621" w:type="pct"/>
                    <w:gridSpan w:val="2"/>
                    <w:vAlign w:val="center"/>
                  </w:tcPr>
                  <w:p>
                    <w:pPr>
                      <w:widowControl w:val="0"/>
                      <w:jc w:val="right"/>
                      <w:rPr>
                        <w:rFonts w:ascii="Times New Roman" w:hAnsi="Times New Roman" w:cs="Times New Roman"/>
                        <w:szCs w:val="21"/>
                      </w:rPr>
                    </w:pPr>
                    <w:r>
                      <w:rPr>
                        <w:rFonts w:ascii="Times New Roman" w:hAnsi="Times New Roman" w:cs="Times New Roman"/>
                      </w:rPr>
                      <w:t>56.82</w:t>
                    </w:r>
                  </w:p>
                </w:tc>
                <w:tc>
                  <w:tcPr>
                    <w:tcW w:w="629" w:type="pct"/>
                    <w:vAlign w:val="center"/>
                  </w:tcPr>
                  <w:p>
                    <w:pPr>
                      <w:widowControl w:val="0"/>
                      <w:jc w:val="right"/>
                      <w:rPr>
                        <w:rFonts w:ascii="Times New Roman" w:hAnsi="Times New Roman" w:cs="Times New Roman"/>
                        <w:szCs w:val="21"/>
                      </w:rPr>
                    </w:pPr>
                    <w:r>
                      <w:rPr>
                        <w:rFonts w:ascii="Times New Roman" w:hAnsi="Times New Roman" w:cs="Times New Roman"/>
                      </w:rPr>
                      <w:t>4.39</w:t>
                    </w:r>
                  </w:p>
                </w:tc>
                <w:tc>
                  <w:tcPr>
                    <w:tcW w:w="629" w:type="pct"/>
                    <w:vAlign w:val="center"/>
                  </w:tcPr>
                  <w:p>
                    <w:pPr>
                      <w:widowControl w:val="0"/>
                      <w:jc w:val="right"/>
                      <w:rPr>
                        <w:rFonts w:ascii="Times New Roman" w:hAnsi="Times New Roman" w:cs="Times New Roman"/>
                        <w:szCs w:val="21"/>
                      </w:rPr>
                    </w:pPr>
                    <w:r>
                      <w:rPr>
                        <w:rFonts w:ascii="Times New Roman" w:hAnsi="Times New Roman" w:cs="Times New Roman"/>
                      </w:rPr>
                      <w:t>18.11</w:t>
                    </w:r>
                  </w:p>
                </w:tc>
                <w:tc>
                  <w:tcPr>
                    <w:tcW w:w="627" w:type="pct"/>
                    <w:vAlign w:val="center"/>
                  </w:tcPr>
                  <w:p>
                    <w:pPr>
                      <w:widowControl w:val="0"/>
                      <w:jc w:val="right"/>
                      <w:rPr>
                        <w:rFonts w:ascii="Times New Roman" w:hAnsi="Times New Roman" w:cs="Times New Roman"/>
                        <w:szCs w:val="21"/>
                      </w:rPr>
                    </w:pPr>
                    <w:r>
                      <w:rPr>
                        <w:rFonts w:hint="eastAsia" w:ascii="Times New Roman" w:hAnsi="Times New Roman" w:cs="Times New Roman"/>
                      </w:rPr>
                      <w:t>减少5.02个百分点</w:t>
                    </w:r>
                  </w:p>
                </w:tc>
              </w:tr>
            </w:sdtContent>
          </w:sdt>
          <w:sdt>
            <w:sdtPr>
              <w:rPr>
                <w:rFonts w:ascii="Times New Roman" w:hAnsi="Times New Roman" w:eastAsiaTheme="minorEastAsia" w:cstheme="minorBidi"/>
                <w:kern w:val="0"/>
                <w:szCs w:val="21"/>
              </w:rPr>
              <w:alias w:val="主营业务按销售模式情况明细"/>
              <w:tag w:val="_TUP_b18af0e5ce6b494485a511064f55de99"/>
              <w:id w:val="34667886"/>
              <w:lock w:val="sdtLocked"/>
            </w:sdtPr>
            <w:sdtEndPr>
              <w:rPr>
                <w:rFonts w:ascii="Times New Roman" w:hAnsi="Times New Roman" w:cs="Times New Roman"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pPr>
                      <w:pStyle w:val="55"/>
                      <w:ind w:firstLine="0" w:firstLineChars="0"/>
                      <w:rPr>
                        <w:rFonts w:ascii="Times New Roman" w:hAnsi="Times New Roman"/>
                        <w:szCs w:val="21"/>
                      </w:rPr>
                    </w:pPr>
                    <w:r>
                      <w:t>线下</w:t>
                    </w:r>
                  </w:p>
                </w:tc>
                <w:tc>
                  <w:tcPr>
                    <w:tcW w:w="932" w:type="pct"/>
                    <w:gridSpan w:val="2"/>
                    <w:vAlign w:val="center"/>
                  </w:tcPr>
                  <w:p>
                    <w:pPr>
                      <w:widowControl w:val="0"/>
                      <w:jc w:val="right"/>
                      <w:rPr>
                        <w:rFonts w:ascii="Times New Roman" w:hAnsi="Times New Roman" w:cs="Times New Roman"/>
                        <w:szCs w:val="21"/>
                      </w:rPr>
                    </w:pPr>
                    <w:r>
                      <w:rPr>
                        <w:rFonts w:ascii="Times New Roman" w:hAnsi="Times New Roman" w:cs="Times New Roman"/>
                      </w:rPr>
                      <w:t>690,595,355.76</w:t>
                    </w:r>
                  </w:p>
                </w:tc>
                <w:tc>
                  <w:tcPr>
                    <w:tcW w:w="932" w:type="pct"/>
                    <w:gridSpan w:val="2"/>
                    <w:vAlign w:val="center"/>
                  </w:tcPr>
                  <w:p>
                    <w:pPr>
                      <w:widowControl w:val="0"/>
                      <w:jc w:val="right"/>
                      <w:rPr>
                        <w:rFonts w:ascii="Times New Roman" w:hAnsi="Times New Roman" w:cs="Times New Roman"/>
                        <w:szCs w:val="21"/>
                      </w:rPr>
                    </w:pPr>
                    <w:r>
                      <w:rPr>
                        <w:rFonts w:ascii="Times New Roman" w:hAnsi="Times New Roman" w:cs="Times New Roman"/>
                      </w:rPr>
                      <w:t>559,416,107.27</w:t>
                    </w:r>
                  </w:p>
                </w:tc>
                <w:tc>
                  <w:tcPr>
                    <w:tcW w:w="621" w:type="pct"/>
                    <w:gridSpan w:val="2"/>
                    <w:vAlign w:val="center"/>
                  </w:tcPr>
                  <w:p>
                    <w:pPr>
                      <w:widowControl w:val="0"/>
                      <w:jc w:val="right"/>
                      <w:rPr>
                        <w:rFonts w:ascii="Times New Roman" w:hAnsi="Times New Roman" w:cs="Times New Roman"/>
                        <w:szCs w:val="21"/>
                      </w:rPr>
                    </w:pPr>
                    <w:r>
                      <w:rPr>
                        <w:rFonts w:ascii="Times New Roman" w:hAnsi="Times New Roman" w:cs="Times New Roman"/>
                      </w:rPr>
                      <w:t>19.00</w:t>
                    </w:r>
                  </w:p>
                </w:tc>
                <w:tc>
                  <w:tcPr>
                    <w:tcW w:w="629" w:type="pct"/>
                    <w:vAlign w:val="center"/>
                  </w:tcPr>
                  <w:p>
                    <w:pPr>
                      <w:widowControl w:val="0"/>
                      <w:jc w:val="right"/>
                      <w:rPr>
                        <w:rFonts w:ascii="Times New Roman" w:hAnsi="Times New Roman" w:cs="Times New Roman"/>
                        <w:szCs w:val="21"/>
                      </w:rPr>
                    </w:pPr>
                    <w:r>
                      <w:rPr>
                        <w:rFonts w:ascii="Times New Roman" w:hAnsi="Times New Roman" w:cs="Times New Roman"/>
                      </w:rPr>
                      <w:t>4.42</w:t>
                    </w:r>
                  </w:p>
                </w:tc>
                <w:tc>
                  <w:tcPr>
                    <w:tcW w:w="629" w:type="pct"/>
                    <w:vAlign w:val="center"/>
                  </w:tcPr>
                  <w:p>
                    <w:pPr>
                      <w:widowControl w:val="0"/>
                      <w:jc w:val="right"/>
                      <w:rPr>
                        <w:rFonts w:ascii="Times New Roman" w:hAnsi="Times New Roman" w:cs="Times New Roman"/>
                        <w:szCs w:val="21"/>
                      </w:rPr>
                    </w:pPr>
                    <w:r>
                      <w:rPr>
                        <w:rFonts w:hint="eastAsia" w:ascii="Times New Roman" w:hAnsi="Times New Roman" w:cs="Times New Roman"/>
                      </w:rPr>
                      <w:t>6.00</w:t>
                    </w:r>
                  </w:p>
                </w:tc>
                <w:tc>
                  <w:tcPr>
                    <w:tcW w:w="627" w:type="pct"/>
                    <w:vAlign w:val="center"/>
                  </w:tcPr>
                  <w:p>
                    <w:pPr>
                      <w:widowControl w:val="0"/>
                      <w:jc w:val="right"/>
                      <w:rPr>
                        <w:rFonts w:ascii="Times New Roman" w:hAnsi="Times New Roman" w:cs="Times New Roman"/>
                        <w:szCs w:val="21"/>
                      </w:rPr>
                    </w:pPr>
                    <w:r>
                      <w:rPr>
                        <w:rFonts w:hint="eastAsia" w:ascii="Times New Roman" w:hAnsi="Times New Roman" w:cs="Times New Roman"/>
                      </w:rPr>
                      <w:t>减少1.20个百分点</w:t>
                    </w:r>
                  </w:p>
                </w:tc>
              </w:tr>
            </w:sdtContent>
          </w:sdt>
        </w:tbl>
        <w:p>
          <w:pPr>
            <w:rPr>
              <w:szCs w:val="21"/>
            </w:rPr>
          </w:pPr>
        </w:p>
      </w:sdtContent>
    </w:sdt>
    <w:p/>
    <w:sdt>
      <w:sdtPr>
        <w:rPr>
          <w:rFonts w:hint="eastAsia" w:ascii="宋体" w:hAnsi="宋体" w:cs="宋体"/>
          <w:b w:val="0"/>
          <w:bCs w:val="0"/>
          <w:kern w:val="0"/>
          <w:szCs w:val="24"/>
        </w:rPr>
        <w:alias w:val="模块:产销量情况分析表"/>
        <w:tag w:val="_SEC_b85e1cad33344c94a1ecc713f9b7acbc"/>
        <w:id w:val="865722336"/>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10"/>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86572232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709"/>
            <w:gridCol w:w="1274"/>
            <w:gridCol w:w="1166"/>
            <w:gridCol w:w="1162"/>
            <w:gridCol w:w="1071"/>
            <w:gridCol w:w="1071"/>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59e79e9293847dfb1bd7816b6ad48e6"/>
                <w:id w:val="1830252"/>
                <w:lock w:val="sdtLocked"/>
              </w:sdtPr>
              <w:sdtEndPr>
                <w:rPr>
                  <w:rFonts w:ascii="Times New Roman" w:hAnsi="Times New Roman" w:cs="Times New Roman"/>
                </w:rPr>
              </w:sdtEndPr>
              <w:sdtContent>
                <w:tc>
                  <w:tcPr>
                    <w:tcW w:w="843" w:type="pct"/>
                    <w:vAlign w:val="center"/>
                  </w:tcPr>
                  <w:p>
                    <w:pPr>
                      <w:widowControl w:val="0"/>
                      <w:jc w:val="center"/>
                      <w:rPr>
                        <w:rFonts w:ascii="Times New Roman" w:hAnsi="Times New Roman" w:cs="Times New Roman"/>
                        <w:szCs w:val="21"/>
                      </w:rPr>
                    </w:pPr>
                    <w:r>
                      <w:rPr>
                        <w:rFonts w:ascii="Times New Roman" w:cs="Times New Roman"/>
                        <w:szCs w:val="21"/>
                      </w:rPr>
                      <w:t>主要产品</w:t>
                    </w:r>
                  </w:p>
                </w:tc>
              </w:sdtContent>
            </w:sdt>
            <w:tc>
              <w:tcPr>
                <w:tcW w:w="392" w:type="pct"/>
                <w:vAlign w:val="center"/>
              </w:tcPr>
              <w:sdt>
                <w:sdtPr>
                  <w:rPr>
                    <w:rFonts w:ascii="Times New Roman" w:hAnsi="Times New Roman" w:cs="Times New Roman"/>
                  </w:rPr>
                  <w:tag w:val="_PLD_6d13c84fd3694535a3f1b6bcdd58d107"/>
                  <w:id w:val="1830253"/>
                  <w:lock w:val="sdtLocked"/>
                </w:sdtPr>
                <w:sdtEndPr>
                  <w:rPr>
                    <w:rFonts w:ascii="Times New Roman" w:hAnsi="Times New Roman" w:cs="Times New Roman"/>
                  </w:rPr>
                </w:sdtEndPr>
                <w:sdtContent>
                  <w:p>
                    <w:pPr>
                      <w:widowControl w:val="0"/>
                      <w:jc w:val="center"/>
                      <w:rPr>
                        <w:rFonts w:ascii="Times New Roman" w:hAnsi="Times New Roman" w:cs="Times New Roman"/>
                      </w:rPr>
                    </w:pPr>
                    <w:r>
                      <w:rPr>
                        <w:rFonts w:ascii="Times New Roman" w:cs="Times New Roman"/>
                      </w:rPr>
                      <w:t>单位</w:t>
                    </w:r>
                  </w:p>
                </w:sdtContent>
              </w:sdt>
            </w:tc>
            <w:sdt>
              <w:sdtPr>
                <w:rPr>
                  <w:rFonts w:ascii="Times New Roman" w:hAnsi="Times New Roman" w:cs="Times New Roman"/>
                </w:rPr>
                <w:tag w:val="_PLD_3645c9ae184248f6bd2dda9de0540406"/>
                <w:id w:val="1830254"/>
                <w:lock w:val="sdtLocked"/>
              </w:sdtPr>
              <w:sdtEndPr>
                <w:rPr>
                  <w:rFonts w:ascii="Times New Roman" w:hAnsi="Times New Roman" w:cs="Times New Roman"/>
                </w:rPr>
              </w:sdtEndPr>
              <w:sdtContent>
                <w:tc>
                  <w:tcPr>
                    <w:tcW w:w="704" w:type="pct"/>
                    <w:vAlign w:val="center"/>
                  </w:tcPr>
                  <w:p>
                    <w:pPr>
                      <w:widowControl w:val="0"/>
                      <w:jc w:val="center"/>
                      <w:rPr>
                        <w:rFonts w:ascii="Times New Roman" w:hAnsi="Times New Roman" w:cs="Times New Roman"/>
                        <w:szCs w:val="21"/>
                      </w:rPr>
                    </w:pPr>
                    <w:r>
                      <w:rPr>
                        <w:rFonts w:ascii="Times New Roman" w:cs="Times New Roman"/>
                        <w:szCs w:val="21"/>
                      </w:rPr>
                      <w:t>生产量</w:t>
                    </w:r>
                  </w:p>
                </w:tc>
              </w:sdtContent>
            </w:sdt>
            <w:sdt>
              <w:sdtPr>
                <w:rPr>
                  <w:rFonts w:ascii="Times New Roman" w:hAnsi="Times New Roman" w:cs="Times New Roman"/>
                </w:rPr>
                <w:tag w:val="_PLD_b4bd7da564c3452cb40ff15542829b7a"/>
                <w:id w:val="1830255"/>
                <w:lock w:val="sdtLocked"/>
              </w:sdtPr>
              <w:sdtEndPr>
                <w:rPr>
                  <w:rFonts w:ascii="Times New Roman" w:hAnsi="Times New Roman" w:cs="Times New Roman"/>
                </w:rPr>
              </w:sdtEndPr>
              <w:sdtContent>
                <w:tc>
                  <w:tcPr>
                    <w:tcW w:w="644" w:type="pct"/>
                    <w:vAlign w:val="center"/>
                  </w:tcPr>
                  <w:p>
                    <w:pPr>
                      <w:widowControl w:val="0"/>
                      <w:jc w:val="center"/>
                      <w:rPr>
                        <w:rFonts w:ascii="Times New Roman" w:hAnsi="Times New Roman" w:cs="Times New Roman"/>
                        <w:szCs w:val="21"/>
                      </w:rPr>
                    </w:pPr>
                    <w:r>
                      <w:rPr>
                        <w:rFonts w:ascii="Times New Roman" w:cs="Times New Roman"/>
                        <w:szCs w:val="21"/>
                      </w:rPr>
                      <w:t>销售量</w:t>
                    </w:r>
                  </w:p>
                </w:tc>
              </w:sdtContent>
            </w:sdt>
            <w:sdt>
              <w:sdtPr>
                <w:rPr>
                  <w:rFonts w:ascii="Times New Roman" w:hAnsi="Times New Roman" w:cs="Times New Roman"/>
                </w:rPr>
                <w:tag w:val="_PLD_4f74a09ae16245a3a6e2c536c1266361"/>
                <w:id w:val="1830256"/>
                <w:lock w:val="sdtLocked"/>
              </w:sdtPr>
              <w:sdtEndPr>
                <w:rPr>
                  <w:rFonts w:ascii="Times New Roman" w:hAnsi="Times New Roman" w:cs="Times New Roman"/>
                </w:rPr>
              </w:sdtEndPr>
              <w:sdtContent>
                <w:tc>
                  <w:tcPr>
                    <w:tcW w:w="642" w:type="pct"/>
                    <w:vAlign w:val="center"/>
                  </w:tcPr>
                  <w:p>
                    <w:pPr>
                      <w:widowControl w:val="0"/>
                      <w:jc w:val="center"/>
                      <w:rPr>
                        <w:rFonts w:ascii="Times New Roman" w:hAnsi="Times New Roman" w:cs="Times New Roman"/>
                        <w:szCs w:val="21"/>
                      </w:rPr>
                    </w:pPr>
                    <w:r>
                      <w:rPr>
                        <w:rFonts w:ascii="Times New Roman" w:cs="Times New Roman"/>
                        <w:szCs w:val="21"/>
                      </w:rPr>
                      <w:t>库存量</w:t>
                    </w:r>
                  </w:p>
                </w:tc>
              </w:sdtContent>
            </w:sdt>
            <w:sdt>
              <w:sdtPr>
                <w:rPr>
                  <w:rFonts w:ascii="Times New Roman" w:hAnsi="Times New Roman" w:cs="Times New Roman"/>
                </w:rPr>
                <w:tag w:val="_PLD_21bd7a4d992742feb4b83db592f976fd"/>
                <w:id w:val="1830257"/>
                <w:lock w:val="sdtLocked"/>
              </w:sdtPr>
              <w:sdtEndPr>
                <w:rPr>
                  <w:rFonts w:ascii="Times New Roman" w:hAnsi="Times New Roman" w:cs="Times New Roman"/>
                </w:rPr>
              </w:sdtEndPr>
              <w:sdtContent>
                <w:tc>
                  <w:tcPr>
                    <w:tcW w:w="592" w:type="pct"/>
                    <w:vAlign w:val="center"/>
                  </w:tcPr>
                  <w:p>
                    <w:pPr>
                      <w:widowControl w:val="0"/>
                      <w:jc w:val="center"/>
                      <w:rPr>
                        <w:rFonts w:ascii="Times New Roman" w:hAnsi="Times New Roman" w:cs="Times New Roman"/>
                        <w:szCs w:val="21"/>
                      </w:rPr>
                    </w:pPr>
                    <w:r>
                      <w:rPr>
                        <w:rFonts w:ascii="Times New Roman" w:cs="Times New Roman"/>
                        <w:szCs w:val="21"/>
                      </w:rPr>
                      <w:t>生产量比上年增减（</w:t>
                    </w:r>
                    <w:r>
                      <w:rPr>
                        <w:rFonts w:ascii="Times New Roman" w:hAnsi="Times New Roman" w:cs="Times New Roman"/>
                        <w:szCs w:val="21"/>
                      </w:rPr>
                      <w:t>%</w:t>
                    </w:r>
                    <w:r>
                      <w:rPr>
                        <w:rFonts w:ascii="Times New Roman" w:cs="Times New Roman"/>
                        <w:szCs w:val="21"/>
                      </w:rPr>
                      <w:t>）</w:t>
                    </w:r>
                  </w:p>
                </w:tc>
              </w:sdtContent>
            </w:sdt>
            <w:sdt>
              <w:sdtPr>
                <w:rPr>
                  <w:rFonts w:ascii="Times New Roman" w:hAnsi="Times New Roman" w:cs="Times New Roman"/>
                </w:rPr>
                <w:tag w:val="_PLD_37e055a5474a4aac989b4e3a88756935"/>
                <w:id w:val="1830258"/>
                <w:lock w:val="sdtLocked"/>
              </w:sdtPr>
              <w:sdtEndPr>
                <w:rPr>
                  <w:rFonts w:ascii="Times New Roman" w:hAnsi="Times New Roman" w:cs="Times New Roman"/>
                </w:rPr>
              </w:sdtEndPr>
              <w:sdtContent>
                <w:tc>
                  <w:tcPr>
                    <w:tcW w:w="592" w:type="pct"/>
                    <w:vAlign w:val="center"/>
                  </w:tcPr>
                  <w:p>
                    <w:pPr>
                      <w:widowControl w:val="0"/>
                      <w:jc w:val="center"/>
                      <w:rPr>
                        <w:rFonts w:ascii="Times New Roman" w:hAnsi="Times New Roman" w:cs="Times New Roman"/>
                        <w:szCs w:val="21"/>
                      </w:rPr>
                    </w:pPr>
                    <w:r>
                      <w:rPr>
                        <w:rFonts w:ascii="Times New Roman" w:cs="Times New Roman"/>
                        <w:szCs w:val="21"/>
                      </w:rPr>
                      <w:t>销售量比上年增减（</w:t>
                    </w:r>
                    <w:r>
                      <w:rPr>
                        <w:rFonts w:ascii="Times New Roman" w:hAnsi="Times New Roman" w:cs="Times New Roman"/>
                        <w:szCs w:val="21"/>
                      </w:rPr>
                      <w:t>%</w:t>
                    </w:r>
                    <w:r>
                      <w:rPr>
                        <w:rFonts w:ascii="Times New Roman" w:cs="Times New Roman"/>
                        <w:szCs w:val="21"/>
                      </w:rPr>
                      <w:t>）</w:t>
                    </w:r>
                  </w:p>
                </w:tc>
              </w:sdtContent>
            </w:sdt>
            <w:sdt>
              <w:sdtPr>
                <w:rPr>
                  <w:rFonts w:ascii="Times New Roman" w:hAnsi="Times New Roman" w:cs="Times New Roman"/>
                </w:rPr>
                <w:tag w:val="_PLD_d03cdf85475e4722ae39e10ea525eee5"/>
                <w:id w:val="1830259"/>
                <w:lock w:val="sdtLocked"/>
              </w:sdtPr>
              <w:sdtEndPr>
                <w:rPr>
                  <w:rFonts w:ascii="Times New Roman" w:hAnsi="Times New Roman" w:cs="Times New Roman"/>
                </w:rPr>
              </w:sdtEndPr>
              <w:sdtContent>
                <w:tc>
                  <w:tcPr>
                    <w:tcW w:w="591" w:type="pct"/>
                    <w:vAlign w:val="center"/>
                  </w:tcPr>
                  <w:p>
                    <w:pPr>
                      <w:widowControl w:val="0"/>
                      <w:jc w:val="center"/>
                      <w:rPr>
                        <w:rFonts w:ascii="Times New Roman" w:hAnsi="Times New Roman" w:cs="Times New Roman"/>
                        <w:szCs w:val="21"/>
                      </w:rPr>
                    </w:pPr>
                    <w:r>
                      <w:rPr>
                        <w:rFonts w:ascii="Times New Roman" w:cs="Times New Roman"/>
                        <w:szCs w:val="21"/>
                      </w:rPr>
                      <w:t>库存量比上年增减（</w:t>
                    </w:r>
                    <w:r>
                      <w:rPr>
                        <w:rFonts w:ascii="Times New Roman" w:hAnsi="Times New Roman" w:cs="Times New Roman"/>
                        <w:szCs w:val="21"/>
                      </w:rPr>
                      <w:t>%</w:t>
                    </w:r>
                    <w:r>
                      <w:rPr>
                        <w:rFonts w:ascii="Times New Roman" w:cs="Times New Roman"/>
                        <w:szCs w:val="21"/>
                      </w:rPr>
                      <w:t>）</w:t>
                    </w:r>
                  </w:p>
                </w:tc>
              </w:sdtContent>
            </w:sdt>
          </w:tr>
          <w:sdt>
            <w:sdtPr>
              <w:rPr>
                <w:rFonts w:ascii="Times New Roman" w:hAnsi="Times New Roman" w:cs="Times New Roman" w:eastAsiaTheme="minorEastAsia"/>
                <w:kern w:val="2"/>
                <w:szCs w:val="21"/>
              </w:rPr>
              <w:alias w:val="产销量情况分析表明细"/>
              <w:tag w:val="_TUP_33c1439070494dd3b672cd58c90e07fd"/>
              <w:id w:val="1830260"/>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trPr>
                <w:tc>
                  <w:tcPr>
                    <w:tcW w:w="843" w:type="pct"/>
                  </w:tcPr>
                  <w:p>
                    <w:pPr>
                      <w:widowControl w:val="0"/>
                      <w:jc w:val="both"/>
                      <w:rPr>
                        <w:rFonts w:ascii="Times New Roman" w:hAnsi="Times New Roman" w:cs="Times New Roman"/>
                        <w:szCs w:val="21"/>
                      </w:rPr>
                    </w:pPr>
                    <w:r>
                      <w:rPr>
                        <w:rFonts w:ascii="Times New Roman" w:cs="Times New Roman"/>
                      </w:rPr>
                      <w:t>家用牙膏</w:t>
                    </w:r>
                  </w:p>
                </w:tc>
                <w:tc>
                  <w:tcPr>
                    <w:tcW w:w="392" w:type="pct"/>
                    <w:vAlign w:val="center"/>
                  </w:tcPr>
                  <w:p>
                    <w:pPr>
                      <w:widowControl w:val="0"/>
                      <w:jc w:val="right"/>
                      <w:rPr>
                        <w:rFonts w:ascii="Times New Roman" w:hAnsi="Times New Roman" w:cs="Times New Roman"/>
                        <w:szCs w:val="21"/>
                      </w:rPr>
                    </w:pPr>
                    <w:r>
                      <w:rPr>
                        <w:rFonts w:ascii="Times New Roman" w:cs="Times New Roman"/>
                        <w:szCs w:val="21"/>
                      </w:rPr>
                      <w:t>万支</w:t>
                    </w:r>
                  </w:p>
                </w:tc>
                <w:tc>
                  <w:tcPr>
                    <w:tcW w:w="704" w:type="pct"/>
                    <w:vAlign w:val="center"/>
                  </w:tcPr>
                  <w:p>
                    <w:pPr>
                      <w:widowControl w:val="0"/>
                      <w:jc w:val="right"/>
                      <w:rPr>
                        <w:rFonts w:ascii="Times New Roman" w:hAnsi="Times New Roman" w:cs="Times New Roman"/>
                        <w:sz w:val="24"/>
                      </w:rPr>
                    </w:pPr>
                    <w:r>
                      <w:rPr>
                        <w:rFonts w:ascii="Times New Roman" w:hAnsi="Times New Roman" w:cs="Times New Roman"/>
                      </w:rPr>
                      <w:t>2,</w:t>
                    </w:r>
                    <w:r>
                      <w:rPr>
                        <w:rFonts w:hint="eastAsia" w:ascii="Times New Roman" w:hAnsi="Times New Roman" w:cs="Times New Roman"/>
                      </w:rPr>
                      <w:t>430.79</w:t>
                    </w:r>
                  </w:p>
                </w:tc>
                <w:tc>
                  <w:tcPr>
                    <w:tcW w:w="644" w:type="pct"/>
                    <w:vAlign w:val="center"/>
                  </w:tcPr>
                  <w:p>
                    <w:pPr>
                      <w:widowControl w:val="0"/>
                      <w:jc w:val="right"/>
                      <w:rPr>
                        <w:rFonts w:ascii="Times New Roman" w:hAnsi="Times New Roman" w:cs="Times New Roman"/>
                        <w:sz w:val="24"/>
                      </w:rPr>
                    </w:pPr>
                    <w:r>
                      <w:rPr>
                        <w:rFonts w:ascii="Times New Roman" w:hAnsi="Times New Roman" w:cs="Times New Roman"/>
                      </w:rPr>
                      <w:t>2,</w:t>
                    </w:r>
                    <w:r>
                      <w:rPr>
                        <w:rFonts w:hint="eastAsia" w:ascii="Times New Roman" w:hAnsi="Times New Roman" w:cs="Times New Roman"/>
                      </w:rPr>
                      <w:t>443.90</w:t>
                    </w:r>
                  </w:p>
                </w:tc>
                <w:tc>
                  <w:tcPr>
                    <w:tcW w:w="642" w:type="pct"/>
                    <w:vAlign w:val="center"/>
                  </w:tcPr>
                  <w:p>
                    <w:pPr>
                      <w:widowControl w:val="0"/>
                      <w:jc w:val="right"/>
                      <w:rPr>
                        <w:rFonts w:ascii="Times New Roman" w:hAnsi="Times New Roman" w:cs="Times New Roman"/>
                        <w:sz w:val="24"/>
                      </w:rPr>
                    </w:pPr>
                    <w:r>
                      <w:rPr>
                        <w:rFonts w:hint="eastAsia" w:ascii="Times New Roman" w:hAnsi="Times New Roman" w:cs="Times New Roman"/>
                      </w:rPr>
                      <w:t>440.00</w:t>
                    </w:r>
                  </w:p>
                </w:tc>
                <w:tc>
                  <w:tcPr>
                    <w:tcW w:w="592" w:type="pct"/>
                    <w:vAlign w:val="center"/>
                  </w:tcPr>
                  <w:p>
                    <w:pPr>
                      <w:widowControl w:val="0"/>
                      <w:jc w:val="right"/>
                      <w:rPr>
                        <w:rFonts w:ascii="Times New Roman" w:hAnsi="Times New Roman" w:cs="Times New Roman"/>
                        <w:sz w:val="24"/>
                      </w:rPr>
                    </w:pPr>
                    <w:r>
                      <w:rPr>
                        <w:rFonts w:ascii="Times New Roman" w:hAnsi="Times New Roman" w:cs="Times New Roman"/>
                      </w:rPr>
                      <w:t>-</w:t>
                    </w:r>
                    <w:r>
                      <w:rPr>
                        <w:rFonts w:hint="eastAsia" w:ascii="Times New Roman" w:hAnsi="Times New Roman" w:cs="Times New Roman"/>
                      </w:rPr>
                      <w:t>11.68</w:t>
                    </w:r>
                  </w:p>
                </w:tc>
                <w:tc>
                  <w:tcPr>
                    <w:tcW w:w="592" w:type="pct"/>
                    <w:vAlign w:val="center"/>
                  </w:tcPr>
                  <w:p>
                    <w:pPr>
                      <w:widowControl w:val="0"/>
                      <w:jc w:val="right"/>
                      <w:rPr>
                        <w:rFonts w:ascii="Times New Roman" w:hAnsi="Times New Roman" w:cs="Times New Roman"/>
                        <w:szCs w:val="21"/>
                      </w:rPr>
                    </w:pPr>
                    <w:r>
                      <w:rPr>
                        <w:rFonts w:ascii="Times New Roman" w:hAnsi="Times New Roman" w:cs="Times New Roman"/>
                      </w:rPr>
                      <w:t>-17.02</w:t>
                    </w:r>
                  </w:p>
                </w:tc>
                <w:tc>
                  <w:tcPr>
                    <w:tcW w:w="591" w:type="pct"/>
                    <w:vAlign w:val="center"/>
                  </w:tcPr>
                  <w:p>
                    <w:pPr>
                      <w:widowControl w:val="0"/>
                      <w:jc w:val="right"/>
                      <w:rPr>
                        <w:rFonts w:ascii="Times New Roman" w:hAnsi="Times New Roman" w:cs="Times New Roman"/>
                        <w:szCs w:val="21"/>
                      </w:rPr>
                    </w:pPr>
                    <w:r>
                      <w:rPr>
                        <w:rFonts w:ascii="Times New Roman" w:hAnsi="Times New Roman" w:cs="Times New Roman"/>
                      </w:rPr>
                      <w:t>-</w:t>
                    </w:r>
                    <w:r>
                      <w:rPr>
                        <w:rFonts w:hint="eastAsia" w:ascii="Times New Roman" w:hAnsi="Times New Roman" w:cs="Times New Roman"/>
                      </w:rPr>
                      <w:t>1.53</w:t>
                    </w:r>
                  </w:p>
                </w:tc>
              </w:tr>
            </w:sdtContent>
          </w:sdt>
          <w:sdt>
            <w:sdtPr>
              <w:rPr>
                <w:rFonts w:ascii="Times New Roman" w:hAnsi="Times New Roman" w:cs="Times New Roman" w:eastAsiaTheme="minorEastAsia"/>
                <w:kern w:val="2"/>
                <w:szCs w:val="21"/>
              </w:rPr>
              <w:alias w:val="产销量情况分析表明细"/>
              <w:tag w:val="_TUP_33c1439070494dd3b672cd58c90e07fd"/>
              <w:id w:val="1830261"/>
              <w:lock w:val="sdtLocked"/>
            </w:sdtPr>
            <w:sdtEndPr>
              <w:rPr>
                <w:rFonts w:ascii="Times New Roman" w:hAnsi="Times New Roman" w:cs="Times New Roman" w:eastAsiaTheme="minorEastAsia"/>
                <w:color w:val="FF0000"/>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43" w:type="pct"/>
                  </w:tcPr>
                  <w:p>
                    <w:pPr>
                      <w:widowControl w:val="0"/>
                      <w:jc w:val="both"/>
                      <w:rPr>
                        <w:rFonts w:ascii="Times New Roman" w:hAnsi="Times New Roman" w:cs="Times New Roman"/>
                        <w:szCs w:val="21"/>
                      </w:rPr>
                    </w:pPr>
                    <w:r>
                      <w:rPr>
                        <w:rFonts w:ascii="Times New Roman" w:cs="Times New Roman"/>
                      </w:rPr>
                      <w:t>旅游牙膏单支</w:t>
                    </w:r>
                  </w:p>
                </w:tc>
                <w:tc>
                  <w:tcPr>
                    <w:tcW w:w="392" w:type="pct"/>
                    <w:vAlign w:val="center"/>
                  </w:tcPr>
                  <w:p>
                    <w:pPr>
                      <w:widowControl w:val="0"/>
                      <w:jc w:val="right"/>
                      <w:rPr>
                        <w:rFonts w:ascii="Times New Roman" w:hAnsi="Times New Roman" w:cs="Times New Roman"/>
                        <w:szCs w:val="21"/>
                      </w:rPr>
                    </w:pPr>
                    <w:r>
                      <w:rPr>
                        <w:rFonts w:ascii="Times New Roman" w:cs="Times New Roman"/>
                        <w:szCs w:val="21"/>
                      </w:rPr>
                      <w:t>万支</w:t>
                    </w:r>
                  </w:p>
                </w:tc>
                <w:tc>
                  <w:tcPr>
                    <w:tcW w:w="704" w:type="pct"/>
                    <w:vAlign w:val="center"/>
                  </w:tcPr>
                  <w:p>
                    <w:pPr>
                      <w:widowControl w:val="0"/>
                      <w:jc w:val="right"/>
                      <w:rPr>
                        <w:rFonts w:ascii="Times New Roman" w:hAnsi="Times New Roman" w:cs="Times New Roman"/>
                        <w:sz w:val="24"/>
                      </w:rPr>
                    </w:pPr>
                    <w:r>
                      <w:rPr>
                        <w:rFonts w:ascii="Times New Roman" w:hAnsi="Times New Roman" w:cs="Times New Roman"/>
                      </w:rPr>
                      <w:t>111,177.6</w:t>
                    </w:r>
                    <w:r>
                      <w:rPr>
                        <w:rFonts w:hint="eastAsia" w:ascii="Times New Roman" w:hAnsi="Times New Roman" w:cs="Times New Roman"/>
                      </w:rPr>
                      <w:t>6</w:t>
                    </w:r>
                  </w:p>
                </w:tc>
                <w:tc>
                  <w:tcPr>
                    <w:tcW w:w="644" w:type="pct"/>
                    <w:vAlign w:val="center"/>
                  </w:tcPr>
                  <w:p>
                    <w:pPr>
                      <w:widowControl w:val="0"/>
                      <w:jc w:val="right"/>
                      <w:rPr>
                        <w:rFonts w:ascii="Times New Roman" w:hAnsi="Times New Roman" w:cs="Times New Roman"/>
                        <w:sz w:val="24"/>
                      </w:rPr>
                    </w:pPr>
                    <w:r>
                      <w:rPr>
                        <w:rFonts w:ascii="Times New Roman" w:hAnsi="Times New Roman" w:cs="Times New Roman"/>
                      </w:rPr>
                      <w:t>100,259.7</w:t>
                    </w:r>
                    <w:r>
                      <w:rPr>
                        <w:rFonts w:hint="eastAsia" w:ascii="Times New Roman" w:hAnsi="Times New Roman" w:cs="Times New Roman"/>
                      </w:rPr>
                      <w:t>3</w:t>
                    </w:r>
                  </w:p>
                </w:tc>
                <w:tc>
                  <w:tcPr>
                    <w:tcW w:w="642" w:type="pct"/>
                    <w:vAlign w:val="center"/>
                  </w:tcPr>
                  <w:p>
                    <w:pPr>
                      <w:widowControl w:val="0"/>
                      <w:jc w:val="right"/>
                      <w:rPr>
                        <w:rFonts w:ascii="Times New Roman" w:hAnsi="Times New Roman" w:cs="Times New Roman"/>
                        <w:sz w:val="24"/>
                      </w:rPr>
                    </w:pPr>
                    <w:r>
                      <w:rPr>
                        <w:rFonts w:ascii="Times New Roman" w:hAnsi="Times New Roman" w:cs="Times New Roman"/>
                      </w:rPr>
                      <w:t>1</w:t>
                    </w: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rPr>
                      <w:t>760.24</w:t>
                    </w:r>
                  </w:p>
                </w:tc>
                <w:tc>
                  <w:tcPr>
                    <w:tcW w:w="592" w:type="pct"/>
                    <w:vAlign w:val="center"/>
                  </w:tcPr>
                  <w:p>
                    <w:pPr>
                      <w:widowControl w:val="0"/>
                      <w:jc w:val="right"/>
                      <w:rPr>
                        <w:rFonts w:ascii="Times New Roman" w:hAnsi="Times New Roman" w:cs="Times New Roman"/>
                        <w:sz w:val="24"/>
                      </w:rPr>
                    </w:pPr>
                    <w:r>
                      <w:rPr>
                        <w:rFonts w:ascii="Times New Roman" w:hAnsi="Times New Roman" w:cs="Times New Roman"/>
                      </w:rPr>
                      <w:t>19.92</w:t>
                    </w:r>
                  </w:p>
                </w:tc>
                <w:tc>
                  <w:tcPr>
                    <w:tcW w:w="592" w:type="pct"/>
                    <w:vAlign w:val="center"/>
                  </w:tcPr>
                  <w:p>
                    <w:pPr>
                      <w:widowControl w:val="0"/>
                      <w:jc w:val="right"/>
                      <w:rPr>
                        <w:rFonts w:ascii="Times New Roman" w:hAnsi="Times New Roman" w:cs="Times New Roman"/>
                        <w:szCs w:val="21"/>
                      </w:rPr>
                    </w:pPr>
                    <w:r>
                      <w:rPr>
                        <w:rFonts w:ascii="Times New Roman" w:hAnsi="Times New Roman" w:cs="Times New Roman"/>
                      </w:rPr>
                      <w:t>5.68</w:t>
                    </w:r>
                  </w:p>
                </w:tc>
                <w:tc>
                  <w:tcPr>
                    <w:tcW w:w="591" w:type="pct"/>
                    <w:vAlign w:val="center"/>
                  </w:tcPr>
                  <w:p>
                    <w:pPr>
                      <w:widowControl w:val="0"/>
                      <w:jc w:val="right"/>
                      <w:rPr>
                        <w:rFonts w:ascii="Times New Roman" w:hAnsi="Times New Roman" w:cs="Times New Roman"/>
                        <w:color w:val="FF0000"/>
                        <w:szCs w:val="21"/>
                      </w:rPr>
                    </w:pPr>
                    <w:r>
                      <w:rPr>
                        <w:rFonts w:hint="eastAsia" w:ascii="Times New Roman" w:hAnsi="Times New Roman" w:cs="Times New Roman"/>
                      </w:rPr>
                      <w:t>230.46</w:t>
                    </w:r>
                  </w:p>
                </w:tc>
              </w:tr>
            </w:sdtContent>
          </w:sdt>
        </w:tbl>
        <w:p>
          <w:pPr>
            <w:rPr>
              <w:szCs w:val="21"/>
            </w:rPr>
          </w:pPr>
        </w:p>
      </w:sdtContent>
    </w:sdt>
    <w:p/>
    <w:p>
      <w:pPr>
        <w:pStyle w:val="6"/>
        <w:numPr>
          <w:ilvl w:val="0"/>
          <w:numId w:val="10"/>
        </w:numPr>
        <w:tabs>
          <w:tab w:val="left" w:pos="567"/>
        </w:tabs>
        <w:ind w:left="0" w:firstLine="0"/>
      </w:pPr>
      <w:bookmarkStart w:id="33"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86572233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bookmarkEnd w:id="33"/>
    <w:sdt>
      <w:sdtPr>
        <w:rPr>
          <w:rFonts w:ascii="宋体" w:hAnsi="宋体" w:cs="宋体"/>
          <w:b w:val="0"/>
          <w:bCs w:val="0"/>
          <w:kern w:val="0"/>
          <w:szCs w:val="21"/>
        </w:rPr>
        <w:alias w:val="模块:成本分析表"/>
        <w:tag w:val="_SEC_de51976cba8242c1b32c1f5dc956546c"/>
        <w:id w:val="865722379"/>
        <w:lock w:val="sdtLocked"/>
        <w:placeholder>
          <w:docPart w:val="GBC22222222222222222222222222222"/>
        </w:placeholder>
      </w:sdtPr>
      <w:sdtEndPr>
        <w:rPr>
          <w:rFonts w:ascii="宋体" w:hAnsi="宋体" w:cs="宋体"/>
          <w:b w:val="0"/>
          <w:bCs w:val="0"/>
          <w:kern w:val="0"/>
          <w:szCs w:val="21"/>
        </w:rPr>
      </w:sdtEndPr>
      <w:sdtContent>
        <w:p>
          <w:pPr>
            <w:pStyle w:val="6"/>
            <w:numPr>
              <w:ilvl w:val="0"/>
              <w:numId w:val="10"/>
            </w:numPr>
            <w:tabs>
              <w:tab w:val="left" w:pos="567"/>
            </w:tabs>
            <w:ind w:left="0" w:firstLine="0"/>
            <w:rPr>
              <w:szCs w:val="21"/>
            </w:rPr>
          </w:pPr>
          <w:r>
            <w:rPr>
              <w:szCs w:val="21"/>
            </w:rPr>
            <w:t>成本分析表</w:t>
          </w:r>
        </w:p>
        <w:p>
          <w:pPr>
            <w:pStyle w:val="55"/>
            <w:ind w:firstLine="0" w:firstLineChars="0"/>
            <w:jc w:val="right"/>
            <w:rPr>
              <w:szCs w:val="21"/>
            </w:rPr>
          </w:pPr>
          <w:r>
            <w:rPr>
              <w:rFonts w:hint="eastAsia"/>
              <w:szCs w:val="21"/>
            </w:rPr>
            <w:t>单位：</w:t>
          </w:r>
          <w:sdt>
            <w:sdtPr>
              <w:rPr>
                <w:rFonts w:hint="eastAsia"/>
                <w:szCs w:val="21"/>
              </w:rPr>
              <w:alias w:val="单位：成本分析表"/>
              <w:tag w:val="_GBC_b04622a3125b4989a822b6e63bf483c3"/>
              <w:id w:val="8657223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147"/>
            <w:gridCol w:w="1556"/>
            <w:gridCol w:w="143"/>
            <w:gridCol w:w="849"/>
            <w:gridCol w:w="1672"/>
            <w:gridCol w:w="1023"/>
            <w:gridCol w:w="1137"/>
            <w:gridCol w:w="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rPr>
                  <w:rFonts w:ascii="Times New Roman" w:hAnsi="Times New Roman" w:cs="Times New Roman"/>
                </w:rPr>
                <w:tag w:val="_PLD_23eca1a24a6a46819aede5056d21b4e0"/>
                <w:id w:val="103897821"/>
                <w:lock w:val="sdtLocked"/>
              </w:sdtPr>
              <w:sdtEndPr>
                <w:rPr>
                  <w:rFonts w:ascii="Times New Roman" w:hAnsi="Times New Roman" w:cs="Times New Roman"/>
                </w:rPr>
              </w:sdtEndPr>
              <w:sdtContent>
                <w:tc>
                  <w:tcPr>
                    <w:tcW w:w="5000" w:type="pct"/>
                    <w:gridSpan w:val="9"/>
                    <w:vAlign w:val="center"/>
                  </w:tcPr>
                  <w:p>
                    <w:pPr>
                      <w:widowControl w:val="0"/>
                      <w:jc w:val="center"/>
                      <w:rPr>
                        <w:rFonts w:ascii="Times New Roman" w:hAnsi="Times New Roman" w:cs="Times New Roman"/>
                        <w:szCs w:val="21"/>
                      </w:rPr>
                    </w:pPr>
                    <w:r>
                      <w:rPr>
                        <w:rFonts w:ascii="Times New Roman" w:cs="Times New Roman"/>
                        <w:szCs w:val="21"/>
                      </w:rPr>
                      <w:t>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rPr>
                  <w:rFonts w:ascii="Times New Roman" w:hAnsi="Times New Roman" w:cs="Times New Roman"/>
                </w:rPr>
                <w:tag w:val="_PLD_6ed773a4437a4fe9b33abca9c4813940"/>
                <w:id w:val="103897822"/>
                <w:lock w:val="sdtLocked"/>
              </w:sdtPr>
              <w:sdtEndPr>
                <w:rPr>
                  <w:rFonts w:ascii="Times New Roman" w:hAnsi="Times New Roman" w:cs="Times New Roman"/>
                </w:rPr>
              </w:sdtEndPr>
              <w:sdtContent>
                <w:tc>
                  <w:tcPr>
                    <w:tcW w:w="602" w:type="pct"/>
                    <w:vAlign w:val="center"/>
                  </w:tcPr>
                  <w:p>
                    <w:pPr>
                      <w:widowControl w:val="0"/>
                      <w:jc w:val="center"/>
                      <w:rPr>
                        <w:rFonts w:ascii="Times New Roman" w:hAnsi="Times New Roman" w:cs="Times New Roman"/>
                        <w:szCs w:val="21"/>
                      </w:rPr>
                    </w:pPr>
                    <w:r>
                      <w:rPr>
                        <w:rFonts w:ascii="Times New Roman" w:cs="Times New Roman"/>
                        <w:szCs w:val="21"/>
                      </w:rPr>
                      <w:t>分行业</w:t>
                    </w:r>
                  </w:p>
                </w:tc>
              </w:sdtContent>
            </w:sdt>
            <w:sdt>
              <w:sdtPr>
                <w:rPr>
                  <w:rFonts w:ascii="Times New Roman" w:hAnsi="Times New Roman" w:cs="Times New Roman"/>
                </w:rPr>
                <w:tag w:val="_PLD_11eb33bcb20d4489a1b9fff2216d0a84"/>
                <w:id w:val="103897823"/>
                <w:lock w:val="sdtLocked"/>
              </w:sdtPr>
              <w:sdtEndPr>
                <w:rPr>
                  <w:rFonts w:ascii="Times New Roman" w:hAnsi="Times New Roman" w:cs="Times New Roman"/>
                </w:rPr>
              </w:sdtEndPr>
              <w:sdtContent>
                <w:tc>
                  <w:tcPr>
                    <w:tcW w:w="634" w:type="pct"/>
                    <w:vAlign w:val="center"/>
                  </w:tcPr>
                  <w:p>
                    <w:pPr>
                      <w:widowControl w:val="0"/>
                      <w:jc w:val="center"/>
                      <w:rPr>
                        <w:rFonts w:ascii="Times New Roman" w:hAnsi="Times New Roman" w:cs="Times New Roman"/>
                        <w:szCs w:val="21"/>
                      </w:rPr>
                    </w:pPr>
                    <w:r>
                      <w:rPr>
                        <w:rFonts w:ascii="Times New Roman" w:cs="Times New Roman"/>
                        <w:szCs w:val="21"/>
                      </w:rPr>
                      <w:t>成本构成项目</w:t>
                    </w:r>
                  </w:p>
                </w:tc>
              </w:sdtContent>
            </w:sdt>
            <w:sdt>
              <w:sdtPr>
                <w:rPr>
                  <w:rFonts w:ascii="Times New Roman" w:hAnsi="Times New Roman" w:cs="Times New Roman"/>
                </w:rPr>
                <w:tag w:val="_PLD_25c03477e66a432199f6493c38aaca71"/>
                <w:id w:val="103897824"/>
                <w:lock w:val="sdtLocked"/>
              </w:sdtPr>
              <w:sdtEndPr>
                <w:rPr>
                  <w:rFonts w:ascii="Times New Roman" w:hAnsi="Times New Roman" w:cs="Times New Roman"/>
                </w:rPr>
              </w:sdtEndPr>
              <w:sdtContent>
                <w:tc>
                  <w:tcPr>
                    <w:tcW w:w="860" w:type="pct"/>
                    <w:vAlign w:val="center"/>
                  </w:tcPr>
                  <w:p>
                    <w:pPr>
                      <w:widowControl w:val="0"/>
                      <w:jc w:val="center"/>
                      <w:rPr>
                        <w:rFonts w:ascii="Times New Roman" w:hAnsi="Times New Roman" w:cs="Times New Roman"/>
                        <w:szCs w:val="21"/>
                      </w:rPr>
                    </w:pPr>
                    <w:r>
                      <w:rPr>
                        <w:rFonts w:ascii="Times New Roman" w:cs="Times New Roman"/>
                        <w:szCs w:val="21"/>
                      </w:rPr>
                      <w:t>本期金额</w:t>
                    </w:r>
                  </w:p>
                </w:tc>
              </w:sdtContent>
            </w:sdt>
            <w:sdt>
              <w:sdtPr>
                <w:rPr>
                  <w:rFonts w:ascii="Times New Roman" w:hAnsi="Times New Roman" w:cs="Times New Roman"/>
                </w:rPr>
                <w:tag w:val="_PLD_29b86b13ed1449cfb64b8547d9ed08a7"/>
                <w:id w:val="103897825"/>
                <w:lock w:val="sdtLocked"/>
              </w:sdtPr>
              <w:sdtEndPr>
                <w:rPr>
                  <w:rFonts w:ascii="Times New Roman" w:hAnsi="Times New Roman" w:cs="Times New Roman"/>
                </w:rPr>
              </w:sdtEndPr>
              <w:sdtContent>
                <w:tc>
                  <w:tcPr>
                    <w:tcW w:w="548" w:type="pct"/>
                    <w:gridSpan w:val="2"/>
                    <w:vAlign w:val="center"/>
                  </w:tcPr>
                  <w:p>
                    <w:pPr>
                      <w:widowControl w:val="0"/>
                      <w:jc w:val="center"/>
                      <w:rPr>
                        <w:rFonts w:ascii="Times New Roman" w:hAnsi="Times New Roman" w:cs="Times New Roman"/>
                        <w:szCs w:val="21"/>
                      </w:rPr>
                    </w:pPr>
                    <w:r>
                      <w:rPr>
                        <w:rFonts w:ascii="Times New Roman" w:cs="Times New Roman"/>
                        <w:szCs w:val="21"/>
                      </w:rPr>
                      <w:t>本期占总成本比例</w:t>
                    </w:r>
                    <w:r>
                      <w:rPr>
                        <w:rFonts w:ascii="Times New Roman" w:hAnsi="Times New Roman" w:cs="Times New Roman"/>
                        <w:szCs w:val="21"/>
                      </w:rPr>
                      <w:t>(%)</w:t>
                    </w:r>
                  </w:p>
                </w:tc>
              </w:sdtContent>
            </w:sdt>
            <w:sdt>
              <w:sdtPr>
                <w:rPr>
                  <w:rFonts w:ascii="Times New Roman" w:hAnsi="Times New Roman" w:cs="Times New Roman"/>
                </w:rPr>
                <w:tag w:val="_PLD_5ff02c2ae2d941d5bb2ed5b1e6bfa8e6"/>
                <w:id w:val="103897826"/>
                <w:lock w:val="sdtLocked"/>
              </w:sdtPr>
              <w:sdtEndPr>
                <w:rPr>
                  <w:rFonts w:ascii="Times New Roman" w:hAnsi="Times New Roman" w:cs="Times New Roman"/>
                </w:rPr>
              </w:sdtEndPr>
              <w:sdtContent>
                <w:tc>
                  <w:tcPr>
                    <w:tcW w:w="924" w:type="pct"/>
                    <w:vAlign w:val="center"/>
                  </w:tcPr>
                  <w:p>
                    <w:pPr>
                      <w:widowControl w:val="0"/>
                      <w:jc w:val="center"/>
                      <w:rPr>
                        <w:rFonts w:ascii="Times New Roman" w:hAnsi="Times New Roman" w:cs="Times New Roman"/>
                        <w:szCs w:val="21"/>
                      </w:rPr>
                    </w:pPr>
                    <w:r>
                      <w:rPr>
                        <w:rFonts w:ascii="Times New Roman" w:cs="Times New Roman"/>
                        <w:szCs w:val="21"/>
                      </w:rPr>
                      <w:t>上年同期金额</w:t>
                    </w:r>
                  </w:p>
                </w:tc>
              </w:sdtContent>
            </w:sdt>
            <w:sdt>
              <w:sdtPr>
                <w:rPr>
                  <w:rFonts w:ascii="Times New Roman" w:hAnsi="Times New Roman" w:cs="Times New Roman"/>
                </w:rPr>
                <w:tag w:val="_PLD_517f7979a01748fba12b11d5561fdcdd"/>
                <w:id w:val="103897827"/>
                <w:lock w:val="sdtLocked"/>
              </w:sdtPr>
              <w:sdtEndPr>
                <w:rPr>
                  <w:rFonts w:ascii="Times New Roman" w:hAnsi="Times New Roman" w:cs="Times New Roman"/>
                </w:rPr>
              </w:sdtEndPr>
              <w:sdtContent>
                <w:tc>
                  <w:tcPr>
                    <w:tcW w:w="565" w:type="pct"/>
                    <w:vAlign w:val="center"/>
                  </w:tcPr>
                  <w:p>
                    <w:pPr>
                      <w:widowControl w:val="0"/>
                      <w:jc w:val="center"/>
                      <w:rPr>
                        <w:rFonts w:ascii="Times New Roman" w:hAnsi="Times New Roman" w:cs="Times New Roman"/>
                        <w:szCs w:val="21"/>
                      </w:rPr>
                    </w:pPr>
                    <w:r>
                      <w:rPr>
                        <w:rFonts w:ascii="Times New Roman" w:cs="Times New Roman"/>
                        <w:szCs w:val="21"/>
                      </w:rPr>
                      <w:t>上年同期占总成本比例</w:t>
                    </w:r>
                    <w:r>
                      <w:rPr>
                        <w:rFonts w:ascii="Times New Roman" w:hAnsi="Times New Roman" w:cs="Times New Roman"/>
                        <w:szCs w:val="21"/>
                      </w:rPr>
                      <w:t>(%)</w:t>
                    </w:r>
                  </w:p>
                </w:tc>
              </w:sdtContent>
            </w:sdt>
            <w:sdt>
              <w:sdtPr>
                <w:rPr>
                  <w:rFonts w:ascii="Times New Roman" w:hAnsi="Times New Roman" w:cs="Times New Roman"/>
                </w:rPr>
                <w:tag w:val="_PLD_51133d067ddc4eeda00133d4c26d206f"/>
                <w:id w:val="103897828"/>
                <w:lock w:val="sdtLocked"/>
              </w:sdtPr>
              <w:sdtEndPr>
                <w:rPr>
                  <w:rFonts w:ascii="Times New Roman" w:hAnsi="Times New Roman" w:cs="Times New Roman"/>
                </w:rPr>
              </w:sdtEndPr>
              <w:sdtContent>
                <w:tc>
                  <w:tcPr>
                    <w:tcW w:w="628" w:type="pct"/>
                    <w:vAlign w:val="center"/>
                  </w:tcPr>
                  <w:p>
                    <w:pPr>
                      <w:widowControl w:val="0"/>
                      <w:jc w:val="center"/>
                      <w:rPr>
                        <w:rFonts w:ascii="Times New Roman" w:hAnsi="Times New Roman" w:cs="Times New Roman"/>
                        <w:szCs w:val="21"/>
                      </w:rPr>
                    </w:pPr>
                    <w:r>
                      <w:rPr>
                        <w:rFonts w:ascii="Times New Roman" w:cs="Times New Roman"/>
                        <w:szCs w:val="21"/>
                      </w:rPr>
                      <w:t>本期金额较上年同期变动比例</w:t>
                    </w:r>
                    <w:r>
                      <w:rPr>
                        <w:rFonts w:ascii="Times New Roman" w:hAnsi="Times New Roman" w:cs="Times New Roman"/>
                        <w:szCs w:val="21"/>
                      </w:rPr>
                      <w:t>(%)</w:t>
                    </w:r>
                  </w:p>
                </w:tc>
              </w:sdtContent>
            </w:sdt>
            <w:sdt>
              <w:sdtPr>
                <w:rPr>
                  <w:rFonts w:ascii="Times New Roman" w:hAnsi="Times New Roman" w:cs="Times New Roman"/>
                </w:rPr>
                <w:tag w:val="_PLD_88c2b4dabd62472381be05c0702377e2"/>
                <w:id w:val="103897829"/>
                <w:lock w:val="sdtLocked"/>
              </w:sdtPr>
              <w:sdtEndPr>
                <w:rPr>
                  <w:rFonts w:ascii="Times New Roman" w:hAnsi="Times New Roman" w:cs="Times New Roman"/>
                </w:rPr>
              </w:sdtEndPr>
              <w:sdtContent>
                <w:tc>
                  <w:tcPr>
                    <w:tcW w:w="239" w:type="pct"/>
                    <w:vAlign w:val="center"/>
                  </w:tcPr>
                  <w:p>
                    <w:pPr>
                      <w:widowControl w:val="0"/>
                      <w:jc w:val="center"/>
                      <w:rPr>
                        <w:rFonts w:ascii="Times New Roman" w:hAnsi="Times New Roman" w:cs="Times New Roman"/>
                        <w:szCs w:val="21"/>
                      </w:rPr>
                    </w:pPr>
                    <w:r>
                      <w:rPr>
                        <w:rFonts w:ascii="Times New Roman" w:cs="Times New Roman"/>
                        <w:szCs w:val="21"/>
                      </w:rPr>
                      <w:t>情况</w:t>
                    </w:r>
                  </w:p>
                  <w:p>
                    <w:pPr>
                      <w:widowControl w:val="0"/>
                      <w:jc w:val="center"/>
                      <w:rPr>
                        <w:rFonts w:ascii="Times New Roman" w:hAnsi="Times New Roman" w:cs="Times New Roman"/>
                        <w:szCs w:val="21"/>
                      </w:rPr>
                    </w:pPr>
                    <w:r>
                      <w:rPr>
                        <w:rFonts w:ascii="Times New Roman" w:cs="Times New Roman"/>
                        <w:szCs w:val="21"/>
                      </w:rPr>
                      <w:t>说明</w:t>
                    </w:r>
                  </w:p>
                </w:tc>
              </w:sdtContent>
            </w:sdt>
          </w:tr>
          <w:sdt>
            <w:sdtPr>
              <w:rPr>
                <w:rFonts w:ascii="Times New Roman" w:hAnsi="Times New Roman" w:cs="Times New Roman" w:eastAsiaTheme="minorEastAsia"/>
                <w:kern w:val="2"/>
                <w:szCs w:val="21"/>
              </w:rPr>
              <w:alias w:val="分行业成本分析"/>
              <w:tag w:val="_TUP_fb9e3026efbd4a2c91fdedd10a926f41"/>
              <w:id w:val="103897830"/>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restart"/>
                    <w:vAlign w:val="center"/>
                  </w:tcPr>
                  <w:p>
                    <w:pPr>
                      <w:widowControl w:val="0"/>
                      <w:jc w:val="center"/>
                      <w:rPr>
                        <w:rFonts w:ascii="Times New Roman" w:hAnsi="Times New Roman" w:cs="Times New Roman"/>
                        <w:szCs w:val="21"/>
                      </w:rPr>
                    </w:pPr>
                    <w:r>
                      <w:rPr>
                        <w:rFonts w:ascii="Times New Roman" w:cs="Times New Roman"/>
                      </w:rPr>
                      <w:t>工业</w:t>
                    </w:r>
                  </w:p>
                  <w:p>
                    <w:pPr>
                      <w:widowControl w:val="0"/>
                      <w:jc w:val="center"/>
                      <w:rPr>
                        <w:rFonts w:ascii="Times New Roman" w:hAnsi="Times New Roman" w:cs="Times New Roman"/>
                        <w:szCs w:val="21"/>
                      </w:rPr>
                    </w:pPr>
                  </w:p>
                </w:tc>
                <w:tc>
                  <w:tcPr>
                    <w:tcW w:w="634" w:type="pct"/>
                    <w:vAlign w:val="center"/>
                  </w:tcPr>
                  <w:p>
                    <w:pPr>
                      <w:widowControl w:val="0"/>
                      <w:jc w:val="both"/>
                      <w:rPr>
                        <w:rFonts w:ascii="Times New Roman" w:hAnsi="Times New Roman" w:cs="Times New Roman"/>
                        <w:sz w:val="24"/>
                      </w:rPr>
                    </w:pPr>
                    <w:r>
                      <w:rPr>
                        <w:rFonts w:ascii="Times New Roman" w:cs="Times New Roman"/>
                      </w:rPr>
                      <w:t>材料</w:t>
                    </w:r>
                  </w:p>
                </w:tc>
                <w:tc>
                  <w:tcPr>
                    <w:tcW w:w="860" w:type="pct"/>
                    <w:vAlign w:val="center"/>
                  </w:tcPr>
                  <w:p>
                    <w:pPr>
                      <w:widowControl w:val="0"/>
                      <w:jc w:val="right"/>
                      <w:rPr>
                        <w:rFonts w:ascii="Times New Roman" w:hAnsi="Times New Roman" w:cs="Times New Roman"/>
                        <w:sz w:val="24"/>
                      </w:rPr>
                    </w:pPr>
                    <w:r>
                      <w:rPr>
                        <w:rFonts w:ascii="Times New Roman" w:hAnsi="Times New Roman" w:cs="Times New Roman"/>
                      </w:rPr>
                      <w:t>352,094,965.15</w:t>
                    </w:r>
                  </w:p>
                </w:tc>
                <w:tc>
                  <w:tcPr>
                    <w:tcW w:w="548" w:type="pct"/>
                    <w:gridSpan w:val="2"/>
                    <w:vAlign w:val="center"/>
                  </w:tcPr>
                  <w:p>
                    <w:pPr>
                      <w:widowControl w:val="0"/>
                      <w:jc w:val="right"/>
                      <w:rPr>
                        <w:rFonts w:ascii="Times New Roman" w:hAnsi="Times New Roman" w:cs="Times New Roman"/>
                        <w:sz w:val="24"/>
                      </w:rPr>
                    </w:pPr>
                    <w:r>
                      <w:rPr>
                        <w:rFonts w:ascii="Times New Roman" w:hAnsi="Times New Roman" w:cs="Times New Roman"/>
                      </w:rPr>
                      <w:t>62.05</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353,880,681.42</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66.21</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-0.50</w:t>
                    </w:r>
                  </w:p>
                </w:tc>
                <w:tc>
                  <w:tcPr>
                    <w:tcW w:w="239" w:type="pct"/>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行业成本分析"/>
              <w:tag w:val="_TUP_fb9e3026efbd4a2c91fdedd10a926f41"/>
              <w:id w:val="103897831"/>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tcPr>
                  <w:p>
                    <w:pPr>
                      <w:widowControl w:val="0"/>
                      <w:jc w:val="both"/>
                      <w:rPr>
                        <w:rFonts w:ascii="Times New Roman" w:hAnsi="Times New Roman" w:cs="Times New Roman"/>
                        <w:szCs w:val="21"/>
                      </w:rPr>
                    </w:pPr>
                  </w:p>
                </w:tc>
                <w:tc>
                  <w:tcPr>
                    <w:tcW w:w="634" w:type="pct"/>
                    <w:vAlign w:val="center"/>
                  </w:tcPr>
                  <w:p>
                    <w:pPr>
                      <w:widowControl w:val="0"/>
                      <w:jc w:val="both"/>
                      <w:rPr>
                        <w:rFonts w:ascii="Times New Roman" w:hAnsi="Times New Roman" w:cs="Times New Roman"/>
                        <w:sz w:val="24"/>
                      </w:rPr>
                    </w:pPr>
                    <w:r>
                      <w:rPr>
                        <w:rFonts w:ascii="Times New Roman" w:cs="Times New Roman"/>
                      </w:rPr>
                      <w:t>人工</w:t>
                    </w:r>
                  </w:p>
                </w:tc>
                <w:tc>
                  <w:tcPr>
                    <w:tcW w:w="860" w:type="pct"/>
                    <w:vAlign w:val="center"/>
                  </w:tcPr>
                  <w:p>
                    <w:pPr>
                      <w:widowControl w:val="0"/>
                      <w:jc w:val="right"/>
                      <w:rPr>
                        <w:rFonts w:ascii="Times New Roman" w:hAnsi="Times New Roman" w:cs="Times New Roman"/>
                        <w:sz w:val="24"/>
                      </w:rPr>
                    </w:pPr>
                    <w:r>
                      <w:rPr>
                        <w:rFonts w:ascii="Times New Roman" w:hAnsi="Times New Roman" w:cs="Times New Roman"/>
                      </w:rPr>
                      <w:t>46,473,598.77</w:t>
                    </w:r>
                  </w:p>
                </w:tc>
                <w:tc>
                  <w:tcPr>
                    <w:tcW w:w="548" w:type="pct"/>
                    <w:gridSpan w:val="2"/>
                    <w:vAlign w:val="center"/>
                  </w:tcPr>
                  <w:p>
                    <w:pPr>
                      <w:widowControl w:val="0"/>
                      <w:jc w:val="right"/>
                      <w:rPr>
                        <w:rFonts w:ascii="Times New Roman" w:hAnsi="Times New Roman" w:cs="Times New Roman"/>
                        <w:sz w:val="24"/>
                      </w:rPr>
                    </w:pPr>
                    <w:r>
                      <w:rPr>
                        <w:rFonts w:ascii="Times New Roman" w:hAnsi="Times New Roman" w:cs="Times New Roman"/>
                      </w:rPr>
                      <w:t>8.19</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39,241,073.77</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7.34</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18.43</w:t>
                    </w:r>
                  </w:p>
                </w:tc>
                <w:tc>
                  <w:tcPr>
                    <w:tcW w:w="239" w:type="pct"/>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行业成本分析"/>
              <w:tag w:val="_TUP_fb9e3026efbd4a2c91fdedd10a926f41"/>
              <w:id w:val="10389783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tcPr>
                  <w:p>
                    <w:pPr>
                      <w:widowControl w:val="0"/>
                      <w:jc w:val="both"/>
                      <w:rPr>
                        <w:rFonts w:ascii="Times New Roman" w:hAnsi="Times New Roman" w:cs="Times New Roman"/>
                        <w:szCs w:val="21"/>
                      </w:rPr>
                    </w:pPr>
                  </w:p>
                </w:tc>
                <w:tc>
                  <w:tcPr>
                    <w:tcW w:w="634" w:type="pct"/>
                    <w:vAlign w:val="center"/>
                  </w:tcPr>
                  <w:p>
                    <w:pPr>
                      <w:widowControl w:val="0"/>
                      <w:jc w:val="both"/>
                      <w:rPr>
                        <w:rFonts w:ascii="Times New Roman" w:hAnsi="Times New Roman" w:cs="Times New Roman"/>
                        <w:sz w:val="24"/>
                      </w:rPr>
                    </w:pPr>
                    <w:r>
                      <w:rPr>
                        <w:rFonts w:ascii="Times New Roman" w:cs="Times New Roman"/>
                      </w:rPr>
                      <w:t>燃料动力</w:t>
                    </w:r>
                  </w:p>
                </w:tc>
                <w:tc>
                  <w:tcPr>
                    <w:tcW w:w="860" w:type="pct"/>
                    <w:vAlign w:val="center"/>
                  </w:tcPr>
                  <w:p>
                    <w:pPr>
                      <w:widowControl w:val="0"/>
                      <w:jc w:val="right"/>
                      <w:rPr>
                        <w:rFonts w:ascii="Times New Roman" w:hAnsi="Times New Roman" w:cs="Times New Roman"/>
                        <w:sz w:val="24"/>
                      </w:rPr>
                    </w:pPr>
                    <w:r>
                      <w:rPr>
                        <w:rFonts w:ascii="Times New Roman" w:hAnsi="Times New Roman" w:cs="Times New Roman"/>
                      </w:rPr>
                      <w:t>12,400,322.32</w:t>
                    </w:r>
                  </w:p>
                </w:tc>
                <w:tc>
                  <w:tcPr>
                    <w:tcW w:w="548" w:type="pct"/>
                    <w:gridSpan w:val="2"/>
                    <w:vAlign w:val="center"/>
                  </w:tcPr>
                  <w:p>
                    <w:pPr>
                      <w:widowControl w:val="0"/>
                      <w:jc w:val="right"/>
                      <w:rPr>
                        <w:rFonts w:ascii="Times New Roman" w:hAnsi="Times New Roman" w:cs="Times New Roman"/>
                        <w:sz w:val="24"/>
                      </w:rPr>
                    </w:pPr>
                    <w:r>
                      <w:rPr>
                        <w:rFonts w:ascii="Times New Roman" w:hAnsi="Times New Roman" w:cs="Times New Roman"/>
                      </w:rPr>
                      <w:t>2.19</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10,595,904.05</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1.98</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17.03</w:t>
                    </w:r>
                  </w:p>
                </w:tc>
                <w:tc>
                  <w:tcPr>
                    <w:tcW w:w="239" w:type="pct"/>
                  </w:tcPr>
                  <w:p>
                    <w:pPr>
                      <w:widowControl w:val="0"/>
                      <w:jc w:val="both"/>
                      <w:rPr>
                        <w:rFonts w:ascii="Times New Roman" w:hAnsi="Times New Roman" w:cs="Times New Roman"/>
                        <w:szCs w:val="21"/>
                      </w:rPr>
                    </w:pPr>
                  </w:p>
                </w:tc>
              </w:tr>
            </w:sdtContent>
          </w:sdt>
          <w:sdt>
            <w:sdtPr>
              <w:rPr>
                <w:rFonts w:ascii="Times New Roman" w:hAnsi="Times New Roman" w:cs="Times New Roman"/>
                <w:szCs w:val="21"/>
              </w:rPr>
              <w:alias w:val="分行业成本分析"/>
              <w:tag w:val="_TUP_fb9e3026efbd4a2c91fdedd10a926f41"/>
              <w:id w:val="103897833"/>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tcPr>
                  <w:p>
                    <w:pPr>
                      <w:widowControl w:val="0"/>
                      <w:jc w:val="both"/>
                      <w:rPr>
                        <w:rFonts w:ascii="Times New Roman" w:hAnsi="Times New Roman" w:cs="Times New Roman"/>
                        <w:szCs w:val="21"/>
                      </w:rPr>
                    </w:pPr>
                  </w:p>
                </w:tc>
                <w:tc>
                  <w:tcPr>
                    <w:tcW w:w="634" w:type="pct"/>
                    <w:vAlign w:val="center"/>
                  </w:tcPr>
                  <w:p>
                    <w:pPr>
                      <w:widowControl w:val="0"/>
                      <w:jc w:val="both"/>
                      <w:rPr>
                        <w:rFonts w:ascii="Times New Roman" w:hAnsi="Times New Roman" w:cs="Times New Roman"/>
                        <w:sz w:val="24"/>
                      </w:rPr>
                    </w:pPr>
                    <w:r>
                      <w:rPr>
                        <w:rFonts w:ascii="Times New Roman" w:cs="Times New Roman"/>
                      </w:rPr>
                      <w:t>制造费用</w:t>
                    </w:r>
                  </w:p>
                </w:tc>
                <w:tc>
                  <w:tcPr>
                    <w:tcW w:w="860" w:type="pct"/>
                    <w:vAlign w:val="center"/>
                  </w:tcPr>
                  <w:p>
                    <w:pPr>
                      <w:widowControl w:val="0"/>
                      <w:jc w:val="right"/>
                      <w:rPr>
                        <w:rFonts w:ascii="Times New Roman" w:hAnsi="Times New Roman" w:cs="Times New Roman"/>
                        <w:sz w:val="24"/>
                      </w:rPr>
                    </w:pPr>
                    <w:r>
                      <w:rPr>
                        <w:rFonts w:ascii="Times New Roman" w:hAnsi="Times New Roman" w:cs="Times New Roman"/>
                      </w:rPr>
                      <w:t>38,441,520.86</w:t>
                    </w:r>
                  </w:p>
                </w:tc>
                <w:tc>
                  <w:tcPr>
                    <w:tcW w:w="548" w:type="pct"/>
                    <w:gridSpan w:val="2"/>
                    <w:vAlign w:val="center"/>
                  </w:tcPr>
                  <w:p>
                    <w:pPr>
                      <w:widowControl w:val="0"/>
                      <w:jc w:val="right"/>
                      <w:rPr>
                        <w:rFonts w:ascii="Times New Roman" w:hAnsi="Times New Roman" w:cs="Times New Roman"/>
                        <w:sz w:val="24"/>
                      </w:rPr>
                    </w:pPr>
                    <w:r>
                      <w:rPr>
                        <w:rFonts w:ascii="Times New Roman" w:hAnsi="Times New Roman" w:cs="Times New Roman"/>
                      </w:rPr>
                      <w:t>6.77</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34,631,389.38</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6.48</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11.00</w:t>
                    </w:r>
                  </w:p>
                </w:tc>
                <w:tc>
                  <w:tcPr>
                    <w:tcW w:w="239" w:type="pct"/>
                  </w:tcPr>
                  <w:p>
                    <w:pPr>
                      <w:widowControl w:val="0"/>
                      <w:jc w:val="both"/>
                      <w:rPr>
                        <w:rFonts w:ascii="Times New Roman" w:hAnsi="Times New Roman" w:cs="Times New Roman"/>
                        <w:szCs w:val="21"/>
                      </w:rPr>
                    </w:pPr>
                  </w:p>
                </w:tc>
              </w:tr>
            </w:sdtContent>
          </w:sdt>
          <w:sdt>
            <w:sdtPr>
              <w:rPr>
                <w:rFonts w:ascii="Times New Roman" w:hAnsi="Times New Roman" w:cs="Times New Roman"/>
                <w:szCs w:val="21"/>
              </w:rPr>
              <w:alias w:val="分行业成本分析"/>
              <w:tag w:val="_TUP_fb9e3026efbd4a2c91fdedd10a926f41"/>
              <w:id w:val="10389783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tcPr>
                  <w:p>
                    <w:pPr>
                      <w:widowControl w:val="0"/>
                      <w:jc w:val="both"/>
                      <w:rPr>
                        <w:rFonts w:ascii="Times New Roman" w:hAnsi="Times New Roman" w:cs="Times New Roman"/>
                        <w:szCs w:val="21"/>
                      </w:rPr>
                    </w:pPr>
                  </w:p>
                </w:tc>
                <w:tc>
                  <w:tcPr>
                    <w:tcW w:w="634" w:type="pct"/>
                    <w:vAlign w:val="center"/>
                  </w:tcPr>
                  <w:p>
                    <w:pPr>
                      <w:widowControl w:val="0"/>
                      <w:jc w:val="both"/>
                      <w:rPr>
                        <w:rFonts w:ascii="Times New Roman" w:hAnsi="Times New Roman" w:cs="Times New Roman"/>
                        <w:szCs w:val="21"/>
                      </w:rPr>
                    </w:pPr>
                    <w:r>
                      <w:rPr>
                        <w:rFonts w:ascii="Times New Roman" w:cs="Times New Roman"/>
                      </w:rPr>
                      <w:t>运输费用</w:t>
                    </w:r>
                  </w:p>
                </w:tc>
                <w:tc>
                  <w:tcPr>
                    <w:tcW w:w="860" w:type="pct"/>
                    <w:vAlign w:val="center"/>
                  </w:tcPr>
                  <w:p>
                    <w:pPr>
                      <w:widowControl w:val="0"/>
                      <w:jc w:val="right"/>
                      <w:rPr>
                        <w:rFonts w:ascii="Times New Roman" w:hAnsi="Times New Roman" w:cs="Times New Roman"/>
                        <w:sz w:val="24"/>
                      </w:rPr>
                    </w:pPr>
                    <w:r>
                      <w:rPr>
                        <w:rFonts w:ascii="Times New Roman" w:hAnsi="Times New Roman" w:cs="Times New Roman"/>
                      </w:rPr>
                      <w:t>16,264,476.93</w:t>
                    </w:r>
                  </w:p>
                </w:tc>
                <w:tc>
                  <w:tcPr>
                    <w:tcW w:w="548" w:type="pct"/>
                    <w:gridSpan w:val="2"/>
                    <w:vAlign w:val="center"/>
                  </w:tcPr>
                  <w:p>
                    <w:pPr>
                      <w:widowControl w:val="0"/>
                      <w:jc w:val="right"/>
                      <w:rPr>
                        <w:rFonts w:ascii="Times New Roman" w:hAnsi="Times New Roman" w:cs="Times New Roman"/>
                        <w:sz w:val="24"/>
                      </w:rPr>
                    </w:pPr>
                    <w:r>
                      <w:rPr>
                        <w:rFonts w:ascii="Times New Roman" w:hAnsi="Times New Roman" w:cs="Times New Roman"/>
                      </w:rPr>
                      <w:t>2.87</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18,756,804.24</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3.51</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-13.29</w:t>
                    </w:r>
                  </w:p>
                </w:tc>
                <w:tc>
                  <w:tcPr>
                    <w:tcW w:w="239" w:type="pct"/>
                  </w:tcPr>
                  <w:p>
                    <w:pPr>
                      <w:widowControl w:val="0"/>
                      <w:jc w:val="both"/>
                      <w:rPr>
                        <w:rFonts w:ascii="Times New Roman" w:hAnsi="Times New Roman" w:cs="Times New Roman" w:eastAsiaTheme="minorEastAsia"/>
                        <w:kern w:val="2"/>
                        <w:szCs w:val="21"/>
                      </w:rPr>
                    </w:pPr>
                  </w:p>
                </w:tc>
              </w:tr>
            </w:sdtContent>
          </w:sdt>
          <w:sdt>
            <w:sdtPr>
              <w:rPr>
                <w:rFonts w:ascii="Times New Roman" w:hAnsi="Times New Roman" w:cs="Times New Roman"/>
                <w:szCs w:val="21"/>
              </w:rPr>
              <w:alias w:val="分行业成本分析"/>
              <w:tag w:val="_TUP_fb9e3026efbd4a2c91fdedd10a926f41"/>
              <w:id w:val="103897835"/>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tcPr>
                  <w:p>
                    <w:pPr>
                      <w:widowControl w:val="0"/>
                      <w:jc w:val="both"/>
                      <w:rPr>
                        <w:rFonts w:ascii="Times New Roman" w:hAnsi="Times New Roman" w:cs="Times New Roman"/>
                        <w:szCs w:val="21"/>
                      </w:rPr>
                    </w:pPr>
                  </w:p>
                </w:tc>
                <w:tc>
                  <w:tcPr>
                    <w:tcW w:w="634" w:type="pct"/>
                    <w:vAlign w:val="center"/>
                  </w:tcPr>
                  <w:p>
                    <w:pPr>
                      <w:widowControl w:val="0"/>
                      <w:jc w:val="both"/>
                      <w:rPr>
                        <w:rFonts w:ascii="Times New Roman" w:hAnsi="Times New Roman" w:cs="Times New Roman"/>
                        <w:sz w:val="24"/>
                      </w:rPr>
                    </w:pPr>
                    <w:r>
                      <w:rPr>
                        <w:rFonts w:ascii="Times New Roman" w:cs="Times New Roman"/>
                      </w:rPr>
                      <w:t>外购产品采购成本</w:t>
                    </w:r>
                  </w:p>
                </w:tc>
                <w:tc>
                  <w:tcPr>
                    <w:tcW w:w="860" w:type="pct"/>
                    <w:vAlign w:val="center"/>
                  </w:tcPr>
                  <w:p>
                    <w:pPr>
                      <w:widowControl w:val="0"/>
                      <w:jc w:val="right"/>
                      <w:rPr>
                        <w:rFonts w:ascii="Times New Roman" w:hAnsi="Times New Roman" w:cs="Times New Roman"/>
                        <w:sz w:val="24"/>
                      </w:rPr>
                    </w:pPr>
                    <w:r>
                      <w:rPr>
                        <w:rFonts w:ascii="Times New Roman" w:hAnsi="Times New Roman" w:cs="Times New Roman"/>
                      </w:rPr>
                      <w:t>62,668,828.21</w:t>
                    </w:r>
                  </w:p>
                </w:tc>
                <w:tc>
                  <w:tcPr>
                    <w:tcW w:w="548" w:type="pct"/>
                    <w:gridSpan w:val="2"/>
                    <w:vAlign w:val="center"/>
                  </w:tcPr>
                  <w:p>
                    <w:pPr>
                      <w:widowControl w:val="0"/>
                      <w:jc w:val="right"/>
                      <w:rPr>
                        <w:rFonts w:ascii="Times New Roman" w:hAnsi="Times New Roman" w:cs="Times New Roman"/>
                        <w:sz w:val="24"/>
                      </w:rPr>
                    </w:pPr>
                    <w:r>
                      <w:rPr>
                        <w:rFonts w:ascii="Times New Roman" w:hAnsi="Times New Roman" w:cs="Times New Roman"/>
                      </w:rPr>
                      <w:t>11.04</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61,394,387.25</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11.49</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2.08</w:t>
                    </w:r>
                  </w:p>
                </w:tc>
                <w:tc>
                  <w:tcPr>
                    <w:tcW w:w="239" w:type="pct"/>
                  </w:tcPr>
                  <w:p>
                    <w:pPr>
                      <w:widowControl w:val="0"/>
                      <w:jc w:val="both"/>
                      <w:rPr>
                        <w:rFonts w:ascii="Times New Roman" w:hAnsi="Times New Roman" w:cs="Times New Roman"/>
                        <w:szCs w:val="21"/>
                      </w:rPr>
                    </w:pPr>
                  </w:p>
                </w:tc>
              </w:tr>
            </w:sdtContent>
          </w:sdt>
          <w:sdt>
            <w:sdtPr>
              <w:rPr>
                <w:rFonts w:ascii="Times New Roman" w:hAnsi="Times New Roman" w:cs="Times New Roman"/>
                <w:szCs w:val="21"/>
              </w:rPr>
              <w:alias w:val="分行业成本分析"/>
              <w:tag w:val="_TUP_fb9e3026efbd4a2c91fdedd10a926f41"/>
              <w:id w:val="103897836"/>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tcPr>
                  <w:p>
                    <w:pPr>
                      <w:widowControl w:val="0"/>
                      <w:jc w:val="both"/>
                      <w:rPr>
                        <w:rFonts w:ascii="Times New Roman" w:hAnsi="Times New Roman" w:cs="Times New Roman"/>
                        <w:szCs w:val="21"/>
                      </w:rPr>
                    </w:pPr>
                  </w:p>
                </w:tc>
                <w:tc>
                  <w:tcPr>
                    <w:tcW w:w="634" w:type="pct"/>
                    <w:vAlign w:val="center"/>
                  </w:tcPr>
                  <w:p>
                    <w:pPr>
                      <w:widowControl w:val="0"/>
                      <w:jc w:val="both"/>
                      <w:rPr>
                        <w:rFonts w:ascii="Times New Roman" w:hAnsi="Times New Roman" w:cs="Times New Roman"/>
                        <w:sz w:val="24"/>
                      </w:rPr>
                    </w:pPr>
                    <w:r>
                      <w:rPr>
                        <w:rFonts w:ascii="Times New Roman" w:cs="Times New Roman"/>
                      </w:rPr>
                      <w:t>工业成本小计</w:t>
                    </w:r>
                  </w:p>
                </w:tc>
                <w:tc>
                  <w:tcPr>
                    <w:tcW w:w="860" w:type="pct"/>
                    <w:vAlign w:val="center"/>
                  </w:tcPr>
                  <w:p>
                    <w:pPr>
                      <w:widowControl w:val="0"/>
                      <w:jc w:val="right"/>
                      <w:rPr>
                        <w:rFonts w:ascii="Times New Roman" w:hAnsi="Times New Roman" w:cs="Times New Roman"/>
                        <w:sz w:val="24"/>
                      </w:rPr>
                    </w:pPr>
                    <w:r>
                      <w:rPr>
                        <w:rFonts w:ascii="Times New Roman" w:hAnsi="Times New Roman" w:cs="Times New Roman"/>
                      </w:rPr>
                      <w:t>528,343,712.24</w:t>
                    </w:r>
                  </w:p>
                </w:tc>
                <w:tc>
                  <w:tcPr>
                    <w:tcW w:w="548" w:type="pct"/>
                    <w:gridSpan w:val="2"/>
                    <w:vAlign w:val="center"/>
                  </w:tcPr>
                  <w:p>
                    <w:pPr>
                      <w:widowControl w:val="0"/>
                      <w:jc w:val="right"/>
                      <w:rPr>
                        <w:rFonts w:ascii="Times New Roman" w:hAnsi="Times New Roman" w:cs="Times New Roman"/>
                        <w:sz w:val="24"/>
                      </w:rPr>
                    </w:pPr>
                    <w:r>
                      <w:rPr>
                        <w:rFonts w:ascii="Times New Roman" w:hAnsi="Times New Roman" w:cs="Times New Roman"/>
                      </w:rPr>
                      <w:t>93.11</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518,500,240.11</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97.01</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1.90</w:t>
                    </w:r>
                  </w:p>
                </w:tc>
                <w:tc>
                  <w:tcPr>
                    <w:tcW w:w="239" w:type="pct"/>
                  </w:tcPr>
                  <w:p>
                    <w:pPr>
                      <w:widowControl w:val="0"/>
                      <w:jc w:val="both"/>
                      <w:rPr>
                        <w:rFonts w:ascii="Times New Roman" w:hAnsi="Times New Roman" w:cs="Times New Roman"/>
                        <w:szCs w:val="21"/>
                      </w:rPr>
                    </w:pPr>
                  </w:p>
                </w:tc>
              </w:tr>
            </w:sdtContent>
          </w:sdt>
          <w:sdt>
            <w:sdtPr>
              <w:rPr>
                <w:rFonts w:ascii="Times New Roman" w:hAnsi="Times New Roman" w:cs="Times New Roman" w:eastAsiaTheme="minorEastAsia"/>
                <w:kern w:val="2"/>
                <w:szCs w:val="21"/>
              </w:rPr>
              <w:alias w:val="分行业成本分析"/>
              <w:tag w:val="_TUP_fb9e3026efbd4a2c91fdedd10a926f41"/>
              <w:id w:val="103897837"/>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tcPr>
                  <w:p>
                    <w:pPr>
                      <w:widowControl w:val="0"/>
                      <w:jc w:val="both"/>
                      <w:rPr>
                        <w:rFonts w:ascii="Times New Roman" w:hAnsi="Times New Roman" w:cs="Times New Roman"/>
                        <w:szCs w:val="21"/>
                      </w:rPr>
                    </w:pPr>
                    <w:r>
                      <w:rPr>
                        <w:rFonts w:ascii="Times New Roman" w:cs="Times New Roman"/>
                      </w:rPr>
                      <w:t>商业贸易</w:t>
                    </w:r>
                  </w:p>
                </w:tc>
                <w:tc>
                  <w:tcPr>
                    <w:tcW w:w="634" w:type="pct"/>
                  </w:tcPr>
                  <w:p>
                    <w:pPr>
                      <w:widowControl w:val="0"/>
                      <w:jc w:val="both"/>
                      <w:rPr>
                        <w:rFonts w:ascii="Times New Roman" w:hAnsi="Times New Roman" w:cs="Times New Roman"/>
                        <w:szCs w:val="21"/>
                      </w:rPr>
                    </w:pPr>
                    <w:r>
                      <w:rPr>
                        <w:rFonts w:ascii="Times New Roman" w:cs="Times New Roman"/>
                      </w:rPr>
                      <w:t>商业贸易成本</w:t>
                    </w:r>
                  </w:p>
                </w:tc>
                <w:tc>
                  <w:tcPr>
                    <w:tcW w:w="860" w:type="pct"/>
                    <w:vAlign w:val="center"/>
                  </w:tcPr>
                  <w:p>
                    <w:pPr>
                      <w:widowControl w:val="0"/>
                      <w:jc w:val="right"/>
                      <w:rPr>
                        <w:rFonts w:ascii="Times New Roman" w:hAnsi="Times New Roman" w:cs="Times New Roman"/>
                        <w:sz w:val="24"/>
                      </w:rPr>
                    </w:pPr>
                    <w:r>
                      <w:rPr>
                        <w:rFonts w:ascii="Times New Roman" w:hAnsi="Times New Roman" w:cs="Times New Roman"/>
                      </w:rPr>
                      <w:t>39,072,754.12</w:t>
                    </w:r>
                  </w:p>
                </w:tc>
                <w:tc>
                  <w:tcPr>
                    <w:tcW w:w="548" w:type="pct"/>
                    <w:gridSpan w:val="2"/>
                    <w:vAlign w:val="center"/>
                  </w:tcPr>
                  <w:p>
                    <w:pPr>
                      <w:widowControl w:val="0"/>
                      <w:jc w:val="right"/>
                      <w:rPr>
                        <w:rFonts w:ascii="Times New Roman" w:hAnsi="Times New Roman" w:cs="Times New Roman"/>
                        <w:sz w:val="24"/>
                      </w:rPr>
                    </w:pPr>
                    <w:r>
                      <w:rPr>
                        <w:rFonts w:ascii="Times New Roman" w:hAnsi="Times New Roman" w:cs="Times New Roman"/>
                      </w:rPr>
                      <w:t>6.89</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16,004,717.18</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2.99</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144.13</w:t>
                    </w:r>
                  </w:p>
                </w:tc>
                <w:tc>
                  <w:tcPr>
                    <w:tcW w:w="239" w:type="pct"/>
                  </w:tcPr>
                  <w:p>
                    <w:pPr>
                      <w:widowControl w:val="0"/>
                      <w:jc w:val="both"/>
                      <w:rPr>
                        <w:rFonts w:ascii="Times New Roman" w:hAnsi="Times New Roman" w:cs="Times New Roman"/>
                        <w:szCs w:val="21"/>
                      </w:rPr>
                    </w:pPr>
                  </w:p>
                </w:tc>
              </w:tr>
            </w:sdtContent>
          </w:sdt>
          <w:sdt>
            <w:sdtPr>
              <w:rPr>
                <w:rFonts w:ascii="Times New Roman" w:hAnsi="Times New Roman" w:cs="Times New Roman" w:eastAsiaTheme="minorEastAsia"/>
                <w:kern w:val="2"/>
                <w:szCs w:val="21"/>
              </w:rPr>
              <w:alias w:val="分行业成本分析"/>
              <w:tag w:val="_TUP_fb9e3026efbd4a2c91fdedd10a926f41"/>
              <w:id w:val="103897838"/>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tcPr>
                  <w:p>
                    <w:pPr>
                      <w:widowControl w:val="0"/>
                      <w:jc w:val="both"/>
                      <w:rPr>
                        <w:rFonts w:ascii="Times New Roman" w:hAnsi="Times New Roman" w:cs="Times New Roman"/>
                        <w:szCs w:val="21"/>
                      </w:rPr>
                    </w:pPr>
                    <w:r>
                      <w:rPr>
                        <w:rFonts w:ascii="Times New Roman" w:hAnsi="Times New Roman" w:cs="Times New Roman" w:eastAsiaTheme="minorEastAsia"/>
                        <w:kern w:val="2"/>
                        <w:szCs w:val="21"/>
                      </w:rPr>
                      <w:t>合计</w:t>
                    </w:r>
                  </w:p>
                </w:tc>
                <w:tc>
                  <w:tcPr>
                    <w:tcW w:w="634" w:type="pct"/>
                    <w:vAlign w:val="center"/>
                  </w:tcPr>
                  <w:p>
                    <w:pPr>
                      <w:widowControl w:val="0"/>
                      <w:jc w:val="center"/>
                      <w:rPr>
                        <w:rFonts w:ascii="Times New Roman" w:hAnsi="Times New Roman" w:cs="Times New Roman"/>
                        <w:sz w:val="24"/>
                      </w:rPr>
                    </w:pPr>
                    <w:r>
                      <w:rPr>
                        <w:rFonts w:ascii="Times New Roman" w:hAnsi="Times New Roman" w:cs="Times New Roman"/>
                        <w:sz w:val="24"/>
                      </w:rPr>
                      <w:t>/</w:t>
                    </w:r>
                  </w:p>
                </w:tc>
                <w:tc>
                  <w:tcPr>
                    <w:tcW w:w="860" w:type="pct"/>
                    <w:vAlign w:val="center"/>
                  </w:tcPr>
                  <w:p>
                    <w:pPr>
                      <w:widowControl w:val="0"/>
                      <w:jc w:val="right"/>
                      <w:rPr>
                        <w:rFonts w:ascii="Times New Roman" w:hAnsi="Times New Roman" w:cs="Times New Roman"/>
                        <w:sz w:val="24"/>
                      </w:rPr>
                    </w:pPr>
                    <w:r>
                      <w:rPr>
                        <w:rFonts w:ascii="Times New Roman" w:hAnsi="Times New Roman" w:cs="Times New Roman"/>
                      </w:rPr>
                      <w:t>567,416,466.36</w:t>
                    </w:r>
                  </w:p>
                </w:tc>
                <w:tc>
                  <w:tcPr>
                    <w:tcW w:w="548" w:type="pct"/>
                    <w:gridSpan w:val="2"/>
                    <w:vAlign w:val="center"/>
                  </w:tcPr>
                  <w:p>
                    <w:pPr>
                      <w:widowControl w:val="0"/>
                      <w:jc w:val="right"/>
                      <w:rPr>
                        <w:rFonts w:ascii="Times New Roman" w:hAnsi="Times New Roman" w:cs="Times New Roman"/>
                        <w:sz w:val="24"/>
                      </w:rPr>
                    </w:pPr>
                    <w:r>
                      <w:rPr>
                        <w:rFonts w:ascii="Times New Roman" w:hAnsi="Times New Roman" w:cs="Times New Roman"/>
                      </w:rPr>
                      <w:t>100.00</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534,504,957.29</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100.00</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6.16</w:t>
                    </w:r>
                  </w:p>
                </w:tc>
                <w:tc>
                  <w:tcPr>
                    <w:tcW w:w="239" w:type="pct"/>
                  </w:tcPr>
                  <w:p>
                    <w:pPr>
                      <w:widowControl w:val="0"/>
                      <w:jc w:val="center"/>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rPr>
                  <w:rFonts w:ascii="Times New Roman" w:hAnsi="Times New Roman" w:cs="Times New Roman"/>
                </w:rPr>
                <w:tag w:val="_PLD_0092d9f33f1f4ccb96da6cc52c190e39"/>
                <w:id w:val="103897839"/>
                <w:lock w:val="sdtLocked"/>
              </w:sdtPr>
              <w:sdtEndPr>
                <w:rPr>
                  <w:rFonts w:ascii="Times New Roman" w:hAnsi="Times New Roman" w:cs="Times New Roman"/>
                </w:rPr>
              </w:sdtEndPr>
              <w:sdtContent>
                <w:tc>
                  <w:tcPr>
                    <w:tcW w:w="5000" w:type="pct"/>
                    <w:gridSpan w:val="9"/>
                    <w:vAlign w:val="center"/>
                  </w:tcPr>
                  <w:p>
                    <w:pPr>
                      <w:widowControl w:val="0"/>
                      <w:jc w:val="center"/>
                      <w:rPr>
                        <w:rFonts w:ascii="Times New Roman" w:hAnsi="Times New Roman" w:cs="Times New Roman"/>
                        <w:szCs w:val="21"/>
                      </w:rPr>
                    </w:pPr>
                    <w:r>
                      <w:rPr>
                        <w:rFonts w:ascii="Times New Roman" w:cs="Times New Roman"/>
                        <w:szCs w:val="21"/>
                      </w:rPr>
                      <w:t>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rPr>
                  <w:rFonts w:ascii="Times New Roman" w:hAnsi="Times New Roman" w:cs="Times New Roman"/>
                </w:rPr>
                <w:tag w:val="_PLD_c196e3eb716a4b75bda8de0a1a1a5780"/>
                <w:id w:val="103897840"/>
                <w:lock w:val="sdtLocked"/>
              </w:sdtPr>
              <w:sdtEndPr>
                <w:rPr>
                  <w:rFonts w:ascii="Times New Roman" w:hAnsi="Times New Roman" w:cs="Times New Roman"/>
                </w:rPr>
              </w:sdtEndPr>
              <w:sdtContent>
                <w:tc>
                  <w:tcPr>
                    <w:tcW w:w="602" w:type="pct"/>
                    <w:vAlign w:val="center"/>
                  </w:tcPr>
                  <w:p>
                    <w:pPr>
                      <w:widowControl w:val="0"/>
                      <w:jc w:val="both"/>
                      <w:rPr>
                        <w:rFonts w:ascii="Times New Roman" w:hAnsi="Times New Roman" w:cs="Times New Roman"/>
                        <w:szCs w:val="21"/>
                      </w:rPr>
                    </w:pPr>
                    <w:r>
                      <w:rPr>
                        <w:rFonts w:ascii="Times New Roman" w:cs="Times New Roman"/>
                        <w:szCs w:val="21"/>
                      </w:rPr>
                      <w:t>分产品</w:t>
                    </w:r>
                  </w:p>
                </w:tc>
              </w:sdtContent>
            </w:sdt>
            <w:sdt>
              <w:sdtPr>
                <w:rPr>
                  <w:rFonts w:ascii="Times New Roman" w:hAnsi="Times New Roman" w:cs="Times New Roman"/>
                </w:rPr>
                <w:tag w:val="_PLD_9a4782df875a421fa22d5bb28b135494"/>
                <w:id w:val="103897841"/>
                <w:lock w:val="sdtLocked"/>
              </w:sdtPr>
              <w:sdtEndPr>
                <w:rPr>
                  <w:rFonts w:ascii="Times New Roman" w:hAnsi="Times New Roman" w:cs="Times New Roman"/>
                </w:rPr>
              </w:sdtEndPr>
              <w:sdtContent>
                <w:tc>
                  <w:tcPr>
                    <w:tcW w:w="634" w:type="pct"/>
                    <w:vAlign w:val="center"/>
                  </w:tcPr>
                  <w:p>
                    <w:pPr>
                      <w:widowControl w:val="0"/>
                      <w:jc w:val="center"/>
                      <w:rPr>
                        <w:rFonts w:ascii="Times New Roman" w:hAnsi="Times New Roman" w:cs="Times New Roman"/>
                        <w:szCs w:val="21"/>
                      </w:rPr>
                    </w:pPr>
                    <w:r>
                      <w:rPr>
                        <w:rFonts w:ascii="Times New Roman" w:cs="Times New Roman"/>
                        <w:szCs w:val="21"/>
                      </w:rPr>
                      <w:t>成本构成项目</w:t>
                    </w:r>
                  </w:p>
                </w:tc>
              </w:sdtContent>
            </w:sdt>
            <w:sdt>
              <w:sdtPr>
                <w:rPr>
                  <w:rFonts w:ascii="Times New Roman" w:hAnsi="Times New Roman" w:cs="Times New Roman"/>
                </w:rPr>
                <w:tag w:val="_PLD_3ddf6750761e4cb5a3c10274752059ad"/>
                <w:id w:val="103897842"/>
                <w:lock w:val="sdtLocked"/>
              </w:sdtPr>
              <w:sdtEndPr>
                <w:rPr>
                  <w:rFonts w:ascii="Times New Roman" w:hAnsi="Times New Roman" w:cs="Times New Roman"/>
                </w:rPr>
              </w:sdtEndPr>
              <w:sdtContent>
                <w:tc>
                  <w:tcPr>
                    <w:tcW w:w="939" w:type="pct"/>
                    <w:gridSpan w:val="2"/>
                    <w:vAlign w:val="center"/>
                  </w:tcPr>
                  <w:p>
                    <w:pPr>
                      <w:widowControl w:val="0"/>
                      <w:jc w:val="center"/>
                      <w:rPr>
                        <w:rFonts w:ascii="Times New Roman" w:hAnsi="Times New Roman" w:cs="Times New Roman"/>
                        <w:szCs w:val="21"/>
                      </w:rPr>
                    </w:pPr>
                    <w:r>
                      <w:rPr>
                        <w:rFonts w:ascii="Times New Roman" w:cs="Times New Roman"/>
                        <w:szCs w:val="21"/>
                      </w:rPr>
                      <w:t>本期金额</w:t>
                    </w:r>
                  </w:p>
                </w:tc>
              </w:sdtContent>
            </w:sdt>
            <w:sdt>
              <w:sdtPr>
                <w:rPr>
                  <w:rFonts w:ascii="Times New Roman" w:hAnsi="Times New Roman" w:cs="Times New Roman"/>
                </w:rPr>
                <w:tag w:val="_PLD_dcb03e51a739483781a7336e1a9b6c53"/>
                <w:id w:val="103897843"/>
                <w:lock w:val="sdtLocked"/>
              </w:sdtPr>
              <w:sdtEndPr>
                <w:rPr>
                  <w:rFonts w:ascii="Times New Roman" w:hAnsi="Times New Roman" w:cs="Times New Roman"/>
                </w:rPr>
              </w:sdtEndPr>
              <w:sdtContent>
                <w:tc>
                  <w:tcPr>
                    <w:tcW w:w="469" w:type="pct"/>
                    <w:vAlign w:val="center"/>
                  </w:tcPr>
                  <w:p>
                    <w:pPr>
                      <w:widowControl w:val="0"/>
                      <w:jc w:val="center"/>
                      <w:rPr>
                        <w:rFonts w:ascii="Times New Roman" w:hAnsi="Times New Roman" w:cs="Times New Roman"/>
                        <w:szCs w:val="21"/>
                      </w:rPr>
                    </w:pPr>
                    <w:r>
                      <w:rPr>
                        <w:rFonts w:ascii="Times New Roman" w:cs="Times New Roman"/>
                        <w:szCs w:val="21"/>
                      </w:rPr>
                      <w:t>本期占总成本比例</w:t>
                    </w:r>
                    <w:r>
                      <w:rPr>
                        <w:rFonts w:ascii="Times New Roman" w:hAnsi="Times New Roman" w:cs="Times New Roman"/>
                        <w:szCs w:val="21"/>
                      </w:rPr>
                      <w:t>(%)</w:t>
                    </w:r>
                  </w:p>
                </w:tc>
              </w:sdtContent>
            </w:sdt>
            <w:sdt>
              <w:sdtPr>
                <w:rPr>
                  <w:rFonts w:ascii="Times New Roman" w:hAnsi="Times New Roman" w:cs="Times New Roman"/>
                </w:rPr>
                <w:tag w:val="_PLD_fe6b2171d862410980857c00f504b451"/>
                <w:id w:val="103897844"/>
                <w:lock w:val="sdtLocked"/>
              </w:sdtPr>
              <w:sdtEndPr>
                <w:rPr>
                  <w:rFonts w:ascii="Times New Roman" w:hAnsi="Times New Roman" w:cs="Times New Roman"/>
                </w:rPr>
              </w:sdtEndPr>
              <w:sdtContent>
                <w:tc>
                  <w:tcPr>
                    <w:tcW w:w="924" w:type="pct"/>
                    <w:vAlign w:val="center"/>
                  </w:tcPr>
                  <w:p>
                    <w:pPr>
                      <w:widowControl w:val="0"/>
                      <w:jc w:val="center"/>
                      <w:rPr>
                        <w:rFonts w:ascii="Times New Roman" w:hAnsi="Times New Roman" w:cs="Times New Roman"/>
                        <w:szCs w:val="21"/>
                      </w:rPr>
                    </w:pPr>
                    <w:r>
                      <w:rPr>
                        <w:rFonts w:ascii="Times New Roman" w:cs="Times New Roman"/>
                        <w:szCs w:val="21"/>
                      </w:rPr>
                      <w:t>上年同期金额</w:t>
                    </w:r>
                  </w:p>
                </w:tc>
              </w:sdtContent>
            </w:sdt>
            <w:sdt>
              <w:sdtPr>
                <w:rPr>
                  <w:rFonts w:ascii="Times New Roman" w:hAnsi="Times New Roman" w:cs="Times New Roman"/>
                </w:rPr>
                <w:tag w:val="_PLD_4cf5110e7be04df78012e249a0900292"/>
                <w:id w:val="103897845"/>
                <w:lock w:val="sdtLocked"/>
              </w:sdtPr>
              <w:sdtEndPr>
                <w:rPr>
                  <w:rFonts w:ascii="Times New Roman" w:hAnsi="Times New Roman" w:cs="Times New Roman"/>
                </w:rPr>
              </w:sdtEndPr>
              <w:sdtContent>
                <w:tc>
                  <w:tcPr>
                    <w:tcW w:w="565" w:type="pct"/>
                    <w:vAlign w:val="center"/>
                  </w:tcPr>
                  <w:p>
                    <w:pPr>
                      <w:widowControl w:val="0"/>
                      <w:jc w:val="center"/>
                      <w:rPr>
                        <w:rFonts w:ascii="Times New Roman" w:hAnsi="Times New Roman" w:cs="Times New Roman"/>
                        <w:szCs w:val="21"/>
                      </w:rPr>
                    </w:pPr>
                    <w:r>
                      <w:rPr>
                        <w:rFonts w:ascii="Times New Roman" w:cs="Times New Roman"/>
                        <w:szCs w:val="21"/>
                      </w:rPr>
                      <w:t>上年同期占总成本比例</w:t>
                    </w:r>
                    <w:r>
                      <w:rPr>
                        <w:rFonts w:ascii="Times New Roman" w:hAnsi="Times New Roman" w:cs="Times New Roman"/>
                        <w:szCs w:val="21"/>
                      </w:rPr>
                      <w:t>(%)</w:t>
                    </w:r>
                  </w:p>
                </w:tc>
              </w:sdtContent>
            </w:sdt>
            <w:sdt>
              <w:sdtPr>
                <w:rPr>
                  <w:rFonts w:ascii="Times New Roman" w:hAnsi="Times New Roman" w:cs="Times New Roman"/>
                </w:rPr>
                <w:tag w:val="_PLD_efbc8491fdf34506bf7690ab3a8f6402"/>
                <w:id w:val="103897846"/>
                <w:lock w:val="sdtLocked"/>
              </w:sdtPr>
              <w:sdtEndPr>
                <w:rPr>
                  <w:rFonts w:ascii="Times New Roman" w:hAnsi="Times New Roman" w:cs="Times New Roman"/>
                </w:rPr>
              </w:sdtEndPr>
              <w:sdtContent>
                <w:tc>
                  <w:tcPr>
                    <w:tcW w:w="628" w:type="pct"/>
                    <w:vAlign w:val="center"/>
                  </w:tcPr>
                  <w:p>
                    <w:pPr>
                      <w:widowControl w:val="0"/>
                      <w:jc w:val="center"/>
                      <w:rPr>
                        <w:rFonts w:ascii="Times New Roman" w:hAnsi="Times New Roman" w:cs="Times New Roman"/>
                        <w:szCs w:val="21"/>
                      </w:rPr>
                    </w:pPr>
                    <w:r>
                      <w:rPr>
                        <w:rFonts w:ascii="Times New Roman" w:cs="Times New Roman"/>
                        <w:szCs w:val="21"/>
                      </w:rPr>
                      <w:t>本期金额较上年同期变动比例</w:t>
                    </w:r>
                    <w:r>
                      <w:rPr>
                        <w:rFonts w:ascii="Times New Roman" w:hAnsi="Times New Roman" w:cs="Times New Roman"/>
                        <w:szCs w:val="21"/>
                      </w:rPr>
                      <w:t>(%)</w:t>
                    </w:r>
                  </w:p>
                </w:tc>
              </w:sdtContent>
            </w:sdt>
            <w:sdt>
              <w:sdtPr>
                <w:rPr>
                  <w:rFonts w:ascii="Times New Roman" w:hAnsi="Times New Roman" w:cs="Times New Roman"/>
                </w:rPr>
                <w:tag w:val="_PLD_b8e943b8220340c7810a554346594426"/>
                <w:id w:val="103897847"/>
                <w:lock w:val="sdtLocked"/>
              </w:sdtPr>
              <w:sdtEndPr>
                <w:rPr>
                  <w:rFonts w:ascii="Times New Roman" w:hAnsi="Times New Roman" w:cs="Times New Roman"/>
                </w:rPr>
              </w:sdtEndPr>
              <w:sdtContent>
                <w:tc>
                  <w:tcPr>
                    <w:tcW w:w="239" w:type="pct"/>
                    <w:vAlign w:val="center"/>
                  </w:tcPr>
                  <w:p>
                    <w:pPr>
                      <w:widowControl w:val="0"/>
                      <w:jc w:val="center"/>
                      <w:rPr>
                        <w:rFonts w:ascii="Times New Roman" w:hAnsi="Times New Roman" w:cs="Times New Roman"/>
                        <w:szCs w:val="21"/>
                      </w:rPr>
                    </w:pPr>
                    <w:r>
                      <w:rPr>
                        <w:rFonts w:ascii="Times New Roman" w:cs="Times New Roman"/>
                        <w:szCs w:val="21"/>
                      </w:rPr>
                      <w:t>情况</w:t>
                    </w:r>
                  </w:p>
                  <w:p>
                    <w:pPr>
                      <w:widowControl w:val="0"/>
                      <w:jc w:val="center"/>
                      <w:rPr>
                        <w:rFonts w:ascii="Times New Roman" w:hAnsi="Times New Roman" w:cs="Times New Roman"/>
                        <w:szCs w:val="21"/>
                      </w:rPr>
                    </w:pPr>
                    <w:r>
                      <w:rPr>
                        <w:rFonts w:ascii="Times New Roman" w:cs="Times New Roman"/>
                        <w:szCs w:val="21"/>
                      </w:rPr>
                      <w:t>说明</w:t>
                    </w:r>
                  </w:p>
                </w:tc>
              </w:sdtContent>
            </w:sdt>
          </w:tr>
          <w:sdt>
            <w:sdtPr>
              <w:rPr>
                <w:rFonts w:ascii="Times New Roman" w:hAnsi="Times New Roman" w:cs="Times New Roman" w:eastAsiaTheme="minorEastAsia"/>
                <w:kern w:val="2"/>
                <w:szCs w:val="21"/>
              </w:rPr>
              <w:alias w:val="分产品成本分析"/>
              <w:tag w:val="_TUP_a99457d0ffea4639b6d23dc0f965122f"/>
              <w:id w:val="103897848"/>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restart"/>
                    <w:vAlign w:val="center"/>
                  </w:tcPr>
                  <w:p>
                    <w:pPr>
                      <w:widowControl w:val="0"/>
                      <w:jc w:val="both"/>
                      <w:rPr>
                        <w:rFonts w:ascii="Times New Roman" w:hAnsi="Times New Roman" w:cs="Times New Roman"/>
                        <w:szCs w:val="21"/>
                      </w:rPr>
                    </w:pPr>
                    <w:r>
                      <w:rPr>
                        <w:rFonts w:ascii="Times New Roman" w:cs="Times New Roman"/>
                      </w:rPr>
                      <w:t>日化产品</w:t>
                    </w:r>
                  </w:p>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sz w:val="24"/>
                      </w:rPr>
                    </w:pPr>
                    <w:r>
                      <w:rPr>
                        <w:rFonts w:ascii="Times New Roman" w:cs="Times New Roman"/>
                      </w:rPr>
                      <w:t>材料</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313,567,969.10</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66.29</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316,479,826.78</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67.66</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-0.92</w:t>
                    </w:r>
                  </w:p>
                </w:tc>
                <w:tc>
                  <w:tcPr>
                    <w:tcW w:w="239" w:type="pct"/>
                    <w:tcBorders>
                      <w:bottom w:val="single" w:color="auto" w:sz="4" w:space="0"/>
                    </w:tcBorders>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产品成本分析"/>
              <w:tag w:val="_TUP_a99457d0ffea4639b6d23dc0f965122f"/>
              <w:id w:val="103897849"/>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sz w:val="24"/>
                      </w:rPr>
                    </w:pPr>
                    <w:r>
                      <w:rPr>
                        <w:rFonts w:ascii="Times New Roman" w:cs="Times New Roman"/>
                      </w:rPr>
                      <w:t>人工</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38,389,033.40</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8.12</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32,588,053.62</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6.97</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17.80</w:t>
                    </w:r>
                  </w:p>
                </w:tc>
                <w:tc>
                  <w:tcPr>
                    <w:tcW w:w="239" w:type="pct"/>
                    <w:tcBorders>
                      <w:bottom w:val="single" w:color="auto" w:sz="4" w:space="0"/>
                    </w:tcBorders>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产品成本分析"/>
              <w:tag w:val="_TUP_a99457d0ffea4639b6d23dc0f965122f"/>
              <w:id w:val="103897850"/>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sz w:val="24"/>
                      </w:rPr>
                    </w:pPr>
                    <w:r>
                      <w:rPr>
                        <w:rFonts w:ascii="Times New Roman" w:cs="Times New Roman"/>
                      </w:rPr>
                      <w:t>燃料动力</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9,113,006.11</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1.93</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7,962,149.05</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1.70</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14.45</w:t>
                    </w:r>
                  </w:p>
                </w:tc>
                <w:tc>
                  <w:tcPr>
                    <w:tcW w:w="239" w:type="pct"/>
                    <w:tcBorders>
                      <w:bottom w:val="single" w:color="auto" w:sz="4" w:space="0"/>
                    </w:tcBorders>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产品成本分析"/>
              <w:tag w:val="_TUP_a99457d0ffea4639b6d23dc0f965122f"/>
              <w:id w:val="103897851"/>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sz w:val="24"/>
                      </w:rPr>
                    </w:pPr>
                    <w:r>
                      <w:rPr>
                        <w:rFonts w:ascii="Times New Roman" w:cs="Times New Roman"/>
                      </w:rPr>
                      <w:t>制造费用</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35,098,448.13</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7.42</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32,266,179.08</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6.90</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8.78</w:t>
                    </w:r>
                  </w:p>
                </w:tc>
                <w:tc>
                  <w:tcPr>
                    <w:tcW w:w="239" w:type="pct"/>
                    <w:tcBorders>
                      <w:bottom w:val="single" w:color="auto" w:sz="4" w:space="0"/>
                    </w:tcBorders>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产品成本分析"/>
              <w:tag w:val="_TUP_a99457d0ffea4639b6d23dc0f965122f"/>
              <w:id w:val="10389785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eastAsiaTheme="minorEastAsia"/>
                        <w:kern w:val="2"/>
                        <w:szCs w:val="21"/>
                      </w:rPr>
                    </w:pPr>
                    <w:r>
                      <w:rPr>
                        <w:rFonts w:ascii="Times New Roman" w:cs="Times New Roman"/>
                        <w:szCs w:val="21"/>
                      </w:rPr>
                      <w:t>运输费用</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14,882,823.00</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3.15</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17,580,736.55</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3.76</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-15.35</w:t>
                    </w:r>
                  </w:p>
                </w:tc>
                <w:tc>
                  <w:tcPr>
                    <w:tcW w:w="239" w:type="pct"/>
                    <w:tcBorders>
                      <w:bottom w:val="single" w:color="auto" w:sz="4" w:space="0"/>
                    </w:tcBorders>
                  </w:tcPr>
                  <w:p>
                    <w:pPr>
                      <w:widowControl w:val="0"/>
                      <w:jc w:val="both"/>
                      <w:rPr>
                        <w:rFonts w:ascii="Times New Roman" w:hAnsi="Times New Roman" w:cs="Times New Roman" w:eastAsiaTheme="minorEastAsia"/>
                        <w:kern w:val="2"/>
                        <w:szCs w:val="21"/>
                      </w:rPr>
                    </w:pPr>
                  </w:p>
                </w:tc>
              </w:tr>
            </w:sdtContent>
          </w:sdt>
          <w:sdt>
            <w:sdtPr>
              <w:rPr>
                <w:rFonts w:ascii="Times New Roman" w:hAnsi="Times New Roman" w:cs="Times New Roman"/>
                <w:szCs w:val="21"/>
              </w:rPr>
              <w:alias w:val="分产品成本分析"/>
              <w:tag w:val="_TUP_a99457d0ffea4639b6d23dc0f965122f"/>
              <w:id w:val="103897853"/>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sz w:val="24"/>
                      </w:rPr>
                    </w:pPr>
                    <w:r>
                      <w:rPr>
                        <w:rFonts w:ascii="Times New Roman" w:cs="Times New Roman"/>
                      </w:rPr>
                      <w:t>外购产品采购成本</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61,995,538.44</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13.11</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60,902,085.29</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13.02</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1.80</w:t>
                    </w:r>
                  </w:p>
                </w:tc>
                <w:tc>
                  <w:tcPr>
                    <w:tcW w:w="239" w:type="pct"/>
                    <w:tcBorders>
                      <w:bottom w:val="single" w:color="auto" w:sz="4" w:space="0"/>
                    </w:tcBorders>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产品成本分析"/>
              <w:tag w:val="_TUP_a99457d0ffea4639b6d23dc0f965122f"/>
              <w:id w:val="10389785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tcBorders>
                      <w:bottom w:val="single" w:color="auto" w:sz="4" w:space="0"/>
                    </w:tcBorders>
                    <w:vAlign w:val="center"/>
                  </w:tcPr>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sz w:val="24"/>
                      </w:rPr>
                    </w:pPr>
                    <w:r>
                      <w:rPr>
                        <w:rFonts w:ascii="Times New Roman" w:cs="Times New Roman"/>
                      </w:rPr>
                      <w:t>小计</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473,046,818.18</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100.00</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467,779,030.37</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100.00</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1.13</w:t>
                    </w:r>
                  </w:p>
                </w:tc>
                <w:tc>
                  <w:tcPr>
                    <w:tcW w:w="239" w:type="pct"/>
                    <w:tcBorders>
                      <w:bottom w:val="single" w:color="auto" w:sz="4" w:space="0"/>
                    </w:tcBorders>
                  </w:tcPr>
                  <w:p>
                    <w:pPr>
                      <w:widowControl w:val="0"/>
                      <w:jc w:val="both"/>
                      <w:rPr>
                        <w:rFonts w:ascii="Times New Roman" w:hAnsi="Times New Roman" w:cs="Times New Roman" w:eastAsiaTheme="minorEastAsia"/>
                        <w:kern w:val="2"/>
                        <w:szCs w:val="21"/>
                      </w:rPr>
                    </w:pPr>
                  </w:p>
                </w:tc>
              </w:tr>
            </w:sdtContent>
          </w:sdt>
          <w:sdt>
            <w:sdtPr>
              <w:rPr>
                <w:rFonts w:ascii="Times New Roman" w:hAnsi="Times New Roman" w:cs="Times New Roman" w:eastAsiaTheme="minorEastAsia"/>
                <w:kern w:val="2"/>
                <w:szCs w:val="21"/>
              </w:rPr>
              <w:alias w:val="分产品成本分析"/>
              <w:tag w:val="_TUP_a99457d0ffea4639b6d23dc0f965122f"/>
              <w:id w:val="103897855"/>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restart"/>
                    <w:vAlign w:val="center"/>
                  </w:tcPr>
                  <w:p>
                    <w:pPr>
                      <w:widowControl w:val="0"/>
                      <w:jc w:val="center"/>
                      <w:rPr>
                        <w:rFonts w:ascii="Times New Roman" w:hAnsi="Times New Roman" w:cs="Times New Roman"/>
                        <w:szCs w:val="21"/>
                      </w:rPr>
                    </w:pPr>
                  </w:p>
                  <w:p>
                    <w:pPr>
                      <w:widowControl w:val="0"/>
                      <w:jc w:val="center"/>
                      <w:rPr>
                        <w:rFonts w:ascii="Times New Roman" w:hAnsi="Times New Roman" w:cs="Times New Roman"/>
                        <w:szCs w:val="21"/>
                      </w:rPr>
                    </w:pPr>
                    <w:r>
                      <w:rPr>
                        <w:rFonts w:ascii="Times New Roman" w:hAnsi="Times New Roman" w:cs="Times New Roman"/>
                        <w:szCs w:val="21"/>
                      </w:rPr>
                      <w:t>药品</w:t>
                    </w:r>
                  </w:p>
                  <w:p>
                    <w:pPr>
                      <w:widowControl w:val="0"/>
                      <w:jc w:val="center"/>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sz w:val="24"/>
                      </w:rPr>
                    </w:pPr>
                    <w:r>
                      <w:rPr>
                        <w:rFonts w:ascii="Times New Roman" w:cs="Times New Roman"/>
                      </w:rPr>
                      <w:t>材料</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38,526,996.05</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69.67</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37,400,854.64</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73.74</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3.01</w:t>
                    </w:r>
                  </w:p>
                </w:tc>
                <w:tc>
                  <w:tcPr>
                    <w:tcW w:w="239" w:type="pct"/>
                    <w:tcBorders>
                      <w:bottom w:val="single" w:color="auto" w:sz="4" w:space="0"/>
                    </w:tcBorders>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产品成本分析"/>
              <w:tag w:val="_TUP_a99457d0ffea4639b6d23dc0f965122f"/>
              <w:id w:val="103897856"/>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sz w:val="24"/>
                      </w:rPr>
                    </w:pPr>
                    <w:r>
                      <w:rPr>
                        <w:rFonts w:ascii="Times New Roman" w:cs="Times New Roman"/>
                      </w:rPr>
                      <w:t>人工</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8,084,565.37</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14.62</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6,653,020.15</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13.12</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21.52</w:t>
                    </w:r>
                  </w:p>
                </w:tc>
                <w:tc>
                  <w:tcPr>
                    <w:tcW w:w="239" w:type="pct"/>
                    <w:tcBorders>
                      <w:bottom w:val="single" w:color="auto" w:sz="4" w:space="0"/>
                    </w:tcBorders>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产品成本分析"/>
              <w:tag w:val="_TUP_a99457d0ffea4639b6d23dc0f965122f"/>
              <w:id w:val="103897857"/>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sz w:val="24"/>
                      </w:rPr>
                    </w:pPr>
                    <w:r>
                      <w:rPr>
                        <w:rFonts w:ascii="Times New Roman" w:cs="Times New Roman"/>
                      </w:rPr>
                      <w:t>燃料动力</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3,287,316.21</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5.94</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2,633,755.00</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5.19</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24.81</w:t>
                    </w:r>
                  </w:p>
                </w:tc>
                <w:tc>
                  <w:tcPr>
                    <w:tcW w:w="239" w:type="pct"/>
                    <w:tcBorders>
                      <w:bottom w:val="single" w:color="auto" w:sz="4" w:space="0"/>
                    </w:tcBorders>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产品成本分析"/>
              <w:tag w:val="_TUP_a99457d0ffea4639b6d23dc0f965122f"/>
              <w:id w:val="103897858"/>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sz w:val="24"/>
                      </w:rPr>
                    </w:pPr>
                    <w:r>
                      <w:rPr>
                        <w:rFonts w:ascii="Times New Roman" w:cs="Times New Roman"/>
                      </w:rPr>
                      <w:t>制造费用</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3,343,072.73</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6.05</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2,365,210.30</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4.66</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41.34</w:t>
                    </w:r>
                  </w:p>
                </w:tc>
                <w:tc>
                  <w:tcPr>
                    <w:tcW w:w="239" w:type="pct"/>
                    <w:tcBorders>
                      <w:bottom w:val="single" w:color="auto" w:sz="4" w:space="0"/>
                    </w:tcBorders>
                  </w:tcPr>
                  <w:p>
                    <w:pPr>
                      <w:widowControl w:val="0"/>
                      <w:jc w:val="left"/>
                      <w:rPr>
                        <w:rFonts w:ascii="Times New Roman" w:hAnsi="Times New Roman" w:cs="Times New Roman"/>
                        <w:szCs w:val="21"/>
                      </w:rPr>
                    </w:pPr>
                  </w:p>
                </w:tc>
              </w:tr>
            </w:sdtContent>
          </w:sdt>
          <w:sdt>
            <w:sdtPr>
              <w:rPr>
                <w:rFonts w:ascii="Times New Roman" w:hAnsi="Times New Roman" w:cs="Times New Roman"/>
                <w:szCs w:val="21"/>
              </w:rPr>
              <w:alias w:val="分产品成本分析"/>
              <w:tag w:val="_TUP_a99457d0ffea4639b6d23dc0f965122f"/>
              <w:id w:val="103897859"/>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szCs w:val="21"/>
                      </w:rPr>
                    </w:pPr>
                  </w:p>
                </w:tc>
                <w:tc>
                  <w:tcPr>
                    <w:tcW w:w="634" w:type="pct"/>
                    <w:tcBorders>
                      <w:bottom w:val="single" w:color="auto" w:sz="4" w:space="0"/>
                    </w:tcBorders>
                    <w:vAlign w:val="center"/>
                  </w:tcPr>
                  <w:p>
                    <w:pPr>
                      <w:widowControl w:val="0"/>
                      <w:jc w:val="both"/>
                      <w:rPr>
                        <w:rFonts w:ascii="Times New Roman" w:hAnsi="Times New Roman" w:cs="Times New Roman" w:eastAsiaTheme="minorEastAsia"/>
                        <w:kern w:val="2"/>
                        <w:szCs w:val="21"/>
                      </w:rPr>
                    </w:pPr>
                    <w:r>
                      <w:rPr>
                        <w:rFonts w:ascii="Times New Roman" w:cs="Times New Roman"/>
                      </w:rPr>
                      <w:t>运输费用</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1,381,653.93</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2.50</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1,176,067.69</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2.32</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17.48</w:t>
                    </w:r>
                  </w:p>
                </w:tc>
                <w:tc>
                  <w:tcPr>
                    <w:tcW w:w="239" w:type="pct"/>
                    <w:tcBorders>
                      <w:bottom w:val="single" w:color="auto" w:sz="4" w:space="0"/>
                    </w:tcBorders>
                  </w:tcPr>
                  <w:p>
                    <w:pPr>
                      <w:widowControl w:val="0"/>
                      <w:jc w:val="both"/>
                      <w:rPr>
                        <w:rFonts w:ascii="Times New Roman" w:hAnsi="Times New Roman" w:cs="Times New Roman" w:eastAsiaTheme="minorEastAsia"/>
                        <w:kern w:val="2"/>
                        <w:szCs w:val="21"/>
                      </w:rPr>
                    </w:pPr>
                  </w:p>
                </w:tc>
              </w:tr>
            </w:sdtContent>
          </w:sdt>
          <w:sdt>
            <w:sdtPr>
              <w:rPr>
                <w:rFonts w:ascii="Times New Roman" w:hAnsi="Times New Roman" w:cs="Times New Roman"/>
                <w:szCs w:val="21"/>
              </w:rPr>
              <w:alias w:val="分产品成本分析"/>
              <w:tag w:val="_TUP_a99457d0ffea4639b6d23dc0f965122f"/>
              <w:id w:val="103897860"/>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szCs w:val="21"/>
                      </w:rPr>
                    </w:pPr>
                  </w:p>
                </w:tc>
                <w:tc>
                  <w:tcPr>
                    <w:tcW w:w="634" w:type="pct"/>
                    <w:vAlign w:val="center"/>
                  </w:tcPr>
                  <w:p>
                    <w:pPr>
                      <w:widowControl w:val="0"/>
                      <w:jc w:val="both"/>
                      <w:rPr>
                        <w:rFonts w:ascii="Times New Roman" w:hAnsi="Times New Roman" w:cs="Times New Roman"/>
                        <w:sz w:val="24"/>
                      </w:rPr>
                    </w:pPr>
                    <w:r>
                      <w:rPr>
                        <w:rFonts w:ascii="Times New Roman" w:cs="Times New Roman"/>
                      </w:rPr>
                      <w:t>外购产品采购成本</w:t>
                    </w:r>
                  </w:p>
                </w:tc>
                <w:tc>
                  <w:tcPr>
                    <w:tcW w:w="939" w:type="pct"/>
                    <w:gridSpan w:val="2"/>
                    <w:vAlign w:val="center"/>
                  </w:tcPr>
                  <w:p>
                    <w:pPr>
                      <w:widowControl w:val="0"/>
                      <w:jc w:val="right"/>
                      <w:rPr>
                        <w:rFonts w:ascii="Times New Roman" w:hAnsi="Times New Roman" w:cs="Times New Roman"/>
                        <w:sz w:val="24"/>
                      </w:rPr>
                    </w:pPr>
                    <w:r>
                      <w:rPr>
                        <w:rFonts w:ascii="Times New Roman" w:hAnsi="Times New Roman" w:cs="Times New Roman"/>
                      </w:rPr>
                      <w:t>673,289.77</w:t>
                    </w:r>
                  </w:p>
                </w:tc>
                <w:tc>
                  <w:tcPr>
                    <w:tcW w:w="469" w:type="pct"/>
                    <w:vAlign w:val="center"/>
                  </w:tcPr>
                  <w:p>
                    <w:pPr>
                      <w:widowControl w:val="0"/>
                      <w:jc w:val="right"/>
                      <w:rPr>
                        <w:rFonts w:ascii="Times New Roman" w:hAnsi="Times New Roman" w:cs="Times New Roman"/>
                        <w:sz w:val="24"/>
                      </w:rPr>
                    </w:pPr>
                    <w:r>
                      <w:rPr>
                        <w:rFonts w:ascii="Times New Roman" w:hAnsi="Times New Roman" w:cs="Times New Roman"/>
                      </w:rPr>
                      <w:t>1.22</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492,301.96</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0.97</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36.76</w:t>
                    </w:r>
                  </w:p>
                </w:tc>
                <w:tc>
                  <w:tcPr>
                    <w:tcW w:w="239" w:type="pct"/>
                  </w:tcPr>
                  <w:p>
                    <w:pPr>
                      <w:widowControl w:val="0"/>
                      <w:jc w:val="left"/>
                      <w:rPr>
                        <w:rFonts w:ascii="Times New Roman" w:hAnsi="Times New Roman" w:cs="Times New Roman"/>
                        <w:szCs w:val="21"/>
                      </w:rPr>
                    </w:pPr>
                  </w:p>
                </w:tc>
              </w:tr>
            </w:sdtContent>
          </w:sdt>
          <w:sdt>
            <w:sdtPr>
              <w:rPr>
                <w:rFonts w:ascii="Times New Roman" w:hAnsi="Times New Roman" w:cs="Times New Roman" w:eastAsiaTheme="minorEastAsia"/>
                <w:kern w:val="2"/>
                <w:szCs w:val="21"/>
              </w:rPr>
              <w:alias w:val="分产品成本分析"/>
              <w:tag w:val="_TUP_a99457d0ffea4639b6d23dc0f965122f"/>
              <w:id w:val="103897861"/>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Merge w:val="continue"/>
                    <w:vAlign w:val="center"/>
                  </w:tcPr>
                  <w:p>
                    <w:pPr>
                      <w:widowControl w:val="0"/>
                      <w:jc w:val="both"/>
                      <w:rPr>
                        <w:rFonts w:ascii="Times New Roman" w:hAnsi="Times New Roman" w:cs="Times New Roman" w:eastAsiaTheme="minorEastAsia"/>
                        <w:kern w:val="2"/>
                        <w:szCs w:val="21"/>
                      </w:rPr>
                    </w:pPr>
                  </w:p>
                </w:tc>
                <w:tc>
                  <w:tcPr>
                    <w:tcW w:w="634" w:type="pct"/>
                    <w:vAlign w:val="center"/>
                  </w:tcPr>
                  <w:p>
                    <w:pPr>
                      <w:widowControl w:val="0"/>
                      <w:jc w:val="both"/>
                      <w:rPr>
                        <w:rFonts w:ascii="Times New Roman" w:hAnsi="Times New Roman" w:cs="Times New Roman"/>
                        <w:sz w:val="24"/>
                      </w:rPr>
                    </w:pPr>
                    <w:r>
                      <w:rPr>
                        <w:rFonts w:ascii="Times New Roman" w:cs="Times New Roman"/>
                      </w:rPr>
                      <w:t>小计</w:t>
                    </w:r>
                  </w:p>
                </w:tc>
                <w:tc>
                  <w:tcPr>
                    <w:tcW w:w="939" w:type="pct"/>
                    <w:gridSpan w:val="2"/>
                    <w:vAlign w:val="center"/>
                  </w:tcPr>
                  <w:p>
                    <w:pPr>
                      <w:widowControl w:val="0"/>
                      <w:jc w:val="right"/>
                      <w:rPr>
                        <w:rFonts w:ascii="Times New Roman" w:hAnsi="Times New Roman" w:cs="Times New Roman"/>
                        <w:sz w:val="24"/>
                      </w:rPr>
                    </w:pPr>
                    <w:r>
                      <w:rPr>
                        <w:rFonts w:ascii="Times New Roman" w:hAnsi="Times New Roman" w:cs="Times New Roman"/>
                      </w:rPr>
                      <w:t>55,296,894.06</w:t>
                    </w:r>
                  </w:p>
                </w:tc>
                <w:tc>
                  <w:tcPr>
                    <w:tcW w:w="469" w:type="pct"/>
                    <w:vAlign w:val="center"/>
                  </w:tcPr>
                  <w:p>
                    <w:pPr>
                      <w:widowControl w:val="0"/>
                      <w:jc w:val="right"/>
                      <w:rPr>
                        <w:rFonts w:ascii="Times New Roman" w:hAnsi="Times New Roman" w:cs="Times New Roman"/>
                        <w:sz w:val="24"/>
                      </w:rPr>
                    </w:pPr>
                    <w:r>
                      <w:rPr>
                        <w:rFonts w:ascii="Times New Roman" w:hAnsi="Times New Roman" w:cs="Times New Roman"/>
                      </w:rPr>
                      <w:t>100.00</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50,721,209.74</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100.00</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9.02</w:t>
                    </w:r>
                  </w:p>
                </w:tc>
                <w:tc>
                  <w:tcPr>
                    <w:tcW w:w="239" w:type="pct"/>
                  </w:tcPr>
                  <w:p>
                    <w:pPr>
                      <w:widowControl w:val="0"/>
                      <w:jc w:val="both"/>
                      <w:rPr>
                        <w:rFonts w:ascii="Times New Roman" w:hAnsi="Times New Roman" w:cs="Times New Roman" w:eastAsiaTheme="minorEastAsia"/>
                        <w:kern w:val="2"/>
                        <w:szCs w:val="21"/>
                      </w:rPr>
                    </w:pPr>
                  </w:p>
                </w:tc>
              </w:tr>
            </w:sdtContent>
          </w:sdt>
          <w:sdt>
            <w:sdtPr>
              <w:rPr>
                <w:rFonts w:ascii="Times New Roman" w:hAnsi="Times New Roman" w:cs="Times New Roman" w:eastAsiaTheme="minorEastAsia"/>
                <w:kern w:val="2"/>
                <w:szCs w:val="21"/>
              </w:rPr>
              <w:alias w:val="分产品成本分析"/>
              <w:tag w:val="_TUP_a99457d0ffea4639b6d23dc0f965122f"/>
              <w:id w:val="10389786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vAlign w:val="center"/>
                  </w:tcPr>
                  <w:p>
                    <w:pPr>
                      <w:widowControl w:val="0"/>
                      <w:jc w:val="both"/>
                      <w:rPr>
                        <w:rFonts w:ascii="Times New Roman" w:hAnsi="Times New Roman" w:cs="Times New Roman" w:eastAsiaTheme="minorEastAsia"/>
                        <w:kern w:val="2"/>
                        <w:szCs w:val="21"/>
                      </w:rPr>
                    </w:pPr>
                    <w:r>
                      <w:rPr>
                        <w:rFonts w:ascii="Times New Roman" w:cs="Times New Roman"/>
                      </w:rPr>
                      <w:t>商业贸易</w:t>
                    </w:r>
                  </w:p>
                </w:tc>
                <w:tc>
                  <w:tcPr>
                    <w:tcW w:w="634" w:type="pct"/>
                    <w:vAlign w:val="center"/>
                  </w:tcPr>
                  <w:p>
                    <w:pPr>
                      <w:widowControl w:val="0"/>
                      <w:jc w:val="both"/>
                      <w:rPr>
                        <w:rFonts w:ascii="Times New Roman" w:hAnsi="Times New Roman" w:cs="Times New Roman"/>
                      </w:rPr>
                    </w:pPr>
                    <w:r>
                      <w:rPr>
                        <w:rFonts w:ascii="Times New Roman" w:cs="Times New Roman"/>
                      </w:rPr>
                      <w:t>商业贸易</w:t>
                    </w:r>
                  </w:p>
                </w:tc>
                <w:tc>
                  <w:tcPr>
                    <w:tcW w:w="939" w:type="pct"/>
                    <w:gridSpan w:val="2"/>
                    <w:vAlign w:val="center"/>
                  </w:tcPr>
                  <w:p>
                    <w:pPr>
                      <w:widowControl w:val="0"/>
                      <w:jc w:val="right"/>
                      <w:rPr>
                        <w:rFonts w:ascii="Times New Roman" w:hAnsi="Times New Roman" w:cs="Times New Roman"/>
                        <w:sz w:val="24"/>
                      </w:rPr>
                    </w:pPr>
                    <w:r>
                      <w:rPr>
                        <w:rFonts w:ascii="Times New Roman" w:hAnsi="Times New Roman" w:cs="Times New Roman"/>
                      </w:rPr>
                      <w:t>39,072,754.12</w:t>
                    </w:r>
                  </w:p>
                </w:tc>
                <w:tc>
                  <w:tcPr>
                    <w:tcW w:w="469" w:type="pct"/>
                    <w:vAlign w:val="center"/>
                  </w:tcPr>
                  <w:p>
                    <w:pPr>
                      <w:widowControl w:val="0"/>
                      <w:jc w:val="right"/>
                      <w:rPr>
                        <w:rFonts w:ascii="Times New Roman" w:hAnsi="Times New Roman" w:cs="Times New Roman"/>
                        <w:sz w:val="24"/>
                      </w:rPr>
                    </w:pPr>
                    <w:r>
                      <w:rPr>
                        <w:rFonts w:ascii="Times New Roman" w:hAnsi="Times New Roman" w:cs="Times New Roman"/>
                      </w:rPr>
                      <w:t>100.00</w:t>
                    </w:r>
                  </w:p>
                </w:tc>
                <w:tc>
                  <w:tcPr>
                    <w:tcW w:w="924" w:type="pct"/>
                    <w:vAlign w:val="center"/>
                  </w:tcPr>
                  <w:p>
                    <w:pPr>
                      <w:widowControl w:val="0"/>
                      <w:jc w:val="right"/>
                      <w:rPr>
                        <w:rFonts w:ascii="Times New Roman" w:hAnsi="Times New Roman" w:cs="Times New Roman"/>
                        <w:sz w:val="24"/>
                      </w:rPr>
                    </w:pPr>
                    <w:r>
                      <w:rPr>
                        <w:rFonts w:ascii="Times New Roman" w:hAnsi="Times New Roman" w:cs="Times New Roman"/>
                      </w:rPr>
                      <w:t>16,004,717.18</w:t>
                    </w:r>
                  </w:p>
                </w:tc>
                <w:tc>
                  <w:tcPr>
                    <w:tcW w:w="565" w:type="pct"/>
                    <w:vAlign w:val="center"/>
                  </w:tcPr>
                  <w:p>
                    <w:pPr>
                      <w:widowControl w:val="0"/>
                      <w:jc w:val="right"/>
                      <w:rPr>
                        <w:rFonts w:ascii="Times New Roman" w:hAnsi="Times New Roman" w:cs="Times New Roman"/>
                        <w:sz w:val="24"/>
                      </w:rPr>
                    </w:pPr>
                    <w:r>
                      <w:rPr>
                        <w:rFonts w:ascii="Times New Roman" w:hAnsi="Times New Roman" w:cs="Times New Roman"/>
                      </w:rPr>
                      <w:t>100.00</w:t>
                    </w:r>
                  </w:p>
                </w:tc>
                <w:tc>
                  <w:tcPr>
                    <w:tcW w:w="628" w:type="pct"/>
                    <w:vAlign w:val="center"/>
                  </w:tcPr>
                  <w:p>
                    <w:pPr>
                      <w:widowControl w:val="0"/>
                      <w:jc w:val="right"/>
                      <w:rPr>
                        <w:rFonts w:ascii="Times New Roman" w:hAnsi="Times New Roman" w:cs="Times New Roman"/>
                        <w:sz w:val="24"/>
                      </w:rPr>
                    </w:pPr>
                    <w:r>
                      <w:rPr>
                        <w:rFonts w:ascii="Times New Roman" w:hAnsi="Times New Roman" w:cs="Times New Roman"/>
                      </w:rPr>
                      <w:t>144.13</w:t>
                    </w:r>
                  </w:p>
                </w:tc>
                <w:tc>
                  <w:tcPr>
                    <w:tcW w:w="239" w:type="pct"/>
                  </w:tcPr>
                  <w:p>
                    <w:pPr>
                      <w:widowControl w:val="0"/>
                      <w:jc w:val="both"/>
                      <w:rPr>
                        <w:rFonts w:ascii="Times New Roman" w:hAnsi="Times New Roman" w:cs="Times New Roman" w:eastAsiaTheme="minorEastAsia"/>
                        <w:kern w:val="2"/>
                        <w:szCs w:val="21"/>
                      </w:rPr>
                    </w:pPr>
                  </w:p>
                </w:tc>
              </w:tr>
            </w:sdtContent>
          </w:sdt>
          <w:sdt>
            <w:sdtPr>
              <w:rPr>
                <w:rFonts w:ascii="Times New Roman" w:hAnsi="Times New Roman" w:cs="Times New Roman" w:eastAsiaTheme="minorEastAsia"/>
                <w:kern w:val="2"/>
                <w:szCs w:val="21"/>
              </w:rPr>
              <w:alias w:val="分产品成本分析"/>
              <w:tag w:val="_TUP_a99457d0ffea4639b6d23dc0f965122f"/>
              <w:id w:val="62398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02" w:type="pct"/>
                    <w:tcBorders>
                      <w:bottom w:val="single" w:color="auto" w:sz="4" w:space="0"/>
                    </w:tcBorders>
                    <w:vAlign w:val="center"/>
                  </w:tcPr>
                  <w:p>
                    <w:pPr>
                      <w:widowControl w:val="0"/>
                      <w:jc w:val="center"/>
                      <w:rPr>
                        <w:rFonts w:ascii="Times New Roman" w:hAnsi="Times New Roman" w:cs="Times New Roman" w:eastAsiaTheme="minorEastAsia"/>
                        <w:kern w:val="2"/>
                        <w:szCs w:val="21"/>
                      </w:rPr>
                    </w:pPr>
                    <w:r>
                      <w:rPr>
                        <w:rFonts w:hint="eastAsia" w:ascii="Times New Roman" w:hAnsi="Times New Roman" w:cs="Times New Roman" w:eastAsiaTheme="minorEastAsia"/>
                        <w:kern w:val="2"/>
                        <w:szCs w:val="21"/>
                      </w:rPr>
                      <w:t>合计</w:t>
                    </w:r>
                  </w:p>
                </w:tc>
                <w:tc>
                  <w:tcPr>
                    <w:tcW w:w="634" w:type="pct"/>
                    <w:tcBorders>
                      <w:bottom w:val="single" w:color="auto" w:sz="4" w:space="0"/>
                    </w:tcBorders>
                    <w:vAlign w:val="center"/>
                  </w:tcPr>
                  <w:p>
                    <w:pPr>
                      <w:widowControl w:val="0"/>
                      <w:jc w:val="center"/>
                      <w:rPr>
                        <w:rFonts w:ascii="Times New Roman" w:hAnsi="Times New Roman" w:cs="Times New Roman"/>
                      </w:rPr>
                    </w:pPr>
                    <w:r>
                      <w:rPr>
                        <w:rFonts w:ascii="Times New Roman" w:hAnsi="Times New Roman" w:cs="Times New Roman"/>
                      </w:rPr>
                      <w:t>/</w:t>
                    </w:r>
                  </w:p>
                </w:tc>
                <w:tc>
                  <w:tcPr>
                    <w:tcW w:w="939" w:type="pct"/>
                    <w:gridSpan w:val="2"/>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567,416,466.36</w:t>
                    </w:r>
                  </w:p>
                </w:tc>
                <w:tc>
                  <w:tcPr>
                    <w:tcW w:w="469" w:type="pct"/>
                    <w:tcBorders>
                      <w:bottom w:val="single" w:color="auto" w:sz="4" w:space="0"/>
                    </w:tcBorders>
                    <w:vAlign w:val="center"/>
                  </w:tcPr>
                  <w:p>
                    <w:pPr>
                      <w:widowControl w:val="0"/>
                      <w:jc w:val="right"/>
                      <w:rPr>
                        <w:rFonts w:ascii="Times New Roman" w:hAnsi="Times New Roman" w:cs="Times New Roman"/>
                        <w:sz w:val="24"/>
                      </w:rPr>
                    </w:pPr>
                    <w:r>
                      <w:rPr>
                        <w:rFonts w:hint="eastAsia" w:ascii="Times New Roman" w:hAnsi="Times New Roman" w:cs="Times New Roman"/>
                      </w:rPr>
                      <w:t>100.00</w:t>
                    </w:r>
                  </w:p>
                </w:tc>
                <w:tc>
                  <w:tcPr>
                    <w:tcW w:w="924"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534,504,957.29</w:t>
                    </w:r>
                  </w:p>
                </w:tc>
                <w:tc>
                  <w:tcPr>
                    <w:tcW w:w="565" w:type="pct"/>
                    <w:tcBorders>
                      <w:bottom w:val="single" w:color="auto" w:sz="4" w:space="0"/>
                    </w:tcBorders>
                    <w:vAlign w:val="center"/>
                  </w:tcPr>
                  <w:p>
                    <w:pPr>
                      <w:widowControl w:val="0"/>
                      <w:jc w:val="right"/>
                      <w:rPr>
                        <w:rFonts w:ascii="Times New Roman" w:hAnsi="Times New Roman" w:cs="Times New Roman"/>
                        <w:sz w:val="24"/>
                      </w:rPr>
                    </w:pPr>
                    <w:r>
                      <w:rPr>
                        <w:rFonts w:hint="eastAsia" w:ascii="Times New Roman" w:hAnsi="Times New Roman" w:cs="Times New Roman"/>
                      </w:rPr>
                      <w:t>100.00</w:t>
                    </w:r>
                  </w:p>
                </w:tc>
                <w:tc>
                  <w:tcPr>
                    <w:tcW w:w="628" w:type="pct"/>
                    <w:tcBorders>
                      <w:bottom w:val="single" w:color="auto" w:sz="4" w:space="0"/>
                    </w:tcBorders>
                    <w:vAlign w:val="center"/>
                  </w:tcPr>
                  <w:p>
                    <w:pPr>
                      <w:widowControl w:val="0"/>
                      <w:jc w:val="right"/>
                      <w:rPr>
                        <w:rFonts w:ascii="Times New Roman" w:hAnsi="Times New Roman" w:cs="Times New Roman"/>
                        <w:sz w:val="24"/>
                      </w:rPr>
                    </w:pPr>
                    <w:r>
                      <w:rPr>
                        <w:rFonts w:ascii="Times New Roman" w:hAnsi="Times New Roman" w:cs="Times New Roman"/>
                      </w:rPr>
                      <w:t>6.16</w:t>
                    </w:r>
                  </w:p>
                </w:tc>
                <w:tc>
                  <w:tcPr>
                    <w:tcW w:w="239" w:type="pct"/>
                    <w:tcBorders>
                      <w:bottom w:val="single" w:color="auto" w:sz="4" w:space="0"/>
                    </w:tcBorders>
                    <w:vAlign w:val="center"/>
                  </w:tcPr>
                  <w:p>
                    <w:pPr>
                      <w:widowControl w:val="0"/>
                      <w:jc w:val="center"/>
                      <w:rPr>
                        <w:rFonts w:ascii="Times New Roman" w:hAnsi="Times New Roman" w:cs="Times New Roman" w:eastAsiaTheme="minorEastAsia"/>
                        <w:kern w:val="2"/>
                        <w:szCs w:val="21"/>
                      </w:rPr>
                    </w:pPr>
                  </w:p>
                </w:tc>
              </w:tr>
            </w:sdtContent>
          </w:sdt>
        </w:tbl>
        <w:p/>
        <w:p>
          <w:pPr>
            <w:rPr>
              <w:szCs w:val="21"/>
            </w:rPr>
          </w:pPr>
        </w:p>
      </w:sdtContent>
    </w:sdt>
    <w:sdt>
      <w:sdtPr>
        <w:rPr>
          <w:rFonts w:ascii="宋体" w:hAnsi="宋体" w:cs="宋体"/>
          <w:b w:val="0"/>
          <w:bCs w:val="0"/>
          <w:kern w:val="0"/>
          <w:szCs w:val="21"/>
        </w:rPr>
        <w:alias w:val="模块:报告期主要子公司股权变动导致合并范围变化  "/>
        <w:tag w:val="_SEC_7994c9389a294bdbaecc407b4132887e"/>
        <w:id w:val="865722381"/>
        <w:lock w:val="sdtLocked"/>
        <w:placeholder>
          <w:docPart w:val="GBC22222222222222222222222222222"/>
        </w:placeholder>
      </w:sdtPr>
      <w:sdtEndPr>
        <w:rPr>
          <w:rFonts w:ascii="宋体" w:hAnsi="宋体" w:cs="宋体"/>
          <w:b w:val="0"/>
          <w:bCs w:val="0"/>
          <w:kern w:val="0"/>
          <w:szCs w:val="24"/>
        </w:rPr>
      </w:sdtEndPr>
      <w:sdtContent>
        <w:p>
          <w:pPr>
            <w:pStyle w:val="6"/>
            <w:numPr>
              <w:ilvl w:val="0"/>
              <w:numId w:val="10"/>
            </w:numPr>
            <w:tabs>
              <w:tab w:val="left" w:pos="567"/>
            </w:tabs>
            <w:ind w:left="0" w:firstLine="0"/>
            <w:rPr>
              <w:szCs w:val="21"/>
            </w:rPr>
          </w:pPr>
          <w:bookmarkStart w:id="34" w:name="_Hlk89876513"/>
          <w:r>
            <w:rPr>
              <w:szCs w:val="21"/>
            </w:rPr>
            <w:t>报告期</w:t>
          </w:r>
          <w:r>
            <w:t>主要子公司股权变动导致合并范围变化</w:t>
          </w:r>
        </w:p>
        <w:sdt>
          <w:sdtPr>
            <w:alias w:val="是否适用：报告期主要子公司股权变动导致合并范围变化 [双击切换]"/>
            <w:tag w:val="_GBC_f684be8377fd464e8fc7d9a0e6df7b78"/>
            <w:id w:val="865722380"/>
            <w:lock w:val="sdtLocked"/>
            <w:placeholder>
              <w:docPart w:val="GBC22222222222222222222222222222"/>
            </w:placeholder>
          </w:sdtPr>
          <w:sdtContent>
            <w:p>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ascii="宋体" w:hAnsi="宋体" w:cs="宋体"/>
          <w:b w:val="0"/>
          <w:bCs w:val="0"/>
          <w:kern w:val="0"/>
          <w:szCs w:val="21"/>
        </w:rPr>
        <w:alias w:val="模块:公司报告期内业务、产品或服务发生重大变化或调整有关情况  ..."/>
        <w:tag w:val="_SEC_d6cb17445afd40d08283b8668ce1d236"/>
        <w:id w:val="865722383"/>
        <w:lock w:val="sdtLocked"/>
        <w:placeholder>
          <w:docPart w:val="GBC22222222222222222222222222222"/>
        </w:placeholder>
      </w:sdtPr>
      <w:sdtEndPr>
        <w:rPr>
          <w:rFonts w:ascii="宋体" w:hAnsi="宋体" w:cs="宋体"/>
          <w:b w:val="0"/>
          <w:bCs w:val="0"/>
          <w:kern w:val="0"/>
          <w:szCs w:val="21"/>
        </w:rPr>
      </w:sdtEndPr>
      <w:sdtContent>
        <w:p>
          <w:pPr>
            <w:pStyle w:val="6"/>
            <w:numPr>
              <w:ilvl w:val="0"/>
              <w:numId w:val="10"/>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865722382"/>
            <w:lock w:val="sdtLocked"/>
            <w:placeholder>
              <w:docPart w:val="GBC22222222222222222222222222222"/>
            </w:placeholder>
          </w:sdtPr>
          <w:sdtContent>
            <w:p>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bookmarkEnd w:id="34"/>
    <w:p>
      <w:pPr>
        <w:pStyle w:val="6"/>
        <w:numPr>
          <w:ilvl w:val="0"/>
          <w:numId w:val="10"/>
        </w:numPr>
        <w:tabs>
          <w:tab w:val="left" w:pos="567"/>
        </w:tabs>
        <w:ind w:left="0" w:firstLine="0"/>
        <w:rPr>
          <w:szCs w:val="21"/>
        </w:rPr>
      </w:pPr>
      <w:r>
        <w:rPr>
          <w:szCs w:val="21"/>
        </w:rPr>
        <w:t>主要销售客户及主要供应商情况</w:t>
      </w:r>
    </w:p>
    <w:sdt>
      <w:sdtPr>
        <w:rPr>
          <w:rFonts w:hint="eastAsia" w:cs="Times New Roman"/>
          <w:b/>
          <w:kern w:val="2"/>
          <w:szCs w:val="21"/>
        </w:rPr>
        <w:alias w:val="模块:公司主要销售客户情况前五名客户销售额"/>
        <w:tag w:val="_SEC_1e36f4c903d34dcaa490079809a25d63"/>
        <w:id w:val="865722390"/>
        <w:lock w:val="sdtLocked"/>
        <w:placeholder>
          <w:docPart w:val="GBC22222222222222222222222222222"/>
        </w:placeholder>
      </w:sdtPr>
      <w:sdtEndPr>
        <w:rPr>
          <w:rFonts w:hint="default" w:ascii="Times New Roman" w:hAnsi="Times New Roman" w:cs="Times New Roman"/>
          <w:b w:val="0"/>
          <w:kern w:val="2"/>
          <w:szCs w:val="21"/>
        </w:rPr>
      </w:sdtEndPr>
      <w:sdtContent>
        <w:p>
          <w:pPr>
            <w:autoSpaceDE w:val="0"/>
            <w:autoSpaceDN w:val="0"/>
            <w:adjustRightInd w:val="0"/>
            <w:rPr>
              <w:b/>
              <w:szCs w:val="22"/>
              <w:lang w:val="zh-CN"/>
            </w:rPr>
          </w:pPr>
          <w:r>
            <w:rPr>
              <w:rFonts w:hint="eastAsia"/>
              <w:b/>
              <w:szCs w:val="21"/>
            </w:rPr>
            <w:t>A.</w:t>
          </w:r>
          <w:r>
            <w:rPr>
              <w:rFonts w:hint="eastAsia"/>
              <w:b/>
              <w:lang w:val="zh-CN"/>
            </w:rPr>
            <w:t>公司主要销售客户情况</w:t>
          </w:r>
        </w:p>
        <w:p>
          <w:pPr>
            <w:spacing w:line="400" w:lineRule="exact"/>
            <w:rPr>
              <w:rFonts w:ascii="Times New Roman" w:hAnsi="Times New Roman" w:cs="Times New Roman"/>
              <w:szCs w:val="21"/>
            </w:rPr>
          </w:pPr>
          <w:r>
            <w:rPr>
              <w:rFonts w:ascii="Times New Roman" w:cs="Times New Roman"/>
              <w:szCs w:val="21"/>
            </w:rPr>
            <w:t>前五名客户销售额</w:t>
          </w:r>
          <w:sdt>
            <w:sdtPr>
              <w:rPr>
                <w:rFonts w:ascii="Times New Roman" w:hAnsi="Times New Roman" w:cs="Times New Roman"/>
                <w:szCs w:val="21"/>
              </w:rPr>
              <w:alias w:val="前五名客户销售额"/>
              <w:tag w:val="_GBC_e497000fdfbc4e548555b7f8ddf9780c"/>
              <w:id w:val="865722384"/>
              <w:lock w:val="sdtLocked"/>
              <w:placeholder>
                <w:docPart w:val="GBC22222222222222222222222222222"/>
              </w:placeholder>
            </w:sdtPr>
            <w:sdtEndPr>
              <w:rPr>
                <w:rFonts w:ascii="Times New Roman" w:hAnsi="Times New Roman" w:cs="Times New Roman"/>
                <w:szCs w:val="21"/>
              </w:rPr>
            </w:sdtEndPr>
            <w:sdtContent>
              <w:r>
                <w:rPr>
                  <w:rFonts w:ascii="Times New Roman" w:hAnsi="Times New Roman" w:cs="Times New Roman"/>
                </w:rPr>
                <w:t>6,048.79</w:t>
              </w:r>
            </w:sdtContent>
          </w:sdt>
          <w:sdt>
            <w:sdtPr>
              <w:rPr>
                <w:rFonts w:ascii="Times New Roman" w:hAnsi="Times New Roman" w:cs="Times New Roman"/>
                <w:szCs w:val="21"/>
              </w:rPr>
              <w:alias w:val="单位：前五名客户销售额"/>
              <w:tag w:val="_GBC_4bd6620b209a4bae8dc3404e8b89ea35"/>
              <w:id w:val="8657223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Times New Roman" w:hAnsi="Times New Roman" w:cs="Times New Roman"/>
                <w:szCs w:val="21"/>
              </w:rPr>
            </w:sdtEndPr>
            <w:sdtContent>
              <w:r>
                <w:rPr>
                  <w:rFonts w:ascii="Times New Roman" w:cs="Times New Roman"/>
                  <w:szCs w:val="21"/>
                </w:rPr>
                <w:t>万元</w:t>
              </w:r>
            </w:sdtContent>
          </w:sdt>
          <w:r>
            <w:rPr>
              <w:rFonts w:ascii="Times New Roman" w:cs="Times New Roman"/>
              <w:szCs w:val="21"/>
            </w:rPr>
            <w:t>，占年度销售总额</w:t>
          </w:r>
          <w:sdt>
            <w:sdtPr>
              <w:rPr>
                <w:rFonts w:ascii="Times New Roman" w:hAnsi="Times New Roman" w:cs="Times New Roman"/>
                <w:szCs w:val="21"/>
              </w:rPr>
              <w:alias w:val="前五名客户销售额占年度销售总额比例"/>
              <w:tag w:val="_GBC_68b3c8b493d04b6c9db16e7e475d7b35"/>
              <w:id w:val="865722386"/>
              <w:lock w:val="sdtLocked"/>
              <w:placeholder>
                <w:docPart w:val="GBC22222222222222222222222222222"/>
              </w:placeholder>
            </w:sdtPr>
            <w:sdtEndPr>
              <w:rPr>
                <w:rFonts w:ascii="Times New Roman" w:hAnsi="Times New Roman" w:cs="Times New Roman"/>
                <w:szCs w:val="21"/>
              </w:rPr>
            </w:sdtEndPr>
            <w:sdtContent>
              <w:r>
                <w:rPr>
                  <w:rFonts w:ascii="Times New Roman" w:hAnsi="Times New Roman" w:cs="Times New Roman"/>
                </w:rPr>
                <w:t>8.</w:t>
              </w:r>
              <w:r>
                <w:rPr>
                  <w:rFonts w:hint="eastAsia" w:ascii="Times New Roman" w:hAnsi="Times New Roman" w:cs="Times New Roman"/>
                </w:rPr>
                <w:t>43</w:t>
              </w:r>
            </w:sdtContent>
          </w:sdt>
          <w:r>
            <w:rPr>
              <w:rFonts w:ascii="Times New Roman" w:hAnsi="Times New Roman" w:cs="Times New Roman"/>
              <w:szCs w:val="21"/>
            </w:rPr>
            <w:t>%</w:t>
          </w:r>
          <w:r>
            <w:rPr>
              <w:rFonts w:ascii="Times New Roman" w:cs="Times New Roman"/>
              <w:szCs w:val="21"/>
            </w:rPr>
            <w:t>；其中前五名客户销售额中关联方销售额</w:t>
          </w:r>
          <w:sdt>
            <w:sdtPr>
              <w:rPr>
                <w:rFonts w:ascii="Times New Roman" w:hAnsi="Times New Roman" w:cs="Times New Roman"/>
                <w:szCs w:val="21"/>
              </w:rPr>
              <w:alias w:val="前五名客户销售额中关联方销售额"/>
              <w:tag w:val="_GBC_bfa0971257a44f65996f01cfb0497b07"/>
              <w:id w:val="865722387"/>
              <w:lock w:val="sdtLocked"/>
              <w:placeholder>
                <w:docPart w:val="GBC22222222222222222222222222222"/>
              </w:placeholder>
            </w:sdtPr>
            <w:sdtEndPr>
              <w:rPr>
                <w:rFonts w:ascii="Times New Roman" w:hAnsi="Times New Roman" w:cs="Times New Roman"/>
                <w:szCs w:val="21"/>
              </w:rPr>
            </w:sdtEndPr>
            <w:sdtContent>
              <w:r>
                <w:rPr>
                  <w:rFonts w:ascii="Times New Roman" w:hAnsi="Times New Roman" w:cs="Times New Roman"/>
                  <w:szCs w:val="21"/>
                </w:rPr>
                <w:t>0</w:t>
              </w:r>
            </w:sdtContent>
          </w:sdt>
          <w:sdt>
            <w:sdtPr>
              <w:rPr>
                <w:rFonts w:ascii="Times New Roman" w:hAnsi="Times New Roman" w:cs="Times New Roman"/>
                <w:szCs w:val="21"/>
              </w:rPr>
              <w:alias w:val="单位：前五名客户销售额中关联方销售额"/>
              <w:tag w:val="_GBC_f3c03afc93a5429f9fa45fc25f9018ab"/>
              <w:id w:val="8657223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Times New Roman" w:hAnsi="Times New Roman" w:cs="Times New Roman"/>
                <w:szCs w:val="21"/>
              </w:rPr>
            </w:sdtEndPr>
            <w:sdtContent>
              <w:r>
                <w:rPr>
                  <w:rFonts w:ascii="Times New Roman" w:cs="Times New Roman"/>
                  <w:szCs w:val="21"/>
                </w:rPr>
                <w:t>万元</w:t>
              </w:r>
            </w:sdtContent>
          </w:sdt>
          <w:r>
            <w:rPr>
              <w:rFonts w:ascii="Times New Roman" w:cs="Times New Roman"/>
              <w:szCs w:val="21"/>
            </w:rPr>
            <w:t>，占年度销售总额</w:t>
          </w:r>
          <w:sdt>
            <w:sdtPr>
              <w:rPr>
                <w:rFonts w:ascii="Times New Roman" w:hAnsi="Times New Roman" w:cs="Times New Roman"/>
                <w:szCs w:val="21"/>
              </w:rPr>
              <w:alias w:val="前五名客户销售额中关联方销售额占年度销售总额比例"/>
              <w:tag w:val="_GBC_a84a9f2fd5cd467fa7226eab846a8fd4"/>
              <w:id w:val="865722389"/>
              <w:lock w:val="sdtLocked"/>
              <w:placeholder>
                <w:docPart w:val="GBC22222222222222222222222222222"/>
              </w:placeholder>
            </w:sdtPr>
            <w:sdtEndPr>
              <w:rPr>
                <w:rFonts w:ascii="Times New Roman" w:hAnsi="Times New Roman" w:cs="Times New Roman"/>
                <w:szCs w:val="21"/>
              </w:rPr>
            </w:sdtEndPr>
            <w:sdtContent>
              <w:r>
                <w:rPr>
                  <w:rFonts w:ascii="Times New Roman" w:hAnsi="Times New Roman" w:cs="Times New Roman"/>
                  <w:szCs w:val="21"/>
                </w:rPr>
                <w:t>0</w:t>
              </w:r>
            </w:sdtContent>
          </w:sdt>
          <w:r>
            <w:rPr>
              <w:rFonts w:ascii="Times New Roman" w:hAnsi="Times New Roman" w:cs="Times New Roman"/>
              <w:szCs w:val="21"/>
            </w:rPr>
            <w:t xml:space="preserve"> %</w:t>
          </w:r>
          <w:r>
            <w:rPr>
              <w:rFonts w:hint="eastAsia" w:ascii="Times New Roman" w:cs="Times New Roman"/>
              <w:szCs w:val="21"/>
            </w:rPr>
            <w:t>。</w:t>
          </w:r>
        </w:p>
        <w:p>
          <w:pPr>
            <w:spacing w:line="400" w:lineRule="exact"/>
            <w:rPr>
              <w:rFonts w:ascii="Times New Roman" w:hAnsi="Times New Roman" w:cs="Times New Roman"/>
              <w:szCs w:val="21"/>
            </w:rPr>
          </w:pPr>
        </w:p>
      </w:sdtContent>
    </w:sdt>
    <w:sdt>
      <w:sdtPr>
        <w:rPr>
          <w:rFonts w:ascii="Times New Roman" w:hAnsi="Times New Roman" w:cs="Times New Roman"/>
        </w:rPr>
        <w:alias w:val="模块:报告期内向单个客户的销售比例超过总额的50%、前5名客户中存..."/>
        <w:tag w:val="_SEC_95ad638a4b6f4b4790b1d0f3690a45cd"/>
        <w:id w:val="865722402"/>
        <w:lock w:val="sdtLocked"/>
        <w:placeholder>
          <w:docPart w:val="GBC22222222222222222222222222222"/>
        </w:placeholder>
      </w:sdtPr>
      <w:sdtEndPr>
        <w:rPr>
          <w:rFonts w:ascii="Times New Roman" w:hAnsi="Times New Roman" w:cs="Times New Roman"/>
          <w:szCs w:val="21"/>
        </w:rPr>
      </w:sdtEndPr>
      <w:sdtContent>
        <w:p>
          <w:pPr>
            <w:spacing w:line="400" w:lineRule="exact"/>
            <w:rPr>
              <w:rFonts w:ascii="Times New Roman" w:hAnsi="Times New Roman" w:cs="Times New Roman"/>
            </w:rPr>
          </w:pPr>
          <w:r>
            <w:rPr>
              <w:rFonts w:ascii="Times New Roman" w:cs="Times New Roman"/>
            </w:rPr>
            <w:t>报告期内向单个客户的销售比例超过总额的</w:t>
          </w:r>
          <w:r>
            <w:rPr>
              <w:rFonts w:ascii="Times New Roman" w:hAnsi="Times New Roman" w:cs="Times New Roman"/>
            </w:rPr>
            <w:t>50%</w:t>
          </w:r>
          <w:r>
            <w:rPr>
              <w:rFonts w:ascii="Times New Roman" w:cs="Times New Roman"/>
            </w:rPr>
            <w:t>、前</w:t>
          </w:r>
          <w:r>
            <w:rPr>
              <w:rFonts w:ascii="Times New Roman" w:hAnsi="Times New Roman" w:cs="Times New Roman"/>
            </w:rPr>
            <w:t>5</w:t>
          </w:r>
          <w:r>
            <w:rPr>
              <w:rFonts w:ascii="Times New Roman" w:cs="Times New Roman"/>
            </w:rPr>
            <w:t>名客户中存在新增客户的或严重依赖于少数客户的情形</w:t>
          </w:r>
        </w:p>
        <w:sdt>
          <w:sdtPr>
            <w:rPr>
              <w:rFonts w:ascii="Times New Roman" w:hAnsi="Times New Roman" w:cs="Times New Roman"/>
            </w:rPr>
            <w:alias w:val="是否适用：前5名销售客户中存在新增客户的或严重依赖于少数客户的情形表[双击切换]"/>
            <w:tag w:val="_GBC_9335bc17e9fb4b00a212f4c3a2cf1884"/>
            <w:id w:val="865722391"/>
            <w:lock w:val="sdtLocked"/>
            <w:placeholder>
              <w:docPart w:val="GBC22222222222222222222222222222"/>
            </w:placeholder>
          </w:sdtPr>
          <w:sdtEndPr>
            <w:rPr>
              <w:rFonts w:ascii="Times New Roman" w:hAnsi="Times New Roman" w:cs="Times New Roman"/>
            </w:rPr>
          </w:sdtEndPr>
          <w:sdtContent>
            <w:p>
              <w:pPr>
                <w:spacing w:line="400" w:lineRule="exact"/>
                <w:rPr>
                  <w:rFonts w:ascii="Times New Roman" w:hAnsi="Times New Roman" w:cs="Times New Roman"/>
                  <w:szCs w:val="21"/>
                </w:rPr>
              </w:pPr>
              <w:r>
                <w:rPr>
                  <w:rFonts w:cs="Times New Roman" w:asciiTheme="minorEastAsia" w:hAnsiTheme="minorEastAsia" w:eastAsiaTheme="minorEastAsia"/>
                </w:rPr>
                <w:fldChar w:fldCharType="begin"/>
              </w:r>
              <w:r>
                <w:rPr>
                  <w:rFonts w:cs="Times New Roman" w:asciiTheme="minorEastAsia" w:hAnsiTheme="minorEastAsia" w:eastAsiaTheme="minorEastAsia"/>
                </w:rPr>
                <w:instrText xml:space="preserve"> MACROBUTTON  SnrToggleCheckbox □适用 </w:instrText>
              </w:r>
              <w:r>
                <w:rPr>
                  <w:rFonts w:cs="Times New Roman" w:asciiTheme="minorEastAsia" w:hAnsiTheme="minorEastAsia" w:eastAsiaTheme="minorEastAsia"/>
                </w:rPr>
                <w:fldChar w:fldCharType="end"/>
              </w:r>
              <w:r>
                <w:rPr>
                  <w:rFonts w:cs="Times New Roman" w:asciiTheme="minorEastAsia" w:hAnsiTheme="minorEastAsia" w:eastAsiaTheme="minorEastAsia"/>
                </w:rPr>
                <w:fldChar w:fldCharType="begin"/>
              </w:r>
              <w:r>
                <w:rPr>
                  <w:rFonts w:cs="Times New Roman" w:asciiTheme="minorEastAsia" w:hAnsiTheme="minorEastAsia" w:eastAsiaTheme="minorEastAsia"/>
                </w:rPr>
                <w:instrText xml:space="preserve"> MACROBUTTON  SnrToggleCheckbox √不适用 </w:instrText>
              </w:r>
              <w:r>
                <w:rPr>
                  <w:rFonts w:cs="Times New Roman" w:asciiTheme="minorEastAsia" w:hAnsiTheme="minorEastAsia" w:eastAsiaTheme="minorEastAsia"/>
                </w:rPr>
                <w:fldChar w:fldCharType="end"/>
              </w:r>
            </w:p>
          </w:sdtContent>
        </w:sdt>
      </w:sdtContent>
    </w:sdt>
    <w:sdt>
      <w:sdtPr>
        <w:rPr>
          <w:rFonts w:hint="eastAsia"/>
          <w:b/>
          <w:bCs/>
          <w:kern w:val="2"/>
          <w:szCs w:val="21"/>
        </w:rPr>
        <w:alias w:val="模块:公司主要供应商情况前五名供应商采购额"/>
        <w:tag w:val="_SEC_3a7906474e0b449b832049e5ab89fb92"/>
        <w:id w:val="865722409"/>
        <w:lock w:val="sdtLocked"/>
        <w:placeholder>
          <w:docPart w:val="GBC22222222222222222222222222222"/>
        </w:placeholder>
      </w:sdtPr>
      <w:sdtEndPr>
        <w:rPr>
          <w:rFonts w:hint="default" w:ascii="Times New Roman" w:hAnsi="Times New Roman" w:cs="Times New Roman"/>
          <w:b w:val="0"/>
          <w:bCs/>
          <w:kern w:val="2"/>
          <w:szCs w:val="21"/>
        </w:rPr>
      </w:sdtEndPr>
      <w:sdtContent>
        <w:p>
          <w:pPr>
            <w:spacing w:line="400" w:lineRule="exact"/>
            <w:rPr>
              <w:szCs w:val="21"/>
            </w:rPr>
          </w:pPr>
          <w:r>
            <w:rPr>
              <w:rFonts w:hint="eastAsia"/>
              <w:b/>
              <w:szCs w:val="21"/>
            </w:rPr>
            <w:t>B.</w:t>
          </w:r>
          <w:r>
            <w:rPr>
              <w:rFonts w:hint="eastAsia"/>
              <w:b/>
              <w:lang w:val="zh-CN"/>
            </w:rPr>
            <w:t>公司主要供应商情况</w:t>
          </w:r>
        </w:p>
        <w:p>
          <w:pPr>
            <w:spacing w:line="400" w:lineRule="exact"/>
            <w:rPr>
              <w:rFonts w:ascii="Times New Roman" w:hAnsi="Times New Roman" w:cs="Times New Roman"/>
            </w:rPr>
          </w:pPr>
          <w:r>
            <w:rPr>
              <w:rFonts w:ascii="Times New Roman" w:cs="Times New Roman"/>
              <w:szCs w:val="21"/>
            </w:rPr>
            <w:t>前五名供应商采购额</w:t>
          </w:r>
          <w:sdt>
            <w:sdtPr>
              <w:rPr>
                <w:rFonts w:ascii="Times New Roman" w:hAnsi="Times New Roman" w:cs="Times New Roman"/>
                <w:szCs w:val="21"/>
              </w:rPr>
              <w:alias w:val="前五名供应商采购额"/>
              <w:tag w:val="_GBC_4552254972a04ec6983b359a0f18d4bf"/>
              <w:id w:val="865722403"/>
              <w:lock w:val="sdtLocked"/>
              <w:placeholder>
                <w:docPart w:val="GBC22222222222222222222222222222"/>
              </w:placeholder>
            </w:sdtPr>
            <w:sdtEndPr>
              <w:rPr>
                <w:rFonts w:ascii="Times New Roman" w:hAnsi="Times New Roman" w:cs="Times New Roman"/>
                <w:szCs w:val="21"/>
              </w:rPr>
            </w:sdtEndPr>
            <w:sdtContent>
              <w:r>
                <w:rPr>
                  <w:rFonts w:ascii="Times New Roman" w:hAnsi="Times New Roman" w:cs="Times New Roman"/>
                </w:rPr>
                <w:t>9,067.51</w:t>
              </w:r>
            </w:sdtContent>
          </w:sdt>
          <w:sdt>
            <w:sdtPr>
              <w:rPr>
                <w:rFonts w:ascii="Times New Roman" w:hAnsi="Times New Roman" w:cs="Times New Roman"/>
                <w:szCs w:val="21"/>
              </w:rPr>
              <w:alias w:val="单位：前五名供应商采购额"/>
              <w:tag w:val="_GBC_418fcbdb1c1a4643afb7cce014bdeca2"/>
              <w:id w:val="8657224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Times New Roman" w:hAnsi="Times New Roman" w:cs="Times New Roman"/>
                <w:szCs w:val="21"/>
              </w:rPr>
            </w:sdtEndPr>
            <w:sdtContent>
              <w:r>
                <w:rPr>
                  <w:rFonts w:ascii="Times New Roman" w:cs="Times New Roman"/>
                  <w:szCs w:val="21"/>
                </w:rPr>
                <w:t>万元</w:t>
              </w:r>
            </w:sdtContent>
          </w:sdt>
          <w:r>
            <w:rPr>
              <w:rFonts w:ascii="Times New Roman" w:cs="Times New Roman"/>
              <w:szCs w:val="21"/>
            </w:rPr>
            <w:t>，占年度采购总额</w:t>
          </w:r>
          <w:sdt>
            <w:sdtPr>
              <w:rPr>
                <w:rFonts w:ascii="Times New Roman" w:hAnsi="Times New Roman" w:cs="Times New Roman"/>
                <w:szCs w:val="21"/>
              </w:rPr>
              <w:alias w:val="前五名供应商采购额占年度采购总额比例"/>
              <w:tag w:val="_GBC_f32c49f691154cc4b6ba587f4a582958"/>
              <w:id w:val="865722405"/>
              <w:lock w:val="sdtLocked"/>
              <w:placeholder>
                <w:docPart w:val="GBC22222222222222222222222222222"/>
              </w:placeholder>
            </w:sdtPr>
            <w:sdtEndPr>
              <w:rPr>
                <w:rFonts w:ascii="Times New Roman" w:hAnsi="Times New Roman" w:cs="Times New Roman"/>
                <w:szCs w:val="21"/>
              </w:rPr>
            </w:sdtEndPr>
            <w:sdtContent>
              <w:r>
                <w:rPr>
                  <w:rFonts w:ascii="Times New Roman" w:hAnsi="Times New Roman" w:cs="Times New Roman"/>
                </w:rPr>
                <w:t>15.59</w:t>
              </w:r>
            </w:sdtContent>
          </w:sdt>
          <w:r>
            <w:rPr>
              <w:rFonts w:ascii="Times New Roman" w:hAnsi="Times New Roman" w:cs="Times New Roman"/>
              <w:szCs w:val="21"/>
            </w:rPr>
            <w:t>%</w:t>
          </w:r>
          <w:r>
            <w:rPr>
              <w:rFonts w:ascii="Times New Roman" w:cs="Times New Roman"/>
              <w:szCs w:val="21"/>
            </w:rPr>
            <w:t>；其中前五名供应商采购额中关联方采购额</w:t>
          </w:r>
          <w:sdt>
            <w:sdtPr>
              <w:rPr>
                <w:rFonts w:ascii="Times New Roman" w:hAnsi="Times New Roman" w:cs="Times New Roman"/>
                <w:szCs w:val="21"/>
              </w:rPr>
              <w:alias w:val="前五名供应商采购额中关联方采购额"/>
              <w:tag w:val="_GBC_b4791060802442e186017fdd5f31805a"/>
              <w:id w:val="865722406"/>
              <w:lock w:val="sdtLocked"/>
              <w:placeholder>
                <w:docPart w:val="GBC22222222222222222222222222222"/>
              </w:placeholder>
            </w:sdtPr>
            <w:sdtEndPr>
              <w:rPr>
                <w:rFonts w:ascii="Times New Roman" w:hAnsi="Times New Roman" w:cs="Times New Roman"/>
                <w:szCs w:val="21"/>
              </w:rPr>
            </w:sdtEndPr>
            <w:sdtContent>
              <w:r>
                <w:rPr>
                  <w:rFonts w:ascii="Times New Roman" w:hAnsi="Times New Roman" w:cs="Times New Roman"/>
                  <w:szCs w:val="21"/>
                </w:rPr>
                <w:t>0</w:t>
              </w:r>
            </w:sdtContent>
          </w:sdt>
          <w:sdt>
            <w:sdtPr>
              <w:rPr>
                <w:rFonts w:ascii="Times New Roman" w:hAnsi="Times New Roman" w:cs="Times New Roman"/>
                <w:szCs w:val="21"/>
              </w:rPr>
              <w:alias w:val="单位：前五名供应商采购额中关联方采购额"/>
              <w:tag w:val="_GBC_bac6c3f63a9a4b0db685f5ee8e883818"/>
              <w:id w:val="8657224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Times New Roman" w:hAnsi="Times New Roman" w:cs="Times New Roman"/>
                <w:szCs w:val="21"/>
              </w:rPr>
            </w:sdtEndPr>
            <w:sdtContent>
              <w:r>
                <w:rPr>
                  <w:rFonts w:ascii="Times New Roman" w:cs="Times New Roman"/>
                  <w:szCs w:val="21"/>
                </w:rPr>
                <w:t>万元</w:t>
              </w:r>
            </w:sdtContent>
          </w:sdt>
          <w:r>
            <w:rPr>
              <w:rFonts w:ascii="Times New Roman" w:cs="Times New Roman"/>
              <w:szCs w:val="21"/>
            </w:rPr>
            <w:t>，占年度采购总额</w:t>
          </w:r>
          <w:sdt>
            <w:sdtPr>
              <w:rPr>
                <w:rFonts w:ascii="Times New Roman" w:hAnsi="Times New Roman" w:cs="Times New Roman"/>
                <w:szCs w:val="21"/>
              </w:rPr>
              <w:alias w:val="前五名供应商采购额中关联方采购额占年度采购总额比例"/>
              <w:tag w:val="_GBC_41b2f0a67a5743e1a4ccf8f427eec0a3"/>
              <w:id w:val="865722408"/>
              <w:lock w:val="sdtLocked"/>
              <w:placeholder>
                <w:docPart w:val="GBC22222222222222222222222222222"/>
              </w:placeholder>
            </w:sdtPr>
            <w:sdtEndPr>
              <w:rPr>
                <w:rFonts w:ascii="Times New Roman" w:hAnsi="Times New Roman" w:cs="Times New Roman"/>
                <w:szCs w:val="21"/>
              </w:rPr>
            </w:sdtEndPr>
            <w:sdtContent>
              <w:r>
                <w:rPr>
                  <w:rFonts w:ascii="Times New Roman" w:hAnsi="Times New Roman" w:cs="Times New Roman"/>
                  <w:szCs w:val="21"/>
                </w:rPr>
                <w:t>0</w:t>
              </w:r>
            </w:sdtContent>
          </w:sdt>
          <w:r>
            <w:rPr>
              <w:rFonts w:ascii="Times New Roman" w:hAnsi="Times New Roman" w:cs="Times New Roman"/>
            </w:rPr>
            <w:t>%</w:t>
          </w:r>
          <w:r>
            <w:rPr>
              <w:rFonts w:ascii="Times New Roman" w:cs="Times New Roman"/>
            </w:rPr>
            <w:t>。</w:t>
          </w:r>
        </w:p>
        <w:p>
          <w:pPr>
            <w:spacing w:line="400" w:lineRule="exact"/>
            <w:rPr>
              <w:rFonts w:ascii="Times New Roman" w:hAnsi="Times New Roman" w:cs="Times New Roman"/>
              <w:szCs w:val="21"/>
            </w:rPr>
          </w:pPr>
        </w:p>
      </w:sdtContent>
    </w:sdt>
    <w:sdt>
      <w:sdtPr>
        <w:rPr>
          <w:rFonts w:ascii="Times New Roman" w:hAnsi="Times New Roman" w:cs="Times New Roman"/>
        </w:rPr>
        <w:alias w:val="模块:报告期内向单个供应商的采购比例超过总额的50%、前5名供应商..."/>
        <w:tag w:val="_SEC_3d1177daffc24273aa09c51395106f77"/>
        <w:id w:val="865722421"/>
        <w:lock w:val="sdtLocked"/>
        <w:placeholder>
          <w:docPart w:val="GBC22222222222222222222222222222"/>
        </w:placeholder>
      </w:sdtPr>
      <w:sdtEndPr>
        <w:rPr>
          <w:rFonts w:ascii="宋体" w:hAnsi="宋体" w:cs="宋体"/>
          <w:szCs w:val="21"/>
        </w:rPr>
      </w:sdtEndPr>
      <w:sdtContent>
        <w:p>
          <w:pPr>
            <w:spacing w:line="400" w:lineRule="exact"/>
            <w:rPr>
              <w:rFonts w:ascii="Times New Roman" w:hAnsi="Times New Roman" w:cs="Times New Roman"/>
            </w:rPr>
          </w:pPr>
          <w:r>
            <w:rPr>
              <w:rFonts w:ascii="Times New Roman" w:cs="Times New Roman"/>
            </w:rPr>
            <w:t>报告期内向单个供应商的采购比例超过总额的</w:t>
          </w:r>
          <w:r>
            <w:rPr>
              <w:rFonts w:ascii="Times New Roman" w:hAnsi="Times New Roman" w:cs="Times New Roman"/>
            </w:rPr>
            <w:t>50%</w:t>
          </w:r>
          <w:r>
            <w:rPr>
              <w:rFonts w:ascii="Times New Roman" w:cs="Times New Roman"/>
            </w:rPr>
            <w:t>、前</w:t>
          </w:r>
          <w:r>
            <w:rPr>
              <w:rFonts w:ascii="Times New Roman" w:hAnsi="Times New Roman" w:cs="Times New Roman"/>
            </w:rPr>
            <w:t>5</w:t>
          </w:r>
          <w:r>
            <w:rPr>
              <w:rFonts w:ascii="Times New Roman" w:cs="Times New Roman"/>
            </w:rPr>
            <w:t>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865722410"/>
            <w:lock w:val="sdtLocked"/>
            <w:placeholder>
              <w:docPart w:val="GBC22222222222222222222222222222"/>
            </w:placeholder>
          </w:sdtPr>
          <w:sdtContent>
            <w:p>
              <w:pPr>
                <w:spacing w:line="400" w:lineRule="exact"/>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ascii="宋体" w:hAnsi="宋体" w:eastAsia="宋体" w:cs="宋体"/>
          <w:b w:val="0"/>
          <w:bCs w:val="0"/>
          <w:kern w:val="0"/>
          <w:szCs w:val="24"/>
        </w:rPr>
        <w:alias w:val="模块:费用"/>
        <w:tag w:val="_SEC_775a3421cf05469a8bf0b92a3e954a9d"/>
        <w:id w:val="865722425"/>
        <w:lock w:val="sdtLocked"/>
        <w:placeholder>
          <w:docPart w:val="GBC22222222222222222222222222222"/>
        </w:placeholder>
      </w:sdtPr>
      <w:sdtEndPr>
        <w:rPr>
          <w:rFonts w:ascii="宋体" w:hAnsi="宋体" w:eastAsia="宋体" w:cs="宋体"/>
          <w:b w:val="0"/>
          <w:bCs w:val="0"/>
          <w:kern w:val="0"/>
          <w:szCs w:val="21"/>
        </w:rPr>
      </w:sdtEndPr>
      <w:sdtContent>
        <w:p>
          <w:pPr>
            <w:pStyle w:val="5"/>
            <w:numPr>
              <w:ilvl w:val="0"/>
              <w:numId w:val="9"/>
            </w:numPr>
          </w:pPr>
          <w:r>
            <w:rPr>
              <w:rFonts w:hint="eastAsia"/>
            </w:rPr>
            <w:t>费用</w:t>
          </w:r>
        </w:p>
        <w:sdt>
          <w:sdtPr>
            <w:alias w:val="是否适用：费用[双击切换]"/>
            <w:tag w:val="_GBC_fa9cd5e43a8f426c8b793a737190d8db"/>
            <w:id w:val="86572242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szCs w:val="21"/>
            </w:rPr>
            <w:alias w:val="费用情况说明"/>
            <w:tag w:val="_GBC_02a46af1e8d349d8b753768e17da35a1"/>
            <w:id w:val="865722424"/>
            <w:lock w:val="sdtLocked"/>
            <w:placeholder>
              <w:docPart w:val="GBC22222222222222222222222222222"/>
            </w:placeholder>
          </w:sdtPr>
          <w:sdtEndPr>
            <w:rPr>
              <w:rFonts w:hint="eastAsia" w:ascii="宋体" w:hAnsi="宋体" w:cs="宋体"/>
              <w:szCs w:val="21"/>
            </w:rPr>
          </w:sdtEndPr>
          <w:sdtContent>
            <w:p>
              <w:pPr>
                <w:spacing w:line="400" w:lineRule="exact"/>
                <w:ind w:firstLine="420" w:firstLineChars="200"/>
                <w:rPr>
                  <w:szCs w:val="21"/>
                </w:rPr>
              </w:pPr>
              <w:r>
                <w:rPr>
                  <w:rFonts w:ascii="Times New Roman" w:cs="Times New Roman"/>
                  <w:szCs w:val="21"/>
                </w:rPr>
                <w:t>本报告期公司费用无重大变化，详见本节（一）主营业务分析之</w:t>
              </w:r>
              <w:r>
                <w:rPr>
                  <w:rFonts w:ascii="Times New Roman" w:hAnsi="Times New Roman" w:cs="Times New Roman"/>
                  <w:szCs w:val="21"/>
                </w:rPr>
                <w:t>1.</w:t>
              </w:r>
              <w:r>
                <w:rPr>
                  <w:rFonts w:ascii="Times New Roman" w:cs="Times New Roman"/>
                  <w:szCs w:val="21"/>
                </w:rPr>
                <w:t>利润表及现金流量表相关</w:t>
              </w:r>
              <w:r>
                <w:rPr>
                  <w:rFonts w:hint="eastAsia"/>
                  <w:szCs w:val="21"/>
                </w:rPr>
                <w:t>科目变动分析表。</w:t>
              </w:r>
            </w:p>
          </w:sdtContent>
        </w:sdt>
      </w:sdtContent>
    </w:sdt>
    <w:sdt>
      <w:sdtPr>
        <w:rPr>
          <w:rStyle w:val="48"/>
          <w:rFonts w:ascii="宋体" w:hAnsi="宋体" w:eastAsia="宋体" w:cs="宋体"/>
          <w:b/>
          <w:bCs/>
          <w:szCs w:val="21"/>
        </w:rPr>
        <w:alias w:val="模块:研发投入情况表"/>
        <w:tag w:val="_SEC_7d98484d3b0a438487e1af19f740dceb"/>
        <w:id w:val="865722434"/>
        <w:lock w:val="sdtLocked"/>
        <w:placeholder>
          <w:docPart w:val="GBC22222222222222222222222222222"/>
        </w:placeholder>
      </w:sdtPr>
      <w:sdtEndPr>
        <w:rPr>
          <w:rStyle w:val="39"/>
          <w:rFonts w:hint="eastAsia" w:ascii="宋体" w:hAnsi="宋体" w:eastAsia="宋体" w:cs="宋体"/>
          <w:b w:val="0"/>
          <w:bCs w:val="0"/>
          <w:kern w:val="0"/>
          <w:szCs w:val="24"/>
        </w:rPr>
      </w:sdtEndPr>
      <w:sdtContent>
        <w:p>
          <w:pPr>
            <w:pStyle w:val="5"/>
            <w:numPr>
              <w:ilvl w:val="0"/>
              <w:numId w:val="9"/>
            </w:numPr>
            <w:rPr>
              <w:rStyle w:val="48"/>
              <w:b/>
              <w:bCs/>
            </w:rPr>
          </w:pPr>
          <w:r>
            <w:rPr>
              <w:rFonts w:hint="eastAsia"/>
            </w:rPr>
            <w:t>研发投入</w:t>
          </w:r>
        </w:p>
        <w:p>
          <w:pPr>
            <w:pStyle w:val="55"/>
            <w:numPr>
              <w:ilvl w:val="0"/>
              <w:numId w:val="11"/>
            </w:numPr>
            <w:spacing w:before="60" w:after="60"/>
            <w:ind w:firstLineChars="0"/>
            <w:rPr>
              <w:rStyle w:val="48"/>
              <w:szCs w:val="21"/>
            </w:rPr>
          </w:pPr>
          <w:r>
            <w:rPr>
              <w:rStyle w:val="48"/>
              <w:szCs w:val="21"/>
            </w:rPr>
            <w:t>研发</w:t>
          </w:r>
          <w:r>
            <w:rPr>
              <w:rStyle w:val="48"/>
              <w:rFonts w:hint="eastAsia"/>
              <w:szCs w:val="21"/>
            </w:rPr>
            <w:t>投入</w:t>
          </w:r>
          <w:r>
            <w:rPr>
              <w:rStyle w:val="48"/>
              <w:szCs w:val="21"/>
            </w:rPr>
            <w:t>情况表</w:t>
          </w:r>
        </w:p>
        <w:sdt>
          <w:sdtPr>
            <w:rPr>
              <w:rStyle w:val="48"/>
              <w:rFonts w:hint="eastAsia"/>
              <w:b w:val="0"/>
              <w:szCs w:val="21"/>
            </w:rPr>
            <w:alias w:val="是否适用：研发投入情况表[双击切换]"/>
            <w:tag w:val="_GBC_b745f9cad6de412690fcb0f363f3eadb"/>
            <w:id w:val="865722426"/>
            <w:lock w:val="sdtLocked"/>
            <w:placeholder>
              <w:docPart w:val="GBC22222222222222222222222222222"/>
            </w:placeholder>
          </w:sdtPr>
          <w:sdtEndPr>
            <w:rPr>
              <w:rStyle w:val="48"/>
              <w:rFonts w:hint="eastAsia"/>
              <w:b w:val="0"/>
              <w:szCs w:val="21"/>
            </w:rPr>
          </w:sdtEndPr>
          <w:sdtContent>
            <w:p>
              <w:pPr>
                <w:rPr>
                  <w:rStyle w:val="48"/>
                  <w:b w:val="0"/>
                  <w:szCs w:val="21"/>
                </w:rPr>
              </w:pPr>
              <w:r>
                <w:rPr>
                  <w:rStyle w:val="48"/>
                  <w:b w:val="0"/>
                  <w:szCs w:val="21"/>
                </w:rPr>
                <w:fldChar w:fldCharType="begin"/>
              </w:r>
              <w:r>
                <w:rPr>
                  <w:rStyle w:val="48"/>
                  <w:b w:val="0"/>
                  <w:szCs w:val="21"/>
                </w:rPr>
                <w:instrText xml:space="preserve"> MACROBUTTON  SnrToggleCheckbox √适用  </w:instrText>
              </w:r>
              <w:r>
                <w:rPr>
                  <w:rStyle w:val="48"/>
                  <w:b w:val="0"/>
                  <w:szCs w:val="21"/>
                </w:rPr>
                <w:fldChar w:fldCharType="end"/>
              </w:r>
              <w:r>
                <w:rPr>
                  <w:rStyle w:val="48"/>
                  <w:b w:val="0"/>
                  <w:szCs w:val="21"/>
                </w:rPr>
                <w:fldChar w:fldCharType="begin"/>
              </w:r>
              <w:r>
                <w:rPr>
                  <w:rStyle w:val="48"/>
                  <w:b w:val="0"/>
                  <w:szCs w:val="21"/>
                </w:rPr>
                <w:instrText xml:space="preserve"> MACROBUTTON  SnrToggleCheckbox □不适用 </w:instrText>
              </w:r>
              <w:r>
                <w:rPr>
                  <w:rStyle w:val="48"/>
                  <w:b w:val="0"/>
                  <w:szCs w:val="21"/>
                </w:rPr>
                <w:fldChar w:fldCharType="end"/>
              </w:r>
            </w:p>
          </w:sdtContent>
        </w:sdt>
        <w:p>
          <w:pPr>
            <w:jc w:val="right"/>
            <w:rPr>
              <w:rStyle w:val="48"/>
              <w:b w:val="0"/>
              <w:szCs w:val="21"/>
            </w:rPr>
          </w:pPr>
          <w:r>
            <w:rPr>
              <w:rFonts w:hint="eastAsia"/>
              <w:szCs w:val="21"/>
            </w:rPr>
            <w:t>单位：</w:t>
          </w:r>
          <w:sdt>
            <w:sdtPr>
              <w:rPr>
                <w:rFonts w:hint="eastAsia"/>
                <w:szCs w:val="21"/>
              </w:rPr>
              <w:alias w:val="单位：研发支出"/>
              <w:tag w:val="_GBC_74cd81424a3c41dd9b3b9f335eae8c21"/>
              <w:id w:val="8657224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5"/>
            <w:gridCol w:w="5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34e4faf6ae244cfbac1fd41757cfe96b"/>
                <w:id w:val="865722428"/>
                <w:lock w:val="sdtLocked"/>
              </w:sdtPr>
              <w:sdtContent>
                <w:tc>
                  <w:tcPr>
                    <w:tcW w:w="2097" w:type="pct"/>
                  </w:tcPr>
                  <w:p>
                    <w:pPr>
                      <w:widowControl w:val="0"/>
                      <w:jc w:val="both"/>
                      <w:rPr>
                        <w:rStyle w:val="97"/>
                        <w:b w:val="0"/>
                        <w:bCs w:val="0"/>
                      </w:rPr>
                    </w:pPr>
                    <w:r>
                      <w:rPr>
                        <w:szCs w:val="21"/>
                      </w:rPr>
                      <w:t>本期费用化研发</w:t>
                    </w:r>
                    <w:r>
                      <w:rPr>
                        <w:rFonts w:hint="eastAsia"/>
                        <w:szCs w:val="21"/>
                      </w:rPr>
                      <w:t>投入</w:t>
                    </w:r>
                  </w:p>
                </w:tc>
              </w:sdtContent>
            </w:sdt>
            <w:sdt>
              <w:sdtPr>
                <w:rPr>
                  <w:rStyle w:val="97"/>
                  <w:rFonts w:ascii="Times New Roman" w:hAnsi="Times New Roman" w:cs="Times New Roman"/>
                  <w:b w:val="0"/>
                </w:rPr>
                <w:alias w:val="费用化研发投入"/>
                <w:tag w:val="_GBC_4fb175bc5990483bb41db359eecfdbdb"/>
                <w:id w:val="865722429"/>
                <w:lock w:val="sdtLocked"/>
              </w:sdtPr>
              <w:sdtEndPr>
                <w:rPr>
                  <w:rStyle w:val="97"/>
                  <w:rFonts w:ascii="Times New Roman" w:hAnsi="Times New Roman" w:cs="Times New Roman"/>
                  <w:b w:val="0"/>
                </w:rPr>
              </w:sdtEndPr>
              <w:sdtContent>
                <w:tc>
                  <w:tcPr>
                    <w:tcW w:w="2903" w:type="pct"/>
                    <w:vAlign w:val="center"/>
                  </w:tcPr>
                  <w:p>
                    <w:pPr>
                      <w:widowControl w:val="0"/>
                      <w:jc w:val="right"/>
                      <w:rPr>
                        <w:rStyle w:val="97"/>
                        <w:rFonts w:ascii="Times New Roman" w:hAnsi="Times New Roman" w:cs="Times New Roman"/>
                        <w:b w:val="0"/>
                      </w:rPr>
                    </w:pPr>
                    <w:r>
                      <w:rPr>
                        <w:rStyle w:val="97"/>
                        <w:rFonts w:ascii="Times New Roman" w:hAnsi="Times New Roman" w:cs="Times New Roman"/>
                        <w:b w:val="0"/>
                      </w:rPr>
                      <w:t>11,743,940.54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sdt>
              <w:sdtPr>
                <w:tag w:val="_PLD_20c161beca374b52aa10a0ce52fc5c8f"/>
                <w:id w:val="865722430"/>
                <w:lock w:val="sdtLocked"/>
              </w:sdtPr>
              <w:sdtContent>
                <w:tc>
                  <w:tcPr>
                    <w:tcW w:w="2097" w:type="pct"/>
                  </w:tcPr>
                  <w:p>
                    <w:pPr>
                      <w:widowControl w:val="0"/>
                      <w:jc w:val="both"/>
                      <w:rPr>
                        <w:rStyle w:val="97"/>
                      </w:rPr>
                    </w:pPr>
                    <w:r>
                      <w:rPr>
                        <w:szCs w:val="21"/>
                      </w:rPr>
                      <w:t>本期资本化研发</w:t>
                    </w:r>
                    <w:r>
                      <w:rPr>
                        <w:rFonts w:hint="eastAsia"/>
                        <w:szCs w:val="21"/>
                      </w:rPr>
                      <w:t>投入</w:t>
                    </w:r>
                  </w:p>
                </w:tc>
              </w:sdtContent>
            </w:sdt>
            <w:tc>
              <w:tcPr>
                <w:tcW w:w="2903" w:type="pct"/>
                <w:vAlign w:val="center"/>
              </w:tcPr>
              <w:p>
                <w:pPr>
                  <w:widowControl w:val="0"/>
                  <w:jc w:val="right"/>
                  <w:rPr>
                    <w:rStyle w:val="97"/>
                    <w:rFonts w:ascii="Times New Roman" w:hAnsi="Times New Roman" w:cs="Times New Roman"/>
                    <w:b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21956088f1024a23941f7c544fb04a97"/>
                <w:id w:val="865722431"/>
                <w:lock w:val="sdtLocked"/>
              </w:sdtPr>
              <w:sdtContent>
                <w:tc>
                  <w:tcPr>
                    <w:tcW w:w="2097" w:type="pct"/>
                  </w:tcPr>
                  <w:p>
                    <w:pPr>
                      <w:widowControl w:val="0"/>
                      <w:jc w:val="both"/>
                      <w:rPr>
                        <w:rStyle w:val="97"/>
                      </w:rPr>
                    </w:pPr>
                    <w:r>
                      <w:rPr>
                        <w:szCs w:val="21"/>
                      </w:rPr>
                      <w:t>研发</w:t>
                    </w:r>
                    <w:r>
                      <w:rPr>
                        <w:rFonts w:hint="eastAsia"/>
                        <w:szCs w:val="21"/>
                      </w:rPr>
                      <w:t>投入</w:t>
                    </w:r>
                    <w:r>
                      <w:rPr>
                        <w:szCs w:val="21"/>
                      </w:rPr>
                      <w:t>合计</w:t>
                    </w:r>
                  </w:p>
                </w:tc>
              </w:sdtContent>
            </w:sdt>
            <w:tc>
              <w:tcPr>
                <w:tcW w:w="2903" w:type="pct"/>
                <w:vAlign w:val="center"/>
              </w:tcPr>
              <w:p>
                <w:pPr>
                  <w:widowControl w:val="0"/>
                  <w:jc w:val="right"/>
                  <w:rPr>
                    <w:rStyle w:val="97"/>
                    <w:rFonts w:ascii="Times New Roman" w:hAnsi="Times New Roman" w:cs="Times New Roman"/>
                    <w:b w:val="0"/>
                  </w:rPr>
                </w:pPr>
                <w:r>
                  <w:rPr>
                    <w:rFonts w:ascii="Times New Roman" w:hAnsi="Times New Roman" w:cs="Times New Roman"/>
                  </w:rPr>
                  <w:t>11,743,940.54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ab1307558a044f3da8f8f6293608de34"/>
                <w:id w:val="865722432"/>
                <w:lock w:val="sdtLocked"/>
              </w:sdtPr>
              <w:sdtContent>
                <w:tc>
                  <w:tcPr>
                    <w:tcW w:w="2097" w:type="pct"/>
                  </w:tcPr>
                  <w:p>
                    <w:pPr>
                      <w:widowControl w:val="0"/>
                      <w:jc w:val="both"/>
                      <w:rPr>
                        <w:rStyle w:val="97"/>
                      </w:rPr>
                    </w:pPr>
                    <w:r>
                      <w:rPr>
                        <w:szCs w:val="21"/>
                      </w:rPr>
                      <w:t>研发</w:t>
                    </w:r>
                    <w:r>
                      <w:rPr>
                        <w:rFonts w:hint="eastAsia"/>
                        <w:szCs w:val="21"/>
                      </w:rPr>
                      <w:t>投入</w:t>
                    </w:r>
                    <w:r>
                      <w:rPr>
                        <w:szCs w:val="21"/>
                      </w:rPr>
                      <w:t>总额占营业收入比例（%）</w:t>
                    </w:r>
                  </w:p>
                </w:tc>
              </w:sdtContent>
            </w:sdt>
            <w:tc>
              <w:tcPr>
                <w:tcW w:w="2903" w:type="pct"/>
                <w:vAlign w:val="center"/>
              </w:tcPr>
              <w:p>
                <w:pPr>
                  <w:widowControl w:val="0"/>
                  <w:jc w:val="right"/>
                  <w:rPr>
                    <w:rStyle w:val="97"/>
                    <w:rFonts w:ascii="Times New Roman" w:hAnsi="Times New Roman" w:cs="Times New Roman"/>
                    <w:b w:val="0"/>
                  </w:rPr>
                </w:pPr>
                <w:r>
                  <w:rPr>
                    <w:rFonts w:ascii="Times New Roman" w:hAnsi="Times New Roman" w:cs="Times New Roma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0d2db39633024627a1ba32892a5b2e60"/>
                <w:id w:val="865722433"/>
                <w:lock w:val="sdtLocked"/>
              </w:sdtPr>
              <w:sdtContent>
                <w:tc>
                  <w:tcPr>
                    <w:tcW w:w="2097" w:type="pct"/>
                  </w:tcPr>
                  <w:p>
                    <w:pPr>
                      <w:widowControl w:val="0"/>
                      <w:jc w:val="both"/>
                      <w:rPr>
                        <w:szCs w:val="21"/>
                      </w:rPr>
                    </w:pPr>
                    <w:r>
                      <w:rPr>
                        <w:rFonts w:hint="eastAsia"/>
                        <w:szCs w:val="21"/>
                      </w:rPr>
                      <w:t>研发投入资本化的比重</w:t>
                    </w:r>
                    <w:r>
                      <w:rPr>
                        <w:szCs w:val="21"/>
                      </w:rPr>
                      <w:t>（%）</w:t>
                    </w:r>
                  </w:p>
                </w:tc>
              </w:sdtContent>
            </w:sdt>
            <w:tc>
              <w:tcPr>
                <w:tcW w:w="2903" w:type="pct"/>
                <w:vAlign w:val="center"/>
              </w:tcPr>
              <w:p>
                <w:pPr>
                  <w:widowControl w:val="0"/>
                  <w:jc w:val="right"/>
                  <w:rPr>
                    <w:rFonts w:ascii="Times New Roman" w:hAnsi="Times New Roman" w:cs="Times New Roman"/>
                    <w:bCs/>
                    <w:szCs w:val="21"/>
                  </w:rPr>
                </w:pPr>
              </w:p>
            </w:tc>
          </w:tr>
        </w:tbl>
        <w:p/>
        <w:p/>
      </w:sdtContent>
    </w:sdt>
    <w:sdt>
      <w:sdtPr>
        <w:rPr>
          <w:rStyle w:val="48"/>
          <w:rFonts w:hint="eastAsia" w:ascii="宋体" w:hAnsi="宋体" w:cs="宋体"/>
          <w:szCs w:val="21"/>
        </w:rPr>
        <w:alias w:val="模块:研发人员情况表  公司研发人员的数量　 研发人员数量占公..."/>
        <w:tag w:val="_SEC_0e96295bcf0243fa915a42a64988d5d2"/>
        <w:id w:val="865722453"/>
        <w:lock w:val="sdtLocked"/>
        <w:placeholder>
          <w:docPart w:val="GBC22222222222222222222222222222"/>
        </w:placeholder>
      </w:sdtPr>
      <w:sdtEndPr>
        <w:rPr>
          <w:rStyle w:val="39"/>
          <w:rFonts w:hint="default" w:ascii="宋体" w:hAnsi="宋体" w:cs="宋体"/>
          <w:b w:val="0"/>
          <w:bCs w:val="0"/>
          <w:kern w:val="0"/>
          <w:szCs w:val="24"/>
        </w:rPr>
      </w:sdtEndPr>
      <w:sdtContent>
        <w:p>
          <w:pPr>
            <w:pStyle w:val="55"/>
            <w:numPr>
              <w:ilvl w:val="0"/>
              <w:numId w:val="11"/>
            </w:numPr>
            <w:spacing w:before="60" w:after="60"/>
            <w:ind w:firstLineChars="0"/>
            <w:rPr>
              <w:rStyle w:val="48"/>
              <w:szCs w:val="21"/>
            </w:rPr>
          </w:pPr>
          <w:bookmarkStart w:id="35" w:name="_Hlk89876622"/>
          <w:r>
            <w:rPr>
              <w:rStyle w:val="48"/>
              <w:rFonts w:hint="eastAsia"/>
              <w:szCs w:val="21"/>
            </w:rPr>
            <w:t>研发人员情况表</w:t>
          </w:r>
        </w:p>
        <w:sdt>
          <w:sdtPr>
            <w:rPr>
              <w:rFonts w:hint="eastAsia"/>
              <w:b/>
              <w:bCs/>
              <w:kern w:val="2"/>
              <w:szCs w:val="28"/>
            </w:rPr>
            <w:alias w:val="是否适用：研发人员情况[双击切换]"/>
            <w:tag w:val="_GBC_ef3f376f125b4e219be789ed3078c140"/>
            <w:id w:val="865722435"/>
            <w:lock w:val="sdtLocked"/>
            <w:placeholder>
              <w:docPart w:val="GBC22222222222222222222222222222"/>
            </w:placeholder>
          </w:sdtPr>
          <w:sdtEndPr>
            <w:rPr>
              <w:rFonts w:hint="eastAsia"/>
              <w:b/>
              <w:bCs/>
              <w:kern w:val="2"/>
              <w:szCs w:val="28"/>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tbl>
          <w:tblPr>
            <w:tblStyle w:val="107"/>
            <w:tblW w:w="9150" w:type="dxa"/>
            <w:jc w:val="center"/>
            <w:tblLayout w:type="autofit"/>
            <w:tblCellMar>
              <w:top w:w="0" w:type="dxa"/>
              <w:left w:w="108" w:type="dxa"/>
              <w:bottom w:w="0" w:type="dxa"/>
              <w:right w:w="108" w:type="dxa"/>
            </w:tblCellMar>
          </w:tblPr>
          <w:tblGrid>
            <w:gridCol w:w="5808"/>
            <w:gridCol w:w="3342"/>
          </w:tblGrid>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13cec8f1a3504661b1b570efe7519fa3"/>
                <w:id w:val="865722436"/>
                <w:lock w:val="sdtLocked"/>
              </w:sdtPr>
              <w:sdtEndPr>
                <w:rPr>
                  <w:rFonts w:ascii="Times New Roman" w:hAnsi="Times New Roman" w:cs="Times New Roman"/>
                  <w:szCs w:val="21"/>
                </w:rPr>
              </w:sdtEndPr>
              <w:sdtContent>
                <w:tc>
                  <w:tcPr>
                    <w:tcW w:w="580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szCs w:val="21"/>
                      </w:rPr>
                      <w:t>公司研发人员的数量</w:t>
                    </w:r>
                  </w:p>
                </w:tc>
              </w:sdtContent>
            </w:sdt>
            <w:sdt>
              <w:sdtPr>
                <w:rPr>
                  <w:rFonts w:ascii="Times New Roman" w:hAnsi="Times New Roman" w:cs="Times New Roman"/>
                </w:rPr>
                <w:alias w:val="公司研发人员的数量"/>
                <w:tag w:val="_GBC_a84a5cadb95b4b7595981b8f24d727c8"/>
                <w:id w:val="865722437"/>
                <w:lock w:val="sdtLocked"/>
              </w:sdtPr>
              <w:sdtEndPr>
                <w:rPr>
                  <w:rFonts w:ascii="Times New Roman" w:hAnsi="Times New Roman" w:cs="Times New Roman"/>
                </w:rPr>
              </w:sdtEndPr>
              <w:sdtContent>
                <w:tc>
                  <w:tcPr>
                    <w:tcW w:w="3342" w:type="dxa"/>
                    <w:tcBorders>
                      <w:top w:val="single" w:color="auto" w:sz="4" w:space="0"/>
                      <w:left w:val="nil"/>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135</w:t>
                    </w:r>
                  </w:p>
                </w:tc>
              </w:sdtContent>
            </w:sdt>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1f2fd4e2d81d451e8b872a04015711c1"/>
                <w:id w:val="865722438"/>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szCs w:val="21"/>
                      </w:rPr>
                      <w:t>研发人员数量占公司总人数的比例（</w:t>
                    </w:r>
                    <w:r>
                      <w:rPr>
                        <w:rFonts w:ascii="Times New Roman" w:hAnsi="Times New Roman" w:cs="Times New Roman"/>
                        <w:szCs w:val="21"/>
                      </w:rPr>
                      <w:t>%</w:t>
                    </w:r>
                    <w:r>
                      <w:rPr>
                        <w:rFonts w:ascii="Times New Roman" w:cs="Times New Roman"/>
                        <w:szCs w:val="21"/>
                      </w:rPr>
                      <w:t>）</w:t>
                    </w:r>
                  </w:p>
                </w:tc>
              </w:sdtContent>
            </w:sdt>
            <w:tc>
              <w:tcPr>
                <w:tcW w:w="334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9</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b048dc379aae455a86f744476f1bb4a1"/>
                <w:id w:val="865722439"/>
                <w:lock w:val="sdtLocked"/>
              </w:sdtPr>
              <w:sdtEndPr>
                <w:rPr>
                  <w:rFonts w:ascii="Times New Roman" w:hAnsi="Times New Roman" w:cs="Times New Roman"/>
                  <w:szCs w:val="21"/>
                </w:rPr>
              </w:sdtEndPr>
              <w:sdtContent>
                <w:tc>
                  <w:tcPr>
                    <w:tcW w:w="91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研发人员学历结构</w:t>
                    </w:r>
                  </w:p>
                </w:tc>
              </w:sdtContent>
            </w:sdt>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f770501e43654648a563d2a86970204f"/>
                <w:id w:val="865722440"/>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szCs w:val="21"/>
                      </w:rPr>
                      <w:t>学历结构类别</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cs="Times New Roman"/>
                    <w:szCs w:val="21"/>
                  </w:rPr>
                  <w:t>学历结构人数</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c46520fd07cd40f78b3dbb43ed0d107f"/>
                <w:id w:val="865722441"/>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szCs w:val="21"/>
                      </w:rPr>
                      <w:t>博士研究生</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right"/>
                  <w:rPr>
                    <w:rFonts w:ascii="Times New Roman" w:hAnsi="Times New Roman" w:cs="Times New Roman"/>
                  </w:rPr>
                </w:pPr>
                <w:r>
                  <w:rPr>
                    <w:rFonts w:hint="eastAsia" w:ascii="Times New Roman" w:hAnsi="Times New Roman" w:cs="Times New Roman"/>
                  </w:rPr>
                  <w:t>0</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c36d15ada5a946fd92a12a7a35136801"/>
                <w:id w:val="865722442"/>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szCs w:val="21"/>
                      </w:rPr>
                      <w:t>硕士研究生</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right"/>
                  <w:rPr>
                    <w:rFonts w:ascii="Times New Roman" w:hAnsi="Times New Roman" w:cs="Times New Roman"/>
                    <w:sz w:val="24"/>
                  </w:rPr>
                </w:pPr>
                <w:r>
                  <w:rPr>
                    <w:rFonts w:ascii="Times New Roman" w:hAnsi="Times New Roman" w:cs="Times New Roman"/>
                  </w:rPr>
                  <w:t>15</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656838ab09934a089df512ce100ce670"/>
                <w:id w:val="865722443"/>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szCs w:val="21"/>
                      </w:rPr>
                      <w:t>本科</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right"/>
                  <w:rPr>
                    <w:rFonts w:ascii="Times New Roman" w:hAnsi="Times New Roman" w:cs="Times New Roman"/>
                    <w:sz w:val="24"/>
                  </w:rPr>
                </w:pPr>
                <w:r>
                  <w:rPr>
                    <w:rFonts w:ascii="Times New Roman" w:hAnsi="Times New Roman" w:cs="Times New Roman"/>
                  </w:rPr>
                  <w:t>65</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83a99a8fe7374551a59c1017026fa0a2"/>
                <w:id w:val="865722444"/>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szCs w:val="21"/>
                      </w:rPr>
                      <w:t>专科</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right"/>
                  <w:rPr>
                    <w:rFonts w:ascii="Times New Roman" w:hAnsi="Times New Roman" w:cs="Times New Roman"/>
                    <w:sz w:val="24"/>
                  </w:rPr>
                </w:pPr>
                <w:r>
                  <w:rPr>
                    <w:rFonts w:ascii="Times New Roman" w:hAnsi="Times New Roman" w:cs="Times New Roman"/>
                  </w:rPr>
                  <w:t>29</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3622e16939a74516a0351a28a250914a"/>
                <w:id w:val="865722445"/>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szCs w:val="21"/>
                      </w:rPr>
                      <w:t>高中及以下</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right"/>
                  <w:rPr>
                    <w:rFonts w:ascii="Times New Roman" w:hAnsi="Times New Roman" w:cs="Times New Roman"/>
                    <w:sz w:val="24"/>
                  </w:rPr>
                </w:pPr>
                <w:r>
                  <w:rPr>
                    <w:rFonts w:ascii="Times New Roman" w:hAnsi="Times New Roman" w:cs="Times New Roman"/>
                  </w:rPr>
                  <w:t>26</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10352dc928264c50aa8776e0ae8ec569"/>
                <w:id w:val="865722446"/>
                <w:lock w:val="sdtLocked"/>
              </w:sdtPr>
              <w:sdtEndPr>
                <w:rPr>
                  <w:rFonts w:ascii="Times New Roman" w:hAnsi="Times New Roman" w:cs="Times New Roman"/>
                  <w:szCs w:val="21"/>
                </w:rPr>
              </w:sdtEndPr>
              <w:sdtContent>
                <w:tc>
                  <w:tcPr>
                    <w:tcW w:w="915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研发人员年龄结构</w:t>
                    </w:r>
                  </w:p>
                </w:tc>
              </w:sdtContent>
            </w:sdt>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b9dd411387bd4ae4b04fe660cc0aac1b"/>
                <w:id w:val="865722447"/>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szCs w:val="21"/>
                      </w:rPr>
                      <w:t>年龄结构类别</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szCs w:val="21"/>
                  </w:rPr>
                </w:pPr>
                <w:r>
                  <w:rPr>
                    <w:rFonts w:ascii="Times New Roman" w:cs="Times New Roman"/>
                    <w:szCs w:val="21"/>
                  </w:rPr>
                  <w:t>年龄结构人数</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e5171914f1d148afa8a05a2d06e95f4f"/>
                <w:id w:val="865722448"/>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30</w:t>
                    </w:r>
                    <w:r>
                      <w:rPr>
                        <w:rFonts w:ascii="Times New Roman" w:cs="Times New Roman"/>
                        <w:szCs w:val="21"/>
                      </w:rPr>
                      <w:t>岁以下（不含</w:t>
                    </w:r>
                    <w:r>
                      <w:rPr>
                        <w:rFonts w:ascii="Times New Roman" w:hAnsi="Times New Roman" w:cs="Times New Roman"/>
                        <w:szCs w:val="21"/>
                      </w:rPr>
                      <w:t>30</w:t>
                    </w:r>
                    <w:r>
                      <w:rPr>
                        <w:rFonts w:ascii="Times New Roman" w:cs="Times New Roman"/>
                        <w:szCs w:val="21"/>
                      </w:rPr>
                      <w:t>岁）</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right"/>
                  <w:rPr>
                    <w:rFonts w:ascii="Times New Roman" w:hAnsi="Times New Roman" w:cs="Times New Roman"/>
                    <w:sz w:val="24"/>
                  </w:rPr>
                </w:pPr>
                <w:r>
                  <w:rPr>
                    <w:rFonts w:ascii="Times New Roman" w:hAnsi="Times New Roman" w:cs="Times New Roman"/>
                  </w:rPr>
                  <w:t>39</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f21d6499f48144ffb78c6c373b031e13"/>
                <w:id w:val="865722449"/>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30-40</w:t>
                    </w:r>
                    <w:r>
                      <w:rPr>
                        <w:rFonts w:ascii="Times New Roman" w:cs="Times New Roman"/>
                        <w:szCs w:val="21"/>
                      </w:rPr>
                      <w:t>岁（含</w:t>
                    </w:r>
                    <w:r>
                      <w:rPr>
                        <w:rFonts w:ascii="Times New Roman" w:hAnsi="Times New Roman" w:cs="Times New Roman"/>
                        <w:szCs w:val="21"/>
                      </w:rPr>
                      <w:t>30</w:t>
                    </w:r>
                    <w:r>
                      <w:rPr>
                        <w:rFonts w:ascii="Times New Roman" w:cs="Times New Roman"/>
                        <w:szCs w:val="21"/>
                      </w:rPr>
                      <w:t>岁，不含</w:t>
                    </w:r>
                    <w:r>
                      <w:rPr>
                        <w:rFonts w:ascii="Times New Roman" w:hAnsi="Times New Roman" w:cs="Times New Roman"/>
                        <w:szCs w:val="21"/>
                      </w:rPr>
                      <w:t>40</w:t>
                    </w:r>
                    <w:r>
                      <w:rPr>
                        <w:rFonts w:ascii="Times New Roman" w:cs="Times New Roman"/>
                        <w:szCs w:val="21"/>
                      </w:rPr>
                      <w:t>岁）</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right"/>
                  <w:rPr>
                    <w:rFonts w:ascii="Times New Roman" w:hAnsi="Times New Roman" w:cs="Times New Roman"/>
                    <w:sz w:val="24"/>
                  </w:rPr>
                </w:pPr>
                <w:r>
                  <w:rPr>
                    <w:rFonts w:ascii="Times New Roman" w:hAnsi="Times New Roman" w:cs="Times New Roman"/>
                  </w:rPr>
                  <w:t>53</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db37b649f1b7473db96ac9c4579d2b7a"/>
                <w:id w:val="865722450"/>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40-50</w:t>
                    </w:r>
                    <w:r>
                      <w:rPr>
                        <w:rFonts w:ascii="Times New Roman" w:cs="Times New Roman"/>
                        <w:szCs w:val="21"/>
                      </w:rPr>
                      <w:t>岁（含</w:t>
                    </w:r>
                    <w:r>
                      <w:rPr>
                        <w:rFonts w:ascii="Times New Roman" w:hAnsi="Times New Roman" w:cs="Times New Roman"/>
                        <w:szCs w:val="21"/>
                      </w:rPr>
                      <w:t>40</w:t>
                    </w:r>
                    <w:r>
                      <w:rPr>
                        <w:rFonts w:ascii="Times New Roman" w:cs="Times New Roman"/>
                        <w:szCs w:val="21"/>
                      </w:rPr>
                      <w:t>岁，不含</w:t>
                    </w:r>
                    <w:r>
                      <w:rPr>
                        <w:rFonts w:ascii="Times New Roman" w:hAnsi="Times New Roman" w:cs="Times New Roman"/>
                        <w:szCs w:val="21"/>
                      </w:rPr>
                      <w:t>50</w:t>
                    </w:r>
                    <w:r>
                      <w:rPr>
                        <w:rFonts w:ascii="Times New Roman" w:cs="Times New Roman"/>
                        <w:szCs w:val="21"/>
                      </w:rPr>
                      <w:t>岁）</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right"/>
                  <w:rPr>
                    <w:rFonts w:ascii="Times New Roman" w:hAnsi="Times New Roman" w:cs="Times New Roman"/>
                    <w:sz w:val="24"/>
                  </w:rPr>
                </w:pPr>
                <w:r>
                  <w:rPr>
                    <w:rFonts w:ascii="Times New Roman" w:hAnsi="Times New Roman" w:cs="Times New Roman"/>
                  </w:rPr>
                  <w:t>29</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d12871b2a0c448cb9a1a4705d095e777"/>
                <w:id w:val="865722451"/>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50-60</w:t>
                    </w:r>
                    <w:r>
                      <w:rPr>
                        <w:rFonts w:ascii="Times New Roman" w:cs="Times New Roman"/>
                        <w:szCs w:val="21"/>
                      </w:rPr>
                      <w:t>岁（含</w:t>
                    </w:r>
                    <w:r>
                      <w:rPr>
                        <w:rFonts w:ascii="Times New Roman" w:hAnsi="Times New Roman" w:cs="Times New Roman"/>
                        <w:szCs w:val="21"/>
                      </w:rPr>
                      <w:t>50</w:t>
                    </w:r>
                    <w:r>
                      <w:rPr>
                        <w:rFonts w:ascii="Times New Roman" w:cs="Times New Roman"/>
                        <w:szCs w:val="21"/>
                      </w:rPr>
                      <w:t>岁，不含</w:t>
                    </w:r>
                    <w:r>
                      <w:rPr>
                        <w:rFonts w:ascii="Times New Roman" w:hAnsi="Times New Roman" w:cs="Times New Roman"/>
                        <w:szCs w:val="21"/>
                      </w:rPr>
                      <w:t>60</w:t>
                    </w:r>
                    <w:r>
                      <w:rPr>
                        <w:rFonts w:ascii="Times New Roman" w:cs="Times New Roman"/>
                        <w:szCs w:val="21"/>
                      </w:rPr>
                      <w:t>岁）</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right"/>
                  <w:rPr>
                    <w:rFonts w:ascii="Times New Roman" w:hAnsi="Times New Roman" w:cs="Times New Roman"/>
                    <w:sz w:val="24"/>
                  </w:rPr>
                </w:pPr>
                <w:r>
                  <w:rPr>
                    <w:rFonts w:ascii="Times New Roman" w:hAnsi="Times New Roman" w:cs="Times New Roman"/>
                  </w:rPr>
                  <w:t>14</w:t>
                </w:r>
              </w:p>
            </w:tc>
          </w:tr>
          <w:tr>
            <w:tblPrEx>
              <w:tblCellMar>
                <w:top w:w="0" w:type="dxa"/>
                <w:left w:w="108" w:type="dxa"/>
                <w:bottom w:w="0" w:type="dxa"/>
                <w:right w:w="108" w:type="dxa"/>
              </w:tblCellMar>
            </w:tblPrEx>
            <w:trPr>
              <w:trHeight w:val="270" w:hRule="atLeast"/>
              <w:jc w:val="center"/>
            </w:trPr>
            <w:sdt>
              <w:sdtPr>
                <w:rPr>
                  <w:rFonts w:ascii="Times New Roman" w:hAnsi="Times New Roman" w:cs="Times New Roman"/>
                  <w:szCs w:val="21"/>
                </w:rPr>
                <w:tag w:val="_PLD_9f42d6c743254252b4fa13341d304fcf"/>
                <w:id w:val="865722452"/>
                <w:lock w:val="sdtLocked"/>
              </w:sdtPr>
              <w:sdtEndPr>
                <w:rPr>
                  <w:rFonts w:ascii="Times New Roman" w:hAnsi="Times New Roman" w:cs="Times New Roman"/>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60</w:t>
                    </w:r>
                    <w:r>
                      <w:rPr>
                        <w:rFonts w:ascii="Times New Roman" w:cs="Times New Roman"/>
                        <w:szCs w:val="21"/>
                      </w:rPr>
                      <w:t>岁及以上</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right"/>
                  <w:rPr>
                    <w:rFonts w:ascii="Times New Roman" w:hAnsi="Times New Roman" w:cs="Times New Roman"/>
                    <w:szCs w:val="21"/>
                  </w:rPr>
                </w:pPr>
                <w:r>
                  <w:rPr>
                    <w:rFonts w:hint="eastAsia" w:ascii="Times New Roman" w:hAnsi="Times New Roman" w:cs="Times New Roman"/>
                    <w:szCs w:val="21"/>
                  </w:rPr>
                  <w:t>0</w:t>
                </w:r>
              </w:p>
            </w:tc>
          </w:tr>
        </w:tbl>
        <w:p>
          <w:r>
            <w:rPr>
              <w:rFonts w:ascii="Times New Roman"/>
              <w:szCs w:val="21"/>
            </w:rPr>
            <w:t>说明：研发人员包括母公司及所有子公司的研发人员</w:t>
          </w:r>
          <w:r>
            <w:rPr>
              <w:rFonts w:hint="eastAsia" w:ascii="Times New Roman"/>
              <w:szCs w:val="21"/>
            </w:rPr>
            <w:t>。</w:t>
          </w:r>
        </w:p>
        <w:p/>
      </w:sdtContent>
    </w:sdt>
    <w:bookmarkEnd w:id="35"/>
    <w:sdt>
      <w:sdtPr>
        <w:rPr>
          <w:rStyle w:val="48"/>
          <w:rFonts w:ascii="宋体" w:hAnsi="宋体" w:cs="宋体"/>
          <w:szCs w:val="21"/>
        </w:rPr>
        <w:alias w:val="模块:情况说明"/>
        <w:tag w:val="_SEC_0004b40963e14f23a54c541fda51ba2e"/>
        <w:id w:val="865722455"/>
        <w:lock w:val="sdtLocked"/>
        <w:placeholder>
          <w:docPart w:val="GBC22222222222222222222222222222"/>
        </w:placeholder>
      </w:sdtPr>
      <w:sdtEndPr>
        <w:rPr>
          <w:rStyle w:val="48"/>
          <w:rFonts w:hint="eastAsia" w:ascii="宋体" w:hAnsi="宋体" w:cs="宋体"/>
          <w:b w:val="0"/>
          <w:szCs w:val="21"/>
        </w:rPr>
      </w:sdtEndPr>
      <w:sdtContent>
        <w:p>
          <w:pPr>
            <w:pStyle w:val="55"/>
            <w:numPr>
              <w:ilvl w:val="0"/>
              <w:numId w:val="11"/>
            </w:numPr>
            <w:spacing w:before="60" w:after="60"/>
            <w:ind w:firstLineChars="0"/>
            <w:rPr>
              <w:rStyle w:val="48"/>
              <w:szCs w:val="21"/>
            </w:rPr>
          </w:pPr>
          <w:r>
            <w:rPr>
              <w:rStyle w:val="48"/>
              <w:szCs w:val="21"/>
            </w:rPr>
            <w:t>情况说明</w:t>
          </w:r>
        </w:p>
        <w:sdt>
          <w:sdtPr>
            <w:rPr>
              <w:rStyle w:val="48"/>
              <w:b w:val="0"/>
              <w:szCs w:val="21"/>
            </w:rPr>
            <w:alias w:val="是否适用：研发支出情况说明[双击切换]"/>
            <w:tag w:val="_GBC_b983f5c63407411d82434ca6547deae8"/>
            <w:id w:val="865722454"/>
            <w:lock w:val="sdtLocked"/>
            <w:placeholder>
              <w:docPart w:val="GBC22222222222222222222222222222"/>
            </w:placeholder>
          </w:sdtPr>
          <w:sdtEndPr>
            <w:rPr>
              <w:rStyle w:val="48"/>
              <w:b w:val="0"/>
              <w:szCs w:val="21"/>
            </w:rPr>
          </w:sdtEndPr>
          <w:sdtContent>
            <w:p>
              <w:pPr>
                <w:spacing w:before="60" w:after="60"/>
                <w:rPr>
                  <w:rStyle w:val="48"/>
                  <w:szCs w:val="21"/>
                </w:rPr>
              </w:pPr>
              <w:r>
                <w:rPr>
                  <w:rStyle w:val="48"/>
                  <w:b w:val="0"/>
                  <w:szCs w:val="21"/>
                </w:rPr>
                <w:fldChar w:fldCharType="begin"/>
              </w:r>
              <w:r>
                <w:rPr>
                  <w:rStyle w:val="48"/>
                  <w:b w:val="0"/>
                  <w:szCs w:val="21"/>
                </w:rPr>
                <w:instrText xml:space="preserve">MACROBUTTON  SnrToggleCheckbox □适用 </w:instrText>
              </w:r>
              <w:r>
                <w:rPr>
                  <w:rStyle w:val="48"/>
                  <w:b w:val="0"/>
                  <w:szCs w:val="21"/>
                </w:rPr>
                <w:fldChar w:fldCharType="end"/>
              </w:r>
              <w:r>
                <w:rPr>
                  <w:rStyle w:val="48"/>
                  <w:b w:val="0"/>
                  <w:szCs w:val="21"/>
                </w:rPr>
                <w:fldChar w:fldCharType="begin"/>
              </w:r>
              <w:r>
                <w:rPr>
                  <w:rStyle w:val="48"/>
                  <w:b w:val="0"/>
                  <w:szCs w:val="21"/>
                </w:rPr>
                <w:instrText xml:space="preserve"> MACROBUTTON  SnrToggleCheckbox √不适用 </w:instrText>
              </w:r>
              <w:r>
                <w:rPr>
                  <w:rStyle w:val="48"/>
                  <w:b w:val="0"/>
                  <w:szCs w:val="21"/>
                </w:rPr>
                <w:fldChar w:fldCharType="end"/>
              </w:r>
            </w:p>
          </w:sdtContent>
        </w:sdt>
      </w:sdtContent>
    </w:sdt>
    <w:sdt>
      <w:sdtPr>
        <w:rPr>
          <w:rStyle w:val="48"/>
          <w:rFonts w:hint="eastAsia" w:ascii="宋体" w:hAnsi="宋体" w:cs="宋体"/>
          <w:szCs w:val="21"/>
        </w:rPr>
        <w:alias w:val="模块:研发人员构成发生重大变化的原因及对公司未来发展的影响  ..."/>
        <w:tag w:val="_SEC_1b0ac7c10221440292ebe3dc985f0f13"/>
        <w:id w:val="865722457"/>
        <w:lock w:val="sdtLocked"/>
        <w:placeholder>
          <w:docPart w:val="GBC22222222222222222222222222222"/>
        </w:placeholder>
      </w:sdtPr>
      <w:sdtEndPr>
        <w:rPr>
          <w:rStyle w:val="39"/>
          <w:rFonts w:hint="default" w:ascii="宋体" w:hAnsi="宋体" w:cs="宋体"/>
          <w:b w:val="0"/>
          <w:bCs w:val="0"/>
          <w:kern w:val="0"/>
          <w:szCs w:val="21"/>
        </w:rPr>
      </w:sdtEndPr>
      <w:sdtContent>
        <w:p>
          <w:pPr>
            <w:pStyle w:val="55"/>
            <w:numPr>
              <w:ilvl w:val="0"/>
              <w:numId w:val="11"/>
            </w:numPr>
            <w:spacing w:before="60" w:after="60"/>
            <w:ind w:firstLineChars="0"/>
            <w:rPr>
              <w:rStyle w:val="48"/>
              <w:szCs w:val="21"/>
            </w:rPr>
          </w:pPr>
          <w:bookmarkStart w:id="36" w:name="_Hlk89876701"/>
          <w:r>
            <w:rPr>
              <w:rStyle w:val="48"/>
              <w:rFonts w:hint="eastAsia"/>
              <w:szCs w:val="21"/>
            </w:rPr>
            <w:t>研发人员构成发生重大变化的原因及对公司未来发展的影响</w:t>
          </w:r>
        </w:p>
        <w:sdt>
          <w:sdtPr>
            <w:rPr>
              <w:rStyle w:val="101"/>
              <w:b w:val="0"/>
              <w:szCs w:val="21"/>
            </w:rPr>
            <w:alias w:val="是否适用：研发人员构成发生重大变化的原因及对公司未来发展的影响 [双击切换]"/>
            <w:tag w:val="_GBC_03b44883afff4742a08c198d082c26b3"/>
            <w:id w:val="865722456"/>
            <w:lock w:val="sdtLocked"/>
            <w:placeholder>
              <w:docPart w:val="GBC22222222222222222222222222222"/>
            </w:placeholder>
          </w:sdtPr>
          <w:sdtEndPr>
            <w:rPr>
              <w:rStyle w:val="101"/>
              <w:b w:val="0"/>
              <w:szCs w:val="21"/>
            </w:rPr>
          </w:sdtEndPr>
          <w:sdtContent>
            <w:p>
              <w:pPr>
                <w:spacing w:before="60" w:after="60"/>
                <w:rPr>
                  <w:rStyle w:val="101"/>
                  <w:szCs w:val="21"/>
                </w:rPr>
              </w:pPr>
              <w:r>
                <w:rPr>
                  <w:rStyle w:val="101"/>
                  <w:b w:val="0"/>
                  <w:szCs w:val="21"/>
                </w:rPr>
                <w:fldChar w:fldCharType="begin"/>
              </w:r>
              <w:r>
                <w:rPr>
                  <w:rStyle w:val="101"/>
                  <w:b w:val="0"/>
                  <w:szCs w:val="21"/>
                </w:rPr>
                <w:instrText xml:space="preserve"> MACROBUTTON  SnrToggleCheckbox □适用 </w:instrText>
              </w:r>
              <w:r>
                <w:rPr>
                  <w:rStyle w:val="101"/>
                  <w:b w:val="0"/>
                  <w:szCs w:val="21"/>
                </w:rPr>
                <w:fldChar w:fldCharType="end"/>
              </w:r>
              <w:r>
                <w:rPr>
                  <w:rStyle w:val="101"/>
                  <w:b w:val="0"/>
                  <w:szCs w:val="21"/>
                </w:rPr>
                <w:fldChar w:fldCharType="begin"/>
              </w:r>
              <w:r>
                <w:rPr>
                  <w:rStyle w:val="101"/>
                  <w:b w:val="0"/>
                  <w:szCs w:val="21"/>
                </w:rPr>
                <w:instrText xml:space="preserve"> MACROBUTTON  SnrToggleCheckbox √不适用 </w:instrText>
              </w:r>
              <w:r>
                <w:rPr>
                  <w:rStyle w:val="101"/>
                  <w:b w:val="0"/>
                  <w:szCs w:val="21"/>
                </w:rPr>
                <w:fldChar w:fldCharType="end"/>
              </w:r>
            </w:p>
          </w:sdtContent>
        </w:sdt>
        <w:p>
          <w:pPr>
            <w:rPr>
              <w:szCs w:val="21"/>
            </w:rPr>
          </w:pPr>
        </w:p>
      </w:sdtContent>
    </w:sdt>
    <w:bookmarkEnd w:id="36"/>
    <w:sdt>
      <w:sdtPr>
        <w:rPr>
          <w:rFonts w:hint="eastAsia" w:ascii="宋体" w:hAnsi="宋体" w:eastAsia="宋体" w:cs="宋体"/>
          <w:b w:val="0"/>
          <w:bCs w:val="0"/>
          <w:kern w:val="0"/>
          <w:szCs w:val="24"/>
        </w:rPr>
        <w:alias w:val="模块:现金流"/>
        <w:tag w:val="_SEC_686d1eb4c39f48b6b19ee846f1749d81"/>
        <w:id w:val="865722460"/>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9"/>
            </w:numPr>
          </w:pPr>
          <w:r>
            <w:rPr>
              <w:rFonts w:hint="eastAsia"/>
            </w:rPr>
            <w:t>现金流</w:t>
          </w:r>
        </w:p>
        <w:sdt>
          <w:sdtPr>
            <w:alias w:val="是否适用：现金流[双击切换]"/>
            <w:tag w:val="_GBC_3340f2fc4f854cc1882e18412cf992f6"/>
            <w:id w:val="86572245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865722459"/>
            <w:lock w:val="sdtLocked"/>
            <w:placeholder>
              <w:docPart w:val="GBC22222222222222222222222222222"/>
            </w:placeholder>
          </w:sdtPr>
          <w:sdtEndPr>
            <w:rPr>
              <w:rFonts w:hint="eastAsia"/>
              <w:szCs w:val="24"/>
            </w:rPr>
          </w:sdtEndPr>
          <w:sdtContent>
            <w:p>
              <w:pPr>
                <w:rPr>
                  <w:szCs w:val="21"/>
                </w:rPr>
              </w:pPr>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702"/>
                <w:gridCol w:w="1600"/>
                <w:gridCol w:w="109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pct"/>
                    <w:vAlign w:val="center"/>
                  </w:tcPr>
                  <w:p>
                    <w:pPr>
                      <w:pStyle w:val="33"/>
                      <w:jc w:val="center"/>
                      <w:rPr>
                        <w:rFonts w:ascii="Times New Roman" w:hAnsi="Times New Roman" w:cs="Times New Roman"/>
                        <w:sz w:val="21"/>
                        <w:szCs w:val="21"/>
                      </w:rPr>
                    </w:pPr>
                    <w:r>
                      <w:rPr>
                        <w:rFonts w:ascii="Times New Roman" w:cs="Times New Roman"/>
                        <w:sz w:val="21"/>
                        <w:szCs w:val="21"/>
                      </w:rPr>
                      <w:t>科目名称</w:t>
                    </w:r>
                  </w:p>
                </w:tc>
                <w:tc>
                  <w:tcPr>
                    <w:tcW w:w="940" w:type="pct"/>
                    <w:vAlign w:val="center"/>
                  </w:tcPr>
                  <w:p>
                    <w:pPr>
                      <w:pStyle w:val="33"/>
                      <w:jc w:val="center"/>
                      <w:rPr>
                        <w:rFonts w:ascii="Times New Roman" w:hAnsi="Times New Roman" w:cs="Times New Roman"/>
                        <w:sz w:val="21"/>
                        <w:szCs w:val="21"/>
                      </w:rPr>
                    </w:pPr>
                    <w:r>
                      <w:rPr>
                        <w:rFonts w:ascii="Times New Roman" w:cs="Times New Roman"/>
                        <w:sz w:val="21"/>
                        <w:szCs w:val="21"/>
                      </w:rPr>
                      <w:t>年初至报告期末</w:t>
                    </w:r>
                  </w:p>
                </w:tc>
                <w:tc>
                  <w:tcPr>
                    <w:tcW w:w="884" w:type="pct"/>
                    <w:vAlign w:val="center"/>
                  </w:tcPr>
                  <w:p>
                    <w:pPr>
                      <w:pStyle w:val="33"/>
                      <w:jc w:val="center"/>
                      <w:rPr>
                        <w:rFonts w:ascii="Times New Roman" w:hAnsi="Times New Roman" w:cs="Times New Roman"/>
                        <w:sz w:val="21"/>
                        <w:szCs w:val="21"/>
                      </w:rPr>
                    </w:pPr>
                    <w:r>
                      <w:rPr>
                        <w:rFonts w:ascii="Times New Roman" w:cs="Times New Roman"/>
                        <w:sz w:val="21"/>
                        <w:szCs w:val="21"/>
                      </w:rPr>
                      <w:t>去年同期</w:t>
                    </w:r>
                  </w:p>
                </w:tc>
                <w:tc>
                  <w:tcPr>
                    <w:tcW w:w="604" w:type="pct"/>
                    <w:vAlign w:val="center"/>
                  </w:tcPr>
                  <w:p>
                    <w:pPr>
                      <w:pStyle w:val="33"/>
                      <w:jc w:val="center"/>
                      <w:rPr>
                        <w:rFonts w:ascii="Times New Roman" w:hAnsi="Times New Roman" w:cs="Times New Roman"/>
                        <w:sz w:val="21"/>
                        <w:szCs w:val="21"/>
                      </w:rPr>
                    </w:pPr>
                    <w:r>
                      <w:rPr>
                        <w:rFonts w:hint="eastAsia" w:ascii="Times New Roman" w:cs="Times New Roman"/>
                        <w:sz w:val="21"/>
                        <w:szCs w:val="21"/>
                      </w:rPr>
                      <w:t>变动比例（%）</w:t>
                    </w:r>
                  </w:p>
                </w:tc>
                <w:tc>
                  <w:tcPr>
                    <w:tcW w:w="1494" w:type="pct"/>
                  </w:tcPr>
                  <w:p>
                    <w:pPr>
                      <w:pStyle w:val="33"/>
                      <w:jc w:val="center"/>
                      <w:rPr>
                        <w:rFonts w:ascii="Times New Roman" w:cs="Times New Roman"/>
                        <w:sz w:val="21"/>
                        <w:szCs w:val="21"/>
                      </w:rPr>
                    </w:pPr>
                    <w:r>
                      <w:rPr>
                        <w:rFonts w:hint="eastAsia" w:ascii="Times New Roman" w:cs="Times New Roman"/>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pct"/>
                    <w:vAlign w:val="center"/>
                  </w:tcPr>
                  <w:p>
                    <w:pPr>
                      <w:rPr>
                        <w:rFonts w:ascii="Times New Roman" w:hAnsi="Times New Roman" w:cs="Times New Roman"/>
                        <w:szCs w:val="21"/>
                      </w:rPr>
                    </w:pPr>
                    <w:r>
                      <w:rPr>
                        <w:rFonts w:ascii="Times New Roman" w:cs="Times New Roman"/>
                        <w:szCs w:val="21"/>
                      </w:rPr>
                      <w:t>经营活动产生的现金流量净额</w:t>
                    </w:r>
                  </w:p>
                </w:tc>
                <w:tc>
                  <w:tcPr>
                    <w:tcW w:w="940" w:type="pct"/>
                    <w:vAlign w:val="center"/>
                  </w:tcPr>
                  <w:p>
                    <w:pPr>
                      <w:jc w:val="right"/>
                      <w:rPr>
                        <w:rFonts w:ascii="Times New Roman" w:hAnsi="Times New Roman" w:cs="Times New Roman"/>
                        <w:szCs w:val="21"/>
                      </w:rPr>
                    </w:pPr>
                    <w:r>
                      <w:rPr>
                        <w:rFonts w:ascii="Times New Roman" w:hAnsi="Times New Roman" w:cs="Times New Roman"/>
                        <w:szCs w:val="21"/>
                      </w:rPr>
                      <w:t>-54,097,194.84</w:t>
                    </w:r>
                  </w:p>
                </w:tc>
                <w:tc>
                  <w:tcPr>
                    <w:tcW w:w="884" w:type="pct"/>
                    <w:vAlign w:val="center"/>
                  </w:tcPr>
                  <w:p>
                    <w:pPr>
                      <w:jc w:val="right"/>
                      <w:rPr>
                        <w:rFonts w:ascii="Times New Roman" w:hAnsi="Times New Roman" w:cs="Times New Roman"/>
                        <w:szCs w:val="21"/>
                      </w:rPr>
                    </w:pPr>
                    <w:r>
                      <w:rPr>
                        <w:rFonts w:ascii="Times New Roman" w:hAnsi="Times New Roman" w:cs="Times New Roman"/>
                        <w:szCs w:val="21"/>
                      </w:rPr>
                      <w:t>15,786,447.07</w:t>
                    </w:r>
                  </w:p>
                </w:tc>
                <w:tc>
                  <w:tcPr>
                    <w:tcW w:w="604" w:type="pct"/>
                    <w:vAlign w:val="center"/>
                  </w:tcPr>
                  <w:p>
                    <w:pPr>
                      <w:jc w:val="right"/>
                      <w:rPr>
                        <w:rFonts w:ascii="Times New Roman" w:hAnsi="Times New Roman" w:cs="Times New Roman"/>
                        <w:szCs w:val="21"/>
                      </w:rPr>
                    </w:pPr>
                    <w:r>
                      <w:rPr>
                        <w:rFonts w:hint="eastAsia" w:ascii="Times New Roman" w:hAnsi="Times New Roman" w:cs="Times New Roman"/>
                        <w:szCs w:val="21"/>
                      </w:rPr>
                      <w:t>不适用</w:t>
                    </w:r>
                  </w:p>
                </w:tc>
                <w:tc>
                  <w:tcPr>
                    <w:tcW w:w="1494" w:type="pct"/>
                    <w:vAlign w:val="center"/>
                  </w:tcPr>
                  <w:p>
                    <w:pPr>
                      <w:ind w:right="315"/>
                      <w:jc w:val="both"/>
                      <w:rPr>
                        <w:rFonts w:ascii="Times New Roman" w:hAnsi="Times New Roman" w:cs="Times New Roman"/>
                        <w:szCs w:val="21"/>
                      </w:rPr>
                    </w:pPr>
                    <w:r>
                      <w:rPr>
                        <w:rFonts w:hint="eastAsia" w:ascii="Times New Roman" w:hAnsi="Times New Roman" w:cs="Times New Roman"/>
                        <w:szCs w:val="21"/>
                      </w:rPr>
                      <w:t>主要是本期支付的材料款增加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pct"/>
                    <w:vAlign w:val="center"/>
                  </w:tcPr>
                  <w:p>
                    <w:pPr>
                      <w:rPr>
                        <w:rFonts w:ascii="Times New Roman" w:hAnsi="Times New Roman" w:cs="Times New Roman"/>
                        <w:szCs w:val="21"/>
                      </w:rPr>
                    </w:pPr>
                    <w:r>
                      <w:rPr>
                        <w:rFonts w:ascii="Times New Roman" w:cs="Times New Roman"/>
                        <w:szCs w:val="21"/>
                      </w:rPr>
                      <w:t>投资活动产生的现金流量净额</w:t>
                    </w:r>
                  </w:p>
                </w:tc>
                <w:tc>
                  <w:tcPr>
                    <w:tcW w:w="940" w:type="pct"/>
                    <w:vAlign w:val="center"/>
                  </w:tcPr>
                  <w:p>
                    <w:pPr>
                      <w:jc w:val="right"/>
                      <w:rPr>
                        <w:rFonts w:ascii="Times New Roman" w:hAnsi="Times New Roman" w:cs="Times New Roman"/>
                        <w:szCs w:val="21"/>
                      </w:rPr>
                    </w:pPr>
                    <w:r>
                      <w:rPr>
                        <w:rFonts w:ascii="Times New Roman" w:hAnsi="Times New Roman" w:cs="Times New Roman"/>
                        <w:szCs w:val="21"/>
                      </w:rPr>
                      <w:t>667,967,242.52</w:t>
                    </w:r>
                  </w:p>
                </w:tc>
                <w:tc>
                  <w:tcPr>
                    <w:tcW w:w="884" w:type="pct"/>
                    <w:vAlign w:val="center"/>
                  </w:tcPr>
                  <w:p>
                    <w:pPr>
                      <w:jc w:val="right"/>
                      <w:rPr>
                        <w:rFonts w:ascii="Times New Roman" w:hAnsi="Times New Roman" w:cs="Times New Roman"/>
                        <w:szCs w:val="21"/>
                      </w:rPr>
                    </w:pPr>
                    <w:r>
                      <w:rPr>
                        <w:rFonts w:ascii="Times New Roman" w:hAnsi="Times New Roman" w:cs="Times New Roman"/>
                        <w:szCs w:val="21"/>
                      </w:rPr>
                      <w:t>47,692,559.30</w:t>
                    </w:r>
                  </w:p>
                </w:tc>
                <w:tc>
                  <w:tcPr>
                    <w:tcW w:w="604" w:type="pct"/>
                    <w:vAlign w:val="center"/>
                  </w:tcPr>
                  <w:p>
                    <w:pPr>
                      <w:jc w:val="right"/>
                      <w:rPr>
                        <w:rFonts w:ascii="Times New Roman" w:hAnsi="Times New Roman" w:cs="Times New Roman"/>
                        <w:szCs w:val="21"/>
                      </w:rPr>
                    </w:pPr>
                    <w:r>
                      <w:rPr>
                        <w:rFonts w:ascii="Times New Roman" w:hAnsi="Times New Roman" w:cs="Times New Roman"/>
                        <w:szCs w:val="21"/>
                      </w:rPr>
                      <w:t>1300.57</w:t>
                    </w:r>
                  </w:p>
                </w:tc>
                <w:tc>
                  <w:tcPr>
                    <w:tcW w:w="1494" w:type="pct"/>
                    <w:vAlign w:val="center"/>
                  </w:tcPr>
                  <w:p>
                    <w:pPr>
                      <w:jc w:val="both"/>
                      <w:rPr>
                        <w:rFonts w:ascii="Times New Roman" w:hAnsi="Times New Roman" w:cs="Times New Roman"/>
                        <w:szCs w:val="21"/>
                      </w:rPr>
                    </w:pPr>
                    <w:r>
                      <w:rPr>
                        <w:rFonts w:hint="eastAsia" w:ascii="Times New Roman" w:hAnsi="Times New Roman" w:cs="Times New Roman"/>
                        <w:szCs w:val="21"/>
                      </w:rPr>
                      <w:t>主要是本期收到</w:t>
                    </w:r>
                    <w:r>
                      <w:rPr>
                        <w:rFonts w:ascii="Times New Roman" w:hAnsi="Times New Roman" w:cs="Times New Roman"/>
                        <w:szCs w:val="21"/>
                      </w:rPr>
                      <w:t>重大资产出售项目的交易尾款</w:t>
                    </w:r>
                    <w:r>
                      <w:rPr>
                        <w:rFonts w:hint="eastAsia" w:ascii="Times New Roman" w:hAnsi="Times New Roman" w:cs="Times New Roman"/>
                        <w:szCs w:val="21"/>
                      </w:rPr>
                      <w:t>及利息6.41亿元，详见公告临2021-029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pct"/>
                    <w:vAlign w:val="center"/>
                  </w:tcPr>
                  <w:p>
                    <w:pPr>
                      <w:rPr>
                        <w:rFonts w:ascii="Times New Roman" w:hAnsi="Times New Roman" w:cs="Times New Roman"/>
                        <w:szCs w:val="21"/>
                      </w:rPr>
                    </w:pPr>
                    <w:r>
                      <w:rPr>
                        <w:rFonts w:ascii="Times New Roman" w:cs="Times New Roman"/>
                        <w:szCs w:val="21"/>
                      </w:rPr>
                      <w:t>筹资活动产生的现金流量净额</w:t>
                    </w:r>
                  </w:p>
                </w:tc>
                <w:tc>
                  <w:tcPr>
                    <w:tcW w:w="940" w:type="pct"/>
                    <w:vAlign w:val="center"/>
                  </w:tcPr>
                  <w:p>
                    <w:pPr>
                      <w:jc w:val="right"/>
                      <w:rPr>
                        <w:rFonts w:ascii="Times New Roman" w:hAnsi="Times New Roman" w:cs="Times New Roman"/>
                        <w:szCs w:val="21"/>
                      </w:rPr>
                    </w:pPr>
                    <w:r>
                      <w:rPr>
                        <w:rFonts w:ascii="Times New Roman" w:hAnsi="Times New Roman" w:cs="Times New Roman"/>
                        <w:szCs w:val="21"/>
                      </w:rPr>
                      <w:t>-458,864.20</w:t>
                    </w:r>
                  </w:p>
                </w:tc>
                <w:tc>
                  <w:tcPr>
                    <w:tcW w:w="884" w:type="pct"/>
                    <w:vAlign w:val="center"/>
                  </w:tcPr>
                  <w:p>
                    <w:pPr>
                      <w:jc w:val="right"/>
                      <w:rPr>
                        <w:rFonts w:ascii="Times New Roman" w:hAnsi="Times New Roman" w:cs="Times New Roman"/>
                        <w:szCs w:val="21"/>
                      </w:rPr>
                    </w:pPr>
                    <w:r>
                      <w:rPr>
                        <w:rFonts w:ascii="Times New Roman" w:hAnsi="Times New Roman" w:cs="Times New Roman"/>
                        <w:sz w:val="20"/>
                        <w:szCs w:val="20"/>
                      </w:rPr>
                      <w:t xml:space="preserve">-171,147,829.96 </w:t>
                    </w:r>
                  </w:p>
                </w:tc>
                <w:tc>
                  <w:tcPr>
                    <w:tcW w:w="604" w:type="pct"/>
                    <w:vAlign w:val="center"/>
                  </w:tcPr>
                  <w:p>
                    <w:pPr>
                      <w:jc w:val="right"/>
                      <w:rPr>
                        <w:rFonts w:ascii="Times New Roman" w:hAnsi="Times New Roman" w:cs="Times New Roman"/>
                        <w:szCs w:val="21"/>
                      </w:rPr>
                    </w:pPr>
                    <w:r>
                      <w:rPr>
                        <w:rFonts w:ascii="Times New Roman" w:hAnsi="Times New Roman" w:cs="Times New Roman"/>
                        <w:szCs w:val="21"/>
                      </w:rPr>
                      <w:t>不适用</w:t>
                    </w:r>
                  </w:p>
                </w:tc>
                <w:tc>
                  <w:tcPr>
                    <w:tcW w:w="1494" w:type="pct"/>
                    <w:vAlign w:val="center"/>
                  </w:tcPr>
                  <w:p>
                    <w:pPr>
                      <w:jc w:val="both"/>
                      <w:rPr>
                        <w:rFonts w:ascii="Times New Roman" w:hAnsi="Times New Roman" w:cs="Times New Roman"/>
                        <w:szCs w:val="21"/>
                      </w:rPr>
                    </w:pPr>
                    <w:r>
                      <w:rPr>
                        <w:rFonts w:hint="eastAsia" w:ascii="Times New Roman" w:hAnsi="Times New Roman" w:cs="Times New Roman"/>
                      </w:rPr>
                      <w:t>主要是</w:t>
                    </w:r>
                    <w:r>
                      <w:rPr>
                        <w:rFonts w:ascii="Times New Roman" w:hAnsi="Times New Roman" w:cs="Times New Roman"/>
                      </w:rPr>
                      <w:t>去年偿还借款较大</w:t>
                    </w:r>
                    <w:r>
                      <w:rPr>
                        <w:rFonts w:hint="eastAsia" w:ascii="Times New Roman" w:hAnsi="Times New Roman" w:cs="Times New Roman"/>
                      </w:rPr>
                      <w:t>,其中向东通公司还款1.5亿元，详见公告临2020-002</w:t>
                    </w:r>
                  </w:p>
                </w:tc>
              </w:tr>
            </w:tbl>
            <w:p/>
          </w:sdtContent>
        </w:sdt>
      </w:sdtContent>
    </w:sdt>
    <w:p>
      <w:pPr>
        <w:rPr>
          <w:szCs w:val="21"/>
        </w:rPr>
      </w:pPr>
    </w:p>
    <w:sdt>
      <w:sdtPr>
        <w:rPr>
          <w:rFonts w:hint="eastAsia" w:ascii="宋体" w:hAnsi="宋体" w:cs="宋体"/>
          <w:b w:val="0"/>
          <w:bCs w:val="0"/>
          <w:kern w:val="0"/>
          <w:sz w:val="24"/>
          <w:szCs w:val="21"/>
        </w:rPr>
        <w:alias w:val="模块:非主营业务来源分析"/>
        <w:tag w:val="_SEC_b0e1a8f55b6e4b79a965887836132040"/>
        <w:id w:val="865722463"/>
        <w:lock w:val="sdtLocked"/>
        <w:placeholder>
          <w:docPart w:val="GBC22222222222222222222222222222"/>
        </w:placeholder>
      </w:sdtPr>
      <w:sdtEndPr>
        <w:rPr>
          <w:rFonts w:hint="default" w:ascii="Times New Roman" w:hAnsi="Times New Roman" w:cs="Times New Roman"/>
          <w:b w:val="0"/>
          <w:bCs w:val="0"/>
          <w:kern w:val="0"/>
          <w:sz w:val="24"/>
          <w:szCs w:val="21"/>
        </w:rPr>
      </w:sdtEndPr>
      <w:sdtContent>
        <w:p>
          <w:pPr>
            <w:pStyle w:val="4"/>
            <w:numPr>
              <w:ilvl w:val="0"/>
              <w:numId w:val="8"/>
            </w:numPr>
            <w:ind w:hangingChars="175"/>
            <w:rPr>
              <w:szCs w:val="21"/>
            </w:rPr>
          </w:pPr>
          <w:r>
            <w:rPr>
              <w:rFonts w:hint="eastAsia"/>
              <w:szCs w:val="21"/>
            </w:rPr>
            <w:t>非主营业务导致利润重大变化的说明</w:t>
          </w:r>
        </w:p>
        <w:sdt>
          <w:sdtPr>
            <w:rPr>
              <w:rFonts w:cs="Times New Roman"/>
              <w:kern w:val="2"/>
              <w:szCs w:val="21"/>
            </w:rPr>
            <w:alias w:val="是否适用：非主营业务来源分析[双击切换]"/>
            <w:tag w:val="_GBC_e76b46ce658b44e591e71db49febe73d"/>
            <w:id w:val="865722461"/>
            <w:lock w:val="sdtLocked"/>
            <w:placeholder>
              <w:docPart w:val="GBC22222222222222222222222222222"/>
            </w:placeholder>
          </w:sdtPr>
          <w:sdtEndPr>
            <w:rPr>
              <w:rFonts w:cs="Times New Roman"/>
              <w:kern w:val="2"/>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865722462"/>
            <w:lock w:val="sdtLocked"/>
            <w:placeholder>
              <w:docPart w:val="GBC22222222222222222222222222222"/>
            </w:placeholder>
          </w:sdtPr>
          <w:sdtEndPr>
            <w:rPr>
              <w:rFonts w:hint="default" w:ascii="Times New Roman" w:hAnsi="Times New Roman" w:cs="Times New Roman"/>
              <w:sz w:val="21"/>
              <w:szCs w:val="21"/>
            </w:rPr>
          </w:sdtEndPr>
          <w:sdtContent>
            <w:p>
              <w:pPr>
                <w:pStyle w:val="33"/>
                <w:spacing w:before="0" w:beforeAutospacing="0" w:after="0" w:afterAutospacing="0" w:line="400" w:lineRule="exact"/>
                <w:ind w:firstLine="480" w:firstLineChars="200"/>
                <w:rPr>
                  <w:sz w:val="21"/>
                  <w:szCs w:val="21"/>
                </w:rPr>
              </w:pPr>
              <w:r>
                <w:rPr>
                  <w:rFonts w:ascii="Times New Roman" w:hAnsi="Times New Roman" w:cs="Times New Roman"/>
                  <w:sz w:val="21"/>
                  <w:szCs w:val="21"/>
                </w:rPr>
                <w:t>本期</w:t>
              </w:r>
              <w:r>
                <w:rPr>
                  <w:rFonts w:ascii="Times New Roman" w:cs="Times New Roman"/>
                  <w:sz w:val="21"/>
                  <w:szCs w:val="21"/>
                </w:rPr>
                <w:t>公允价值变动损益为</w:t>
              </w:r>
              <w:r>
                <w:rPr>
                  <w:rFonts w:ascii="Times New Roman" w:hAnsi="Times New Roman" w:cs="Times New Roman"/>
                  <w:sz w:val="21"/>
                  <w:szCs w:val="21"/>
                </w:rPr>
                <w:t>-2</w:t>
              </w:r>
              <w:r>
                <w:rPr>
                  <w:rFonts w:hint="eastAsia" w:ascii="Times New Roman" w:hAnsi="Times New Roman" w:cs="Times New Roman"/>
                  <w:sz w:val="21"/>
                  <w:szCs w:val="21"/>
                </w:rPr>
                <w:t>,</w:t>
              </w:r>
              <w:r>
                <w:rPr>
                  <w:rFonts w:ascii="Times New Roman" w:hAnsi="Times New Roman" w:cs="Times New Roman"/>
                  <w:sz w:val="21"/>
                  <w:szCs w:val="21"/>
                </w:rPr>
                <w:t>614.26</w:t>
              </w:r>
              <w:r>
                <w:rPr>
                  <w:rFonts w:ascii="Times New Roman" w:cs="Times New Roman"/>
                  <w:sz w:val="21"/>
                  <w:szCs w:val="21"/>
                </w:rPr>
                <w:t>万元，</w:t>
              </w:r>
              <w:r>
                <w:rPr>
                  <w:rFonts w:ascii="Times New Roman" w:hAnsi="Times New Roman" w:cs="Times New Roman"/>
                  <w:sz w:val="21"/>
                  <w:szCs w:val="21"/>
                </w:rPr>
                <w:t>主要受到公司持有的中信证券公允价值</w:t>
              </w:r>
              <w:r>
                <w:rPr>
                  <w:rFonts w:hint="eastAsia" w:ascii="Times New Roman" w:hAnsi="Times New Roman" w:cs="Times New Roman"/>
                  <w:sz w:val="21"/>
                  <w:szCs w:val="21"/>
                </w:rPr>
                <w:t>同比</w:t>
              </w:r>
              <w:r>
                <w:rPr>
                  <w:rFonts w:ascii="Times New Roman" w:hAnsi="Times New Roman" w:cs="Times New Roman"/>
                  <w:sz w:val="21"/>
                  <w:szCs w:val="21"/>
                </w:rPr>
                <w:t>减少的影响，</w:t>
              </w:r>
              <w:r>
                <w:rPr>
                  <w:rFonts w:ascii="Times New Roman" w:cs="Times New Roman"/>
                  <w:sz w:val="21"/>
                  <w:szCs w:val="21"/>
                </w:rPr>
                <w:t>上年同期为</w:t>
              </w:r>
              <w:r>
                <w:rPr>
                  <w:rFonts w:ascii="Times New Roman" w:hAnsi="Times New Roman" w:cs="Times New Roman"/>
                  <w:sz w:val="21"/>
                  <w:szCs w:val="21"/>
                </w:rPr>
                <w:t>3</w:t>
              </w:r>
              <w:r>
                <w:rPr>
                  <w:rFonts w:hint="eastAsia" w:ascii="Times New Roman" w:hAnsi="Times New Roman" w:cs="Times New Roman"/>
                  <w:sz w:val="21"/>
                  <w:szCs w:val="21"/>
                </w:rPr>
                <w:t>,</w:t>
              </w:r>
              <w:r>
                <w:rPr>
                  <w:rFonts w:ascii="Times New Roman" w:hAnsi="Times New Roman" w:cs="Times New Roman"/>
                  <w:sz w:val="21"/>
                  <w:szCs w:val="21"/>
                </w:rPr>
                <w:t>570.51</w:t>
              </w:r>
              <w:r>
                <w:rPr>
                  <w:rFonts w:ascii="Times New Roman" w:cs="Times New Roman"/>
                  <w:sz w:val="21"/>
                  <w:szCs w:val="21"/>
                </w:rPr>
                <w:t>万元，同比下降幅度较大，该项变动是造成净利润下降的主要原因</w:t>
              </w:r>
              <w:r>
                <w:rPr>
                  <w:rFonts w:ascii="Times New Roman" w:hAnsi="Times New Roman" w:cs="Times New Roman"/>
                  <w:sz w:val="21"/>
                  <w:szCs w:val="21"/>
                </w:rPr>
                <w:t>。</w:t>
              </w:r>
            </w:p>
          </w:sdtContent>
        </w:sdt>
      </w:sdtContent>
    </w:sdt>
    <w:p>
      <w:pPr>
        <w:rPr>
          <w:szCs w:val="21"/>
        </w:rPr>
      </w:pPr>
    </w:p>
    <w:p>
      <w:pPr>
        <w:rPr>
          <w:szCs w:val="21"/>
        </w:rPr>
      </w:pPr>
    </w:p>
    <w:p>
      <w:pPr>
        <w:pStyle w:val="4"/>
        <w:numPr>
          <w:ilvl w:val="0"/>
          <w:numId w:val="8"/>
        </w:numPr>
        <w:rPr>
          <w:szCs w:val="21"/>
        </w:rPr>
      </w:pPr>
      <w:r>
        <w:rPr>
          <w:szCs w:val="21"/>
        </w:rPr>
        <w:t>资产、负债情况分析</w:t>
      </w:r>
    </w:p>
    <w:p>
      <w:sdt>
        <w:sdtPr>
          <w:rPr>
            <w:rFonts w:hint="eastAsia"/>
          </w:rPr>
          <w:alias w:val="是否适用：资产、负债情况分析[双击切换]"/>
          <w:tag w:val="_GBC_73f72b786f764d01bef1bb70d2d6e5c6"/>
          <w:id w:val="865722464"/>
          <w:lock w:val="sdtContentLocked"/>
          <w:placeholder>
            <w:docPart w:val="GBC22222222222222222222222222222"/>
          </w:placeholder>
        </w:sdtPr>
        <w:sdtEndPr>
          <w:rPr>
            <w:rFonts w:hint="eastAsia"/>
          </w:rPr>
        </w:sdtEnd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sdt>
      <w:sdtPr>
        <w:rPr>
          <w:rFonts w:ascii="宋体" w:hAnsi="宋体" w:eastAsia="宋体" w:cs="宋体"/>
          <w:b w:val="0"/>
          <w:bCs w:val="0"/>
          <w:kern w:val="0"/>
          <w:szCs w:val="21"/>
        </w:rPr>
        <w:alias w:val="模块:资产负债情况分析表"/>
        <w:tag w:val="_SEC_4a3163af8aaf45ec8cbbe30e595b76d7"/>
        <w:id w:val="865722482"/>
        <w:lock w:val="sdtLocked"/>
        <w:placeholder>
          <w:docPart w:val="GBC22222222222222222222222222222"/>
        </w:placeholder>
      </w:sdtPr>
      <w:sdtEndPr>
        <w:rPr>
          <w:rFonts w:ascii="宋体" w:hAnsi="宋体" w:eastAsia="宋体" w:cs="宋体"/>
          <w:b w:val="0"/>
          <w:bCs w:val="0"/>
          <w:kern w:val="0"/>
          <w:szCs w:val="21"/>
        </w:rPr>
      </w:sdtEndPr>
      <w:sdtContent>
        <w:p>
          <w:pPr>
            <w:pStyle w:val="5"/>
            <w:ind w:left="425"/>
            <w:rPr>
              <w:rFonts w:ascii="宋体" w:hAnsi="宋体" w:eastAsia="宋体" w:cs="宋体"/>
              <w:b w:val="0"/>
              <w:bCs w:val="0"/>
              <w:kern w:val="0"/>
              <w:szCs w:val="21"/>
            </w:rPr>
          </w:pPr>
        </w:p>
        <w:p/>
        <w:p>
          <w:pPr>
            <w:pStyle w:val="5"/>
            <w:numPr>
              <w:ilvl w:val="0"/>
              <w:numId w:val="12"/>
            </w:numPr>
          </w:pPr>
          <w:r>
            <w:t>资产</w:t>
          </w:r>
          <w:r>
            <w:rPr>
              <w:rFonts w:hint="eastAsia"/>
            </w:rPr>
            <w:t>及</w:t>
          </w:r>
          <w:r>
            <w:t>负债</w:t>
          </w:r>
          <w:r>
            <w:rPr>
              <w:rFonts w:hint="eastAsia"/>
              <w:szCs w:val="21"/>
            </w:rPr>
            <w:t>状</w:t>
          </w:r>
          <w:r>
            <w:rPr>
              <w:szCs w:val="21"/>
            </w:rPr>
            <w:t>况</w:t>
          </w:r>
        </w:p>
        <w:p>
          <w:pPr>
            <w:jc w:val="right"/>
            <w:rPr>
              <w:szCs w:val="21"/>
            </w:rPr>
          </w:pPr>
          <w:r>
            <w:rPr>
              <w:rFonts w:hint="eastAsia"/>
              <w:szCs w:val="21"/>
            </w:rPr>
            <w:t>单位：</w:t>
          </w:r>
          <w:sdt>
            <w:sdtPr>
              <w:rPr>
                <w:rFonts w:hint="eastAsia"/>
                <w:szCs w:val="21"/>
              </w:rPr>
              <w:alias w:val="单位：资产负债状况分析"/>
              <w:tag w:val="_GBC_f016c1cffd884dd784e4fb134fd0d4df"/>
              <w:id w:val="8657224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852"/>
            <w:gridCol w:w="1415"/>
            <w:gridCol w:w="994"/>
            <w:gridCol w:w="851"/>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rPr>
                  <w:rFonts w:ascii="Times New Roman" w:hAnsi="Times New Roman" w:cs="Times New Roman"/>
                </w:rPr>
                <w:tag w:val="_PLD_8f1f37d9a09f4bf3a8f4c407297e58ed"/>
                <w:id w:val="631598"/>
                <w:lock w:val="sdtLocked"/>
              </w:sdtPr>
              <w:sdtEndPr>
                <w:rPr>
                  <w:rFonts w:ascii="Times New Roman" w:hAnsi="Times New Roman" w:cs="Times New Roman"/>
                </w:rPr>
              </w:sdtEndPr>
              <w:sdtContent>
                <w:tc>
                  <w:tcPr>
                    <w:tcW w:w="843" w:type="pct"/>
                    <w:vAlign w:val="center"/>
                  </w:tcPr>
                  <w:p>
                    <w:pPr>
                      <w:widowControl w:val="0"/>
                      <w:jc w:val="center"/>
                      <w:rPr>
                        <w:rStyle w:val="97"/>
                        <w:rFonts w:ascii="Times New Roman" w:hAnsi="Times New Roman" w:cs="Times New Roman"/>
                      </w:rPr>
                    </w:pPr>
                    <w:r>
                      <w:rPr>
                        <w:rFonts w:ascii="Times New Roman" w:cs="Times New Roman"/>
                        <w:szCs w:val="21"/>
                      </w:rPr>
                      <w:t>项目名称</w:t>
                    </w:r>
                  </w:p>
                </w:tc>
              </w:sdtContent>
            </w:sdt>
            <w:sdt>
              <w:sdtPr>
                <w:rPr>
                  <w:rFonts w:ascii="Times New Roman" w:hAnsi="Times New Roman" w:cs="Times New Roman"/>
                </w:rPr>
                <w:tag w:val="_PLD_a4c00a3d0d0a42e28bc6a14dd6d26320"/>
                <w:id w:val="631599"/>
                <w:lock w:val="sdtLocked"/>
              </w:sdtPr>
              <w:sdtEndPr>
                <w:rPr>
                  <w:rFonts w:ascii="Times New Roman" w:hAnsi="Times New Roman" w:cs="Times New Roman"/>
                </w:rPr>
              </w:sdtEndPr>
              <w:sdtContent>
                <w:tc>
                  <w:tcPr>
                    <w:tcW w:w="783" w:type="pct"/>
                    <w:vAlign w:val="center"/>
                  </w:tcPr>
                  <w:p>
                    <w:pPr>
                      <w:widowControl w:val="0"/>
                      <w:jc w:val="center"/>
                      <w:rPr>
                        <w:rStyle w:val="97"/>
                        <w:rFonts w:ascii="Times New Roman" w:hAnsi="Times New Roman" w:cs="Times New Roman"/>
                      </w:rPr>
                    </w:pPr>
                    <w:r>
                      <w:rPr>
                        <w:rFonts w:ascii="Times New Roman" w:cs="Times New Roman"/>
                        <w:szCs w:val="21"/>
                      </w:rPr>
                      <w:t>本期期末数</w:t>
                    </w:r>
                  </w:p>
                </w:tc>
              </w:sdtContent>
            </w:sdt>
            <w:sdt>
              <w:sdtPr>
                <w:rPr>
                  <w:rFonts w:ascii="Times New Roman" w:hAnsi="Times New Roman" w:cs="Times New Roman"/>
                </w:rPr>
                <w:tag w:val="_PLD_17de20223ad64b528b824744807b0036"/>
                <w:id w:val="631600"/>
                <w:lock w:val="sdtLocked"/>
              </w:sdtPr>
              <w:sdtEndPr>
                <w:rPr>
                  <w:rFonts w:ascii="Times New Roman" w:hAnsi="Times New Roman" w:cs="Times New Roman"/>
                </w:rPr>
              </w:sdtEndPr>
              <w:sdtContent>
                <w:tc>
                  <w:tcPr>
                    <w:tcW w:w="471" w:type="pct"/>
                    <w:vAlign w:val="center"/>
                  </w:tcPr>
                  <w:p>
                    <w:pPr>
                      <w:widowControl w:val="0"/>
                      <w:jc w:val="center"/>
                      <w:rPr>
                        <w:rStyle w:val="97"/>
                        <w:rFonts w:ascii="Times New Roman" w:hAnsi="Times New Roman" w:cs="Times New Roman"/>
                      </w:rPr>
                    </w:pPr>
                    <w:r>
                      <w:rPr>
                        <w:rFonts w:ascii="Times New Roman" w:cs="Times New Roman"/>
                        <w:szCs w:val="21"/>
                      </w:rPr>
                      <w:t>本期期末数占总资产的比例（</w:t>
                    </w:r>
                    <w:r>
                      <w:rPr>
                        <w:rFonts w:ascii="Times New Roman" w:hAnsi="Times New Roman" w:cs="Times New Roman"/>
                        <w:szCs w:val="21"/>
                      </w:rPr>
                      <w:t>%</w:t>
                    </w:r>
                    <w:r>
                      <w:rPr>
                        <w:rFonts w:ascii="Times New Roman" w:cs="Times New Roman"/>
                        <w:szCs w:val="21"/>
                      </w:rPr>
                      <w:t>）</w:t>
                    </w:r>
                  </w:p>
                </w:tc>
              </w:sdtContent>
            </w:sdt>
            <w:sdt>
              <w:sdtPr>
                <w:rPr>
                  <w:rFonts w:ascii="Times New Roman" w:hAnsi="Times New Roman" w:cs="Times New Roman"/>
                </w:rPr>
                <w:tag w:val="_PLD_d1b9e9483c3a41358f877758b5adb0fb"/>
                <w:id w:val="631601"/>
                <w:lock w:val="sdtLocked"/>
              </w:sdtPr>
              <w:sdtEndPr>
                <w:rPr>
                  <w:rFonts w:ascii="Times New Roman" w:hAnsi="Times New Roman" w:cs="Times New Roman"/>
                </w:rPr>
              </w:sdtEndPr>
              <w:sdtContent>
                <w:tc>
                  <w:tcPr>
                    <w:tcW w:w="782" w:type="pct"/>
                    <w:vAlign w:val="center"/>
                  </w:tcPr>
                  <w:p>
                    <w:pPr>
                      <w:widowControl w:val="0"/>
                      <w:jc w:val="center"/>
                      <w:rPr>
                        <w:rStyle w:val="97"/>
                        <w:rFonts w:ascii="Times New Roman" w:hAnsi="Times New Roman" w:cs="Times New Roman"/>
                      </w:rPr>
                    </w:pPr>
                    <w:r>
                      <w:rPr>
                        <w:rFonts w:ascii="Times New Roman" w:cs="Times New Roman"/>
                        <w:szCs w:val="21"/>
                      </w:rPr>
                      <w:t>上期期末数</w:t>
                    </w:r>
                  </w:p>
                </w:tc>
              </w:sdtContent>
            </w:sdt>
            <w:sdt>
              <w:sdtPr>
                <w:rPr>
                  <w:rFonts w:ascii="Times New Roman" w:hAnsi="Times New Roman" w:cs="Times New Roman"/>
                </w:rPr>
                <w:tag w:val="_PLD_3a8a8577e1a84f26856a900f7202f9a8"/>
                <w:id w:val="631602"/>
                <w:lock w:val="sdtLocked"/>
              </w:sdtPr>
              <w:sdtEndPr>
                <w:rPr>
                  <w:rFonts w:ascii="Times New Roman" w:hAnsi="Times New Roman" w:cs="Times New Roman"/>
                </w:rPr>
              </w:sdtEndPr>
              <w:sdtContent>
                <w:tc>
                  <w:tcPr>
                    <w:tcW w:w="549" w:type="pct"/>
                    <w:vAlign w:val="center"/>
                  </w:tcPr>
                  <w:p>
                    <w:pPr>
                      <w:widowControl w:val="0"/>
                      <w:jc w:val="center"/>
                      <w:rPr>
                        <w:rStyle w:val="97"/>
                        <w:rFonts w:ascii="Times New Roman" w:hAnsi="Times New Roman" w:cs="Times New Roman"/>
                      </w:rPr>
                    </w:pPr>
                    <w:r>
                      <w:rPr>
                        <w:rFonts w:ascii="Times New Roman" w:cs="Times New Roman"/>
                        <w:szCs w:val="21"/>
                      </w:rPr>
                      <w:t>上期期末数占总资产的比例（</w:t>
                    </w:r>
                    <w:r>
                      <w:rPr>
                        <w:rFonts w:ascii="Times New Roman" w:hAnsi="Times New Roman" w:cs="Times New Roman"/>
                        <w:szCs w:val="21"/>
                      </w:rPr>
                      <w:t>%</w:t>
                    </w:r>
                    <w:r>
                      <w:rPr>
                        <w:rFonts w:ascii="Times New Roman" w:cs="Times New Roman"/>
                        <w:szCs w:val="21"/>
                      </w:rPr>
                      <w:t>）</w:t>
                    </w:r>
                  </w:p>
                </w:tc>
              </w:sdtContent>
            </w:sdt>
            <w:sdt>
              <w:sdtPr>
                <w:rPr>
                  <w:rFonts w:ascii="Times New Roman" w:hAnsi="Times New Roman" w:cs="Times New Roman"/>
                </w:rPr>
                <w:tag w:val="_PLD_8af1894621b84d44aec1deba51e3a7da"/>
                <w:id w:val="631603"/>
                <w:lock w:val="sdtLocked"/>
              </w:sdtPr>
              <w:sdtEndPr>
                <w:rPr>
                  <w:rFonts w:ascii="Times New Roman" w:hAnsi="Times New Roman" w:cs="Times New Roman"/>
                </w:rPr>
              </w:sdtEndPr>
              <w:sdtContent>
                <w:tc>
                  <w:tcPr>
                    <w:tcW w:w="470" w:type="pct"/>
                    <w:vAlign w:val="center"/>
                  </w:tcPr>
                  <w:p>
                    <w:pPr>
                      <w:widowControl w:val="0"/>
                      <w:jc w:val="center"/>
                      <w:rPr>
                        <w:rStyle w:val="97"/>
                        <w:rFonts w:ascii="Times New Roman" w:hAnsi="Times New Roman" w:cs="Times New Roman"/>
                      </w:rPr>
                    </w:pPr>
                    <w:r>
                      <w:rPr>
                        <w:rFonts w:ascii="Times New Roman" w:cs="Times New Roman"/>
                        <w:szCs w:val="21"/>
                      </w:rPr>
                      <w:t>本期期末金额较上期期末变动比例（</w:t>
                    </w:r>
                    <w:r>
                      <w:rPr>
                        <w:rFonts w:ascii="Times New Roman" w:hAnsi="Times New Roman" w:cs="Times New Roman"/>
                        <w:szCs w:val="21"/>
                      </w:rPr>
                      <w:t>%</w:t>
                    </w:r>
                    <w:r>
                      <w:rPr>
                        <w:rFonts w:ascii="Times New Roman" w:cs="Times New Roman"/>
                        <w:szCs w:val="21"/>
                      </w:rPr>
                      <w:t>）</w:t>
                    </w:r>
                  </w:p>
                </w:tc>
              </w:sdtContent>
            </w:sdt>
            <w:sdt>
              <w:sdtPr>
                <w:rPr>
                  <w:rFonts w:ascii="Times New Roman" w:hAnsi="Times New Roman" w:cs="Times New Roman"/>
                </w:rPr>
                <w:tag w:val="_PLD_495436d1d45e4a9391194459a895631e"/>
                <w:id w:val="631604"/>
                <w:lock w:val="sdtLocked"/>
              </w:sdtPr>
              <w:sdtEndPr>
                <w:rPr>
                  <w:rFonts w:ascii="Times New Roman" w:hAnsi="Times New Roman" w:cs="Times New Roman"/>
                </w:rPr>
              </w:sdtEndPr>
              <w:sdtContent>
                <w:tc>
                  <w:tcPr>
                    <w:tcW w:w="1102" w:type="pct"/>
                    <w:vAlign w:val="center"/>
                  </w:tcPr>
                  <w:p>
                    <w:pPr>
                      <w:widowControl w:val="0"/>
                      <w:jc w:val="center"/>
                      <w:rPr>
                        <w:rStyle w:val="97"/>
                        <w:rFonts w:ascii="Times New Roman" w:hAnsi="Times New Roman" w:cs="Times New Roman"/>
                      </w:rPr>
                    </w:pPr>
                    <w:r>
                      <w:rPr>
                        <w:rFonts w:ascii="Times New Roman" w:cs="Times New Roman"/>
                        <w:szCs w:val="21"/>
                      </w:rPr>
                      <w:t>情况说明</w:t>
                    </w:r>
                  </w:p>
                </w:tc>
              </w:sdtContent>
            </w:sdt>
          </w:tr>
          <w:sdt>
            <w:sdtPr>
              <w:rPr>
                <w:rStyle w:val="97"/>
                <w:rFonts w:ascii="Times New Roman" w:hAnsi="Times New Roman" w:cs="Times New Roman" w:eastAsiaTheme="minorEastAsia"/>
                <w:b w:val="0"/>
              </w:rPr>
              <w:alias w:val="资产负债状况分析"/>
              <w:tag w:val="_TUP_815ebab5da7a4ba88d97b27a17b235f3"/>
              <w:id w:val="631605"/>
              <w:lock w:val="sdtLocked"/>
            </w:sdtPr>
            <w:sdtEndPr>
              <w:rPr>
                <w:rStyle w:val="97"/>
                <w:rFonts w:ascii="Times New Roman" w:hAnsi="Times New Roman" w:cs="Times New Roman" w:eastAsiaTheme="minorEastAsia"/>
                <w:b w:val="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43" w:type="pct"/>
                    <w:vAlign w:val="center"/>
                  </w:tcPr>
                  <w:p>
                    <w:pPr>
                      <w:widowControl w:val="0"/>
                      <w:jc w:val="both"/>
                      <w:rPr>
                        <w:rStyle w:val="97"/>
                        <w:rFonts w:ascii="Times New Roman" w:hAnsi="Times New Roman" w:cs="Times New Roman"/>
                        <w:b w:val="0"/>
                      </w:rPr>
                    </w:pPr>
                    <w:r>
                      <w:rPr>
                        <w:rFonts w:ascii="Times New Roman" w:cs="Times New Roman"/>
                      </w:rPr>
                      <w:t>货币资金</w:t>
                    </w:r>
                  </w:p>
                </w:tc>
                <w:tc>
                  <w:tcPr>
                    <w:tcW w:w="783"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1,227,128,634.00</w:t>
                    </w:r>
                  </w:p>
                </w:tc>
                <w:tc>
                  <w:tcPr>
                    <w:tcW w:w="471"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48.60</w:t>
                    </w:r>
                  </w:p>
                </w:tc>
                <w:tc>
                  <w:tcPr>
                    <w:tcW w:w="782"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617,613,358.89</w:t>
                    </w:r>
                  </w:p>
                </w:tc>
                <w:tc>
                  <w:tcPr>
                    <w:tcW w:w="549"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24.15</w:t>
                    </w:r>
                  </w:p>
                </w:tc>
                <w:tc>
                  <w:tcPr>
                    <w:tcW w:w="470"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98.69</w:t>
                    </w:r>
                  </w:p>
                </w:tc>
                <w:tc>
                  <w:tcPr>
                    <w:tcW w:w="1102" w:type="pct"/>
                    <w:vAlign w:val="center"/>
                  </w:tcPr>
                  <w:p>
                    <w:pPr>
                      <w:widowControl w:val="0"/>
                      <w:jc w:val="both"/>
                      <w:rPr>
                        <w:rStyle w:val="97"/>
                        <w:rFonts w:ascii="Times New Roman" w:hAnsi="Times New Roman" w:cs="Times New Roman"/>
                        <w:b w:val="0"/>
                      </w:rPr>
                    </w:pPr>
                    <w:r>
                      <w:rPr>
                        <w:rStyle w:val="97"/>
                        <w:rFonts w:ascii="Times New Roman" w:cs="Times New Roman"/>
                        <w:b w:val="0"/>
                      </w:rPr>
                      <w:t>本期收到重大资产出售项目的交易尾款及利息</w:t>
                    </w:r>
                  </w:p>
                </w:tc>
              </w:tr>
            </w:sdtContent>
          </w:sdt>
          <w:sdt>
            <w:sdtPr>
              <w:rPr>
                <w:rStyle w:val="97"/>
                <w:rFonts w:ascii="Times New Roman" w:hAnsi="Times New Roman" w:cs="Times New Roman" w:eastAsiaTheme="minorEastAsia"/>
                <w:b w:val="0"/>
              </w:rPr>
              <w:alias w:val="资产负债状况分析"/>
              <w:tag w:val="_TUP_815ebab5da7a4ba88d97b27a17b235f3"/>
              <w:id w:val="631606"/>
              <w:lock w:val="sdtLocked"/>
            </w:sdtPr>
            <w:sdtEndPr>
              <w:rPr>
                <w:rStyle w:val="97"/>
                <w:rFonts w:ascii="Times New Roman" w:hAnsi="Times New Roman" w:cs="Times New Roman" w:eastAsiaTheme="minorEastAsia"/>
                <w:b w:val="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43" w:type="pct"/>
                    <w:vAlign w:val="center"/>
                  </w:tcPr>
                  <w:p>
                    <w:pPr>
                      <w:widowControl w:val="0"/>
                      <w:jc w:val="both"/>
                      <w:rPr>
                        <w:rStyle w:val="97"/>
                        <w:rFonts w:ascii="Times New Roman" w:hAnsi="Times New Roman" w:cs="Times New Roman"/>
                        <w:b w:val="0"/>
                      </w:rPr>
                    </w:pPr>
                    <w:r>
                      <w:rPr>
                        <w:rFonts w:ascii="Times New Roman" w:cs="Times New Roman"/>
                      </w:rPr>
                      <w:t>其他应收款</w:t>
                    </w:r>
                  </w:p>
                </w:tc>
                <w:tc>
                  <w:tcPr>
                    <w:tcW w:w="783"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11,073,306.21</w:t>
                    </w:r>
                  </w:p>
                </w:tc>
                <w:tc>
                  <w:tcPr>
                    <w:tcW w:w="471"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0.44</w:t>
                    </w:r>
                  </w:p>
                </w:tc>
                <w:tc>
                  <w:tcPr>
                    <w:tcW w:w="782"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630,520,969.93</w:t>
                    </w:r>
                  </w:p>
                </w:tc>
                <w:tc>
                  <w:tcPr>
                    <w:tcW w:w="549"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24.66</w:t>
                    </w:r>
                  </w:p>
                </w:tc>
                <w:tc>
                  <w:tcPr>
                    <w:tcW w:w="470"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-98.24</w:t>
                    </w:r>
                  </w:p>
                </w:tc>
                <w:tc>
                  <w:tcPr>
                    <w:tcW w:w="1102" w:type="pct"/>
                    <w:vAlign w:val="center"/>
                  </w:tcPr>
                  <w:p>
                    <w:pPr>
                      <w:widowControl w:val="0"/>
                      <w:jc w:val="both"/>
                      <w:rPr>
                        <w:rStyle w:val="97"/>
                        <w:rFonts w:ascii="Times New Roman" w:hAnsi="Times New Roman" w:cs="Times New Roman"/>
                        <w:b w:val="0"/>
                      </w:rPr>
                    </w:pPr>
                    <w:r>
                      <w:rPr>
                        <w:rStyle w:val="97"/>
                        <w:rFonts w:ascii="Times New Roman" w:cs="Times New Roman"/>
                        <w:b w:val="0"/>
                      </w:rPr>
                      <w:t>本期收到重大资产出售项目的交易尾款及利息</w:t>
                    </w:r>
                  </w:p>
                </w:tc>
              </w:tr>
            </w:sdtContent>
          </w:sdt>
          <w:sdt>
            <w:sdtPr>
              <w:rPr>
                <w:rStyle w:val="97"/>
                <w:rFonts w:ascii="Times New Roman" w:hAnsi="Times New Roman" w:cs="Times New Roman" w:eastAsiaTheme="minorEastAsia"/>
                <w:b w:val="0"/>
              </w:rPr>
              <w:alias w:val="资产负债状况分析"/>
              <w:tag w:val="_TUP_815ebab5da7a4ba88d97b27a17b235f3"/>
              <w:id w:val="631607"/>
              <w:lock w:val="sdtLocked"/>
            </w:sdtPr>
            <w:sdtEndPr>
              <w:rPr>
                <w:rStyle w:val="97"/>
                <w:rFonts w:ascii="Times New Roman" w:hAnsi="Times New Roman" w:eastAsia="宋体" w:cs="Times New Roman"/>
                <w:b w:val="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43" w:type="pct"/>
                    <w:vAlign w:val="center"/>
                  </w:tcPr>
                  <w:p>
                    <w:pPr>
                      <w:widowControl w:val="0"/>
                      <w:jc w:val="both"/>
                      <w:rPr>
                        <w:rStyle w:val="97"/>
                        <w:rFonts w:ascii="Times New Roman" w:hAnsi="Times New Roman" w:cs="Times New Roman" w:eastAsiaTheme="minorEastAsia"/>
                        <w:b w:val="0"/>
                      </w:rPr>
                    </w:pPr>
                    <w:r>
                      <w:rPr>
                        <w:rFonts w:ascii="Times New Roman" w:cs="Times New Roman"/>
                      </w:rPr>
                      <w:t>应收票据</w:t>
                    </w:r>
                  </w:p>
                </w:tc>
                <w:tc>
                  <w:tcPr>
                    <w:tcW w:w="783"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800,000.00</w:t>
                    </w:r>
                  </w:p>
                </w:tc>
                <w:tc>
                  <w:tcPr>
                    <w:tcW w:w="471"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0.03</w:t>
                    </w:r>
                  </w:p>
                </w:tc>
                <w:tc>
                  <w:tcPr>
                    <w:tcW w:w="782"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224,923.44</w:t>
                    </w:r>
                  </w:p>
                </w:tc>
                <w:tc>
                  <w:tcPr>
                    <w:tcW w:w="549"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0.01</w:t>
                    </w:r>
                  </w:p>
                </w:tc>
                <w:tc>
                  <w:tcPr>
                    <w:tcW w:w="470"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255.68</w:t>
                    </w:r>
                  </w:p>
                </w:tc>
                <w:tc>
                  <w:tcPr>
                    <w:tcW w:w="1102" w:type="pct"/>
                    <w:vAlign w:val="center"/>
                  </w:tcPr>
                  <w:p>
                    <w:pPr>
                      <w:widowControl w:val="0"/>
                      <w:jc w:val="both"/>
                      <w:rPr>
                        <w:rStyle w:val="97"/>
                        <w:rFonts w:ascii="Times New Roman" w:hAnsi="Times New Roman" w:cs="Times New Roman"/>
                        <w:b w:val="0"/>
                      </w:rPr>
                    </w:pPr>
                    <w:r>
                      <w:rPr>
                        <w:rFonts w:ascii="Times New Roman" w:cs="Times New Roman"/>
                      </w:rPr>
                      <w:t>收到票据结算增加</w:t>
                    </w:r>
                  </w:p>
                </w:tc>
              </w:tr>
            </w:sdtContent>
          </w:sdt>
          <w:sdt>
            <w:sdtPr>
              <w:rPr>
                <w:rStyle w:val="97"/>
                <w:rFonts w:ascii="Times New Roman" w:hAnsi="Times New Roman" w:cs="Times New Roman" w:eastAsiaTheme="minorEastAsia"/>
                <w:b w:val="0"/>
              </w:rPr>
              <w:alias w:val="资产负债状况分析"/>
              <w:tag w:val="_TUP_815ebab5da7a4ba88d97b27a17b235f3"/>
              <w:id w:val="631608"/>
              <w:lock w:val="sdtLocked"/>
            </w:sdtPr>
            <w:sdtEndPr>
              <w:rPr>
                <w:rStyle w:val="97"/>
                <w:rFonts w:ascii="Times New Roman" w:hAnsi="Times New Roman" w:cs="Times New Roman" w:eastAsiaTheme="minorEastAsia"/>
                <w:b w:val="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43" w:type="pct"/>
                    <w:vAlign w:val="center"/>
                  </w:tcPr>
                  <w:p>
                    <w:pPr>
                      <w:widowControl w:val="0"/>
                      <w:jc w:val="both"/>
                      <w:rPr>
                        <w:rStyle w:val="97"/>
                        <w:rFonts w:ascii="Times New Roman" w:hAnsi="Times New Roman" w:cs="Times New Roman"/>
                        <w:b w:val="0"/>
                      </w:rPr>
                    </w:pPr>
                    <w:r>
                      <w:rPr>
                        <w:rFonts w:ascii="Times New Roman" w:cs="Times New Roman"/>
                      </w:rPr>
                      <w:t>预付款项</w:t>
                    </w:r>
                  </w:p>
                </w:tc>
                <w:tc>
                  <w:tcPr>
                    <w:tcW w:w="783"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23,431,133.63</w:t>
                    </w:r>
                  </w:p>
                </w:tc>
                <w:tc>
                  <w:tcPr>
                    <w:tcW w:w="471"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0.93</w:t>
                    </w:r>
                  </w:p>
                </w:tc>
                <w:tc>
                  <w:tcPr>
                    <w:tcW w:w="782"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15,866,745.25</w:t>
                    </w:r>
                  </w:p>
                </w:tc>
                <w:tc>
                  <w:tcPr>
                    <w:tcW w:w="549"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0.62</w:t>
                    </w:r>
                  </w:p>
                </w:tc>
                <w:tc>
                  <w:tcPr>
                    <w:tcW w:w="470" w:type="pct"/>
                    <w:vAlign w:val="center"/>
                  </w:tcPr>
                  <w:p>
                    <w:pPr>
                      <w:widowControl w:val="0"/>
                      <w:jc w:val="right"/>
                      <w:rPr>
                        <w:rStyle w:val="97"/>
                        <w:rFonts w:ascii="Times New Roman" w:hAnsi="Times New Roman" w:cs="Times New Roman"/>
                        <w:b w:val="0"/>
                        <w:sz w:val="18"/>
                        <w:szCs w:val="18"/>
                      </w:rPr>
                    </w:pPr>
                    <w:r>
                      <w:rPr>
                        <w:rFonts w:ascii="Times New Roman" w:hAnsi="Times New Roman" w:cs="Times New Roman"/>
                        <w:sz w:val="18"/>
                        <w:szCs w:val="18"/>
                      </w:rPr>
                      <w:t>47.67</w:t>
                    </w:r>
                  </w:p>
                </w:tc>
                <w:tc>
                  <w:tcPr>
                    <w:tcW w:w="1102" w:type="pct"/>
                    <w:vAlign w:val="center"/>
                  </w:tcPr>
                  <w:p>
                    <w:pPr>
                      <w:widowControl w:val="0"/>
                      <w:jc w:val="both"/>
                      <w:rPr>
                        <w:rStyle w:val="97"/>
                        <w:rFonts w:ascii="Times New Roman" w:hAnsi="Times New Roman" w:cs="Times New Roman"/>
                        <w:b w:val="0"/>
                      </w:rPr>
                    </w:pPr>
                    <w:r>
                      <w:rPr>
                        <w:rFonts w:ascii="Times New Roman" w:cs="Times New Roman"/>
                      </w:rPr>
                      <w:t>预付采购款增加</w:t>
                    </w:r>
                  </w:p>
                </w:tc>
              </w:tr>
            </w:sdtContent>
          </w:sdt>
          <w:sdt>
            <w:sdtPr>
              <w:rPr>
                <w:rStyle w:val="97"/>
                <w:rFonts w:ascii="Times New Roman" w:hAnsi="Times New Roman" w:cs="Times New Roman" w:eastAsiaTheme="minorEastAsia"/>
                <w:b w:val="0"/>
              </w:rPr>
              <w:alias w:val="资产负债状况分析"/>
              <w:tag w:val="_TUP_815ebab5da7a4ba88d97b27a17b235f3"/>
              <w:id w:val="631609"/>
              <w:lock w:val="sdtLocked"/>
            </w:sdtPr>
            <w:sdtEndPr>
              <w:rPr>
                <w:rStyle w:val="39"/>
                <w:rFonts w:ascii="Times New Roman" w:hAnsi="Times New Roman" w:eastAsia="宋体" w:cs="Times New Roman"/>
                <w:b w:val="0"/>
                <w:bCs w:val="0"/>
                <w:kern w:val="0"/>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43" w:type="pct"/>
                    <w:vAlign w:val="center"/>
                  </w:tcPr>
                  <w:p>
                    <w:pPr>
                      <w:widowControl w:val="0"/>
                      <w:jc w:val="both"/>
                      <w:rPr>
                        <w:rStyle w:val="97"/>
                        <w:rFonts w:ascii="Times New Roman" w:hAnsi="Times New Roman" w:cs="Times New Roman" w:eastAsiaTheme="minorEastAsia"/>
                        <w:b w:val="0"/>
                      </w:rPr>
                    </w:pPr>
                    <w:r>
                      <w:rPr>
                        <w:rFonts w:ascii="Times New Roman" w:cs="Times New Roman"/>
                      </w:rPr>
                      <w:t>投资性房地产</w:t>
                    </w:r>
                  </w:p>
                </w:tc>
                <w:tc>
                  <w:tcPr>
                    <w:tcW w:w="783"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47,860,932.10</w:t>
                    </w:r>
                  </w:p>
                </w:tc>
                <w:tc>
                  <w:tcPr>
                    <w:tcW w:w="471"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1.90</w:t>
                    </w:r>
                  </w:p>
                </w:tc>
                <w:tc>
                  <w:tcPr>
                    <w:tcW w:w="782"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20,948,516.79</w:t>
                    </w:r>
                  </w:p>
                </w:tc>
                <w:tc>
                  <w:tcPr>
                    <w:tcW w:w="549"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0.82</w:t>
                    </w:r>
                  </w:p>
                </w:tc>
                <w:tc>
                  <w:tcPr>
                    <w:tcW w:w="470"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128.47</w:t>
                    </w:r>
                  </w:p>
                </w:tc>
                <w:tc>
                  <w:tcPr>
                    <w:tcW w:w="1102" w:type="pct"/>
                    <w:vAlign w:val="center"/>
                  </w:tcPr>
                  <w:p>
                    <w:pPr>
                      <w:widowControl w:val="0"/>
                      <w:jc w:val="both"/>
                      <w:rPr>
                        <w:rFonts w:ascii="Times New Roman" w:hAnsi="Times New Roman" w:cs="Times New Roman"/>
                      </w:rPr>
                    </w:pPr>
                    <w:r>
                      <w:rPr>
                        <w:rFonts w:ascii="Times New Roman" w:cs="Times New Roman"/>
                      </w:rPr>
                      <w:t>建筑物出租增加投资性房地产</w:t>
                    </w:r>
                  </w:p>
                </w:tc>
              </w:tr>
            </w:sdtContent>
          </w:sdt>
          <w:sdt>
            <w:sdtPr>
              <w:rPr>
                <w:rStyle w:val="97"/>
                <w:rFonts w:ascii="Times New Roman" w:hAnsi="Times New Roman" w:cs="Times New Roman" w:eastAsiaTheme="minorEastAsia"/>
                <w:b w:val="0"/>
              </w:rPr>
              <w:alias w:val="资产负债状况分析"/>
              <w:tag w:val="_TUP_815ebab5da7a4ba88d97b27a17b235f3"/>
              <w:id w:val="631610"/>
              <w:lock w:val="sdtLocked"/>
            </w:sdtPr>
            <w:sdtEndPr>
              <w:rPr>
                <w:rStyle w:val="97"/>
                <w:rFonts w:ascii="Times New Roman" w:hAnsi="Times New Roman" w:cs="Times New Roman" w:eastAsiaTheme="minorEastAsia"/>
                <w:b w:val="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43" w:type="pct"/>
                    <w:vAlign w:val="center"/>
                  </w:tcPr>
                  <w:p>
                    <w:pPr>
                      <w:widowControl w:val="0"/>
                      <w:jc w:val="both"/>
                      <w:rPr>
                        <w:rStyle w:val="97"/>
                        <w:rFonts w:ascii="Times New Roman" w:hAnsi="Times New Roman" w:cs="Times New Roman"/>
                        <w:b w:val="0"/>
                      </w:rPr>
                    </w:pPr>
                    <w:r>
                      <w:rPr>
                        <w:rFonts w:ascii="Times New Roman" w:cs="Times New Roman"/>
                      </w:rPr>
                      <w:t>在建工程</w:t>
                    </w:r>
                  </w:p>
                </w:tc>
                <w:tc>
                  <w:tcPr>
                    <w:tcW w:w="783"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3,550,183.25</w:t>
                    </w:r>
                  </w:p>
                </w:tc>
                <w:tc>
                  <w:tcPr>
                    <w:tcW w:w="471"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0.14</w:t>
                    </w:r>
                  </w:p>
                </w:tc>
                <w:tc>
                  <w:tcPr>
                    <w:tcW w:w="782"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9,598,428.18</w:t>
                    </w:r>
                  </w:p>
                </w:tc>
                <w:tc>
                  <w:tcPr>
                    <w:tcW w:w="549"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0.38</w:t>
                    </w:r>
                  </w:p>
                </w:tc>
                <w:tc>
                  <w:tcPr>
                    <w:tcW w:w="470"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-63.01</w:t>
                    </w:r>
                  </w:p>
                </w:tc>
                <w:tc>
                  <w:tcPr>
                    <w:tcW w:w="1102" w:type="pct"/>
                    <w:vAlign w:val="center"/>
                  </w:tcPr>
                  <w:p>
                    <w:pPr>
                      <w:widowControl w:val="0"/>
                      <w:jc w:val="both"/>
                      <w:rPr>
                        <w:rStyle w:val="97"/>
                        <w:rFonts w:ascii="Times New Roman" w:hAnsi="Times New Roman" w:cs="Times New Roman"/>
                        <w:b w:val="0"/>
                      </w:rPr>
                    </w:pPr>
                    <w:r>
                      <w:rPr>
                        <w:rFonts w:ascii="Times New Roman" w:cs="Times New Roman"/>
                      </w:rPr>
                      <w:t>江苏实业公司在建工程转固定资产</w:t>
                    </w:r>
                  </w:p>
                </w:tc>
              </w:tr>
            </w:sdtContent>
          </w:sdt>
          <w:sdt>
            <w:sdtPr>
              <w:rPr>
                <w:rStyle w:val="97"/>
                <w:rFonts w:ascii="Times New Roman" w:hAnsi="Times New Roman" w:cs="Times New Roman" w:eastAsiaTheme="minorEastAsia"/>
                <w:b w:val="0"/>
              </w:rPr>
              <w:alias w:val="资产负债状况分析"/>
              <w:tag w:val="_TUP_815ebab5da7a4ba88d97b27a17b235f3"/>
              <w:id w:val="631611"/>
              <w:lock w:val="sdtLocked"/>
            </w:sdtPr>
            <w:sdtEndPr>
              <w:rPr>
                <w:rStyle w:val="97"/>
                <w:rFonts w:ascii="Times New Roman" w:hAnsi="Times New Roman" w:cs="Times New Roman" w:eastAsiaTheme="minorEastAsia"/>
                <w:b w:val="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43" w:type="pct"/>
                    <w:vAlign w:val="center"/>
                  </w:tcPr>
                  <w:p>
                    <w:pPr>
                      <w:widowControl w:val="0"/>
                      <w:jc w:val="both"/>
                      <w:rPr>
                        <w:rStyle w:val="97"/>
                        <w:rFonts w:ascii="Times New Roman" w:hAnsi="Times New Roman" w:cs="Times New Roman"/>
                        <w:b w:val="0"/>
                      </w:rPr>
                    </w:pPr>
                    <w:r>
                      <w:rPr>
                        <w:rFonts w:ascii="Times New Roman" w:cs="Times New Roman"/>
                      </w:rPr>
                      <w:t>其他非流动资产</w:t>
                    </w:r>
                  </w:p>
                </w:tc>
                <w:tc>
                  <w:tcPr>
                    <w:tcW w:w="783"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9,292,483.16</w:t>
                    </w:r>
                  </w:p>
                </w:tc>
                <w:tc>
                  <w:tcPr>
                    <w:tcW w:w="471"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0.37</w:t>
                    </w:r>
                  </w:p>
                </w:tc>
                <w:tc>
                  <w:tcPr>
                    <w:tcW w:w="782"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4,804,613.53</w:t>
                    </w:r>
                  </w:p>
                </w:tc>
                <w:tc>
                  <w:tcPr>
                    <w:tcW w:w="549"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0.19</w:t>
                    </w:r>
                  </w:p>
                </w:tc>
                <w:tc>
                  <w:tcPr>
                    <w:tcW w:w="470"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93.41</w:t>
                    </w:r>
                  </w:p>
                </w:tc>
                <w:tc>
                  <w:tcPr>
                    <w:tcW w:w="1102" w:type="pct"/>
                    <w:vAlign w:val="center"/>
                  </w:tcPr>
                  <w:p>
                    <w:pPr>
                      <w:widowControl w:val="0"/>
                      <w:jc w:val="both"/>
                      <w:rPr>
                        <w:rStyle w:val="97"/>
                        <w:rFonts w:ascii="Times New Roman" w:hAnsi="Times New Roman" w:cs="Times New Roman"/>
                        <w:b w:val="0"/>
                      </w:rPr>
                    </w:pPr>
                    <w:r>
                      <w:rPr>
                        <w:rFonts w:ascii="Times New Roman" w:cs="Times New Roman"/>
                      </w:rPr>
                      <w:t>预付设备、软件工程款增加</w:t>
                    </w:r>
                  </w:p>
                </w:tc>
              </w:tr>
            </w:sdtContent>
          </w:sdt>
          <w:sdt>
            <w:sdtPr>
              <w:rPr>
                <w:rStyle w:val="97"/>
                <w:rFonts w:ascii="Times New Roman" w:hAnsi="Times New Roman" w:cs="Times New Roman" w:eastAsiaTheme="minorEastAsia"/>
                <w:b w:val="0"/>
              </w:rPr>
              <w:alias w:val="资产负债状况分析"/>
              <w:tag w:val="_TUP_815ebab5da7a4ba88d97b27a17b235f3"/>
              <w:id w:val="631612"/>
              <w:lock w:val="sdtLocked"/>
            </w:sdtPr>
            <w:sdtEndPr>
              <w:rPr>
                <w:rStyle w:val="97"/>
                <w:rFonts w:ascii="Times New Roman" w:hAnsi="Times New Roman" w:cs="Times New Roman" w:eastAsiaTheme="minorEastAsia"/>
                <w:b w:val="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43" w:type="pct"/>
                    <w:vAlign w:val="center"/>
                  </w:tcPr>
                  <w:p>
                    <w:pPr>
                      <w:widowControl w:val="0"/>
                      <w:jc w:val="both"/>
                      <w:rPr>
                        <w:rStyle w:val="97"/>
                        <w:rFonts w:ascii="Times New Roman" w:hAnsi="Times New Roman" w:cs="Times New Roman"/>
                        <w:b w:val="0"/>
                      </w:rPr>
                    </w:pPr>
                    <w:r>
                      <w:rPr>
                        <w:rFonts w:ascii="Times New Roman" w:cs="Times New Roman"/>
                      </w:rPr>
                      <w:t>应付票据</w:t>
                    </w:r>
                  </w:p>
                </w:tc>
                <w:tc>
                  <w:tcPr>
                    <w:tcW w:w="783"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5,376,546.43</w:t>
                    </w:r>
                  </w:p>
                </w:tc>
                <w:tc>
                  <w:tcPr>
                    <w:tcW w:w="471"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0.21</w:t>
                    </w:r>
                  </w:p>
                </w:tc>
                <w:tc>
                  <w:tcPr>
                    <w:tcW w:w="782"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16,976,065.26</w:t>
                    </w:r>
                  </w:p>
                </w:tc>
                <w:tc>
                  <w:tcPr>
                    <w:tcW w:w="549"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0.66</w:t>
                    </w:r>
                  </w:p>
                </w:tc>
                <w:tc>
                  <w:tcPr>
                    <w:tcW w:w="470"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-68.33</w:t>
                    </w:r>
                  </w:p>
                </w:tc>
                <w:tc>
                  <w:tcPr>
                    <w:tcW w:w="1102" w:type="pct"/>
                    <w:vAlign w:val="center"/>
                  </w:tcPr>
                  <w:p>
                    <w:pPr>
                      <w:widowControl w:val="0"/>
                      <w:jc w:val="both"/>
                      <w:rPr>
                        <w:rStyle w:val="97"/>
                        <w:rFonts w:ascii="Times New Roman" w:hAnsi="Times New Roman" w:cs="Times New Roman"/>
                        <w:b w:val="0"/>
                      </w:rPr>
                    </w:pPr>
                    <w:r>
                      <w:rPr>
                        <w:rFonts w:ascii="Times New Roman" w:cs="Times New Roman"/>
                      </w:rPr>
                      <w:t>票据结算减少</w:t>
                    </w:r>
                  </w:p>
                </w:tc>
              </w:tr>
            </w:sdtContent>
          </w:sdt>
          <w:sdt>
            <w:sdtPr>
              <w:rPr>
                <w:rStyle w:val="97"/>
                <w:rFonts w:ascii="Times New Roman" w:hAnsi="Times New Roman" w:cs="Times New Roman" w:eastAsiaTheme="minorEastAsia"/>
                <w:b w:val="0"/>
              </w:rPr>
              <w:alias w:val="资产负债状况分析"/>
              <w:tag w:val="_TUP_815ebab5da7a4ba88d97b27a17b235f3"/>
              <w:id w:val="631613"/>
              <w:lock w:val="sdtLocked"/>
            </w:sdtPr>
            <w:sdtEndPr>
              <w:rPr>
                <w:rStyle w:val="97"/>
                <w:rFonts w:ascii="Times New Roman" w:hAnsi="Times New Roman" w:cs="Times New Roman" w:eastAsiaTheme="minorEastAsia"/>
                <w:b w:val="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43" w:type="pct"/>
                    <w:vAlign w:val="center"/>
                  </w:tcPr>
                  <w:p>
                    <w:pPr>
                      <w:widowControl w:val="0"/>
                      <w:jc w:val="both"/>
                      <w:rPr>
                        <w:rStyle w:val="97"/>
                        <w:rFonts w:ascii="Times New Roman" w:hAnsi="Times New Roman" w:cs="Times New Roman" w:eastAsiaTheme="minorEastAsia"/>
                        <w:b w:val="0"/>
                      </w:rPr>
                    </w:pPr>
                    <w:r>
                      <w:rPr>
                        <w:rFonts w:ascii="Times New Roman" w:cs="Times New Roman"/>
                      </w:rPr>
                      <w:t>合同负债</w:t>
                    </w:r>
                  </w:p>
                </w:tc>
                <w:tc>
                  <w:tcPr>
                    <w:tcW w:w="783"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35,846,125.40</w:t>
                    </w:r>
                  </w:p>
                </w:tc>
                <w:tc>
                  <w:tcPr>
                    <w:tcW w:w="471"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1.42</w:t>
                    </w:r>
                  </w:p>
                </w:tc>
                <w:tc>
                  <w:tcPr>
                    <w:tcW w:w="782"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59,871,086.74</w:t>
                    </w:r>
                  </w:p>
                </w:tc>
                <w:tc>
                  <w:tcPr>
                    <w:tcW w:w="549"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2.34</w:t>
                    </w:r>
                  </w:p>
                </w:tc>
                <w:tc>
                  <w:tcPr>
                    <w:tcW w:w="470"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-40.13</w:t>
                    </w:r>
                  </w:p>
                </w:tc>
                <w:tc>
                  <w:tcPr>
                    <w:tcW w:w="1102" w:type="pct"/>
                    <w:vAlign w:val="center"/>
                  </w:tcPr>
                  <w:p>
                    <w:pPr>
                      <w:widowControl w:val="0"/>
                      <w:jc w:val="both"/>
                      <w:rPr>
                        <w:rStyle w:val="97"/>
                        <w:rFonts w:ascii="Times New Roman" w:hAnsi="Times New Roman" w:cs="Times New Roman" w:eastAsiaTheme="minorEastAsia"/>
                        <w:b w:val="0"/>
                      </w:rPr>
                    </w:pPr>
                    <w:r>
                      <w:rPr>
                        <w:rFonts w:ascii="Times New Roman" w:cs="Times New Roman"/>
                      </w:rPr>
                      <w:t>预收货款减少</w:t>
                    </w:r>
                  </w:p>
                </w:tc>
              </w:tr>
            </w:sdtContent>
          </w:sdt>
          <w:sdt>
            <w:sdtPr>
              <w:rPr>
                <w:rStyle w:val="97"/>
                <w:rFonts w:ascii="Times New Roman" w:hAnsi="Times New Roman" w:cs="Times New Roman" w:eastAsiaTheme="minorEastAsia"/>
                <w:b w:val="0"/>
              </w:rPr>
              <w:alias w:val="资产负债状况分析"/>
              <w:tag w:val="_TUP_815ebab5da7a4ba88d97b27a17b235f3"/>
              <w:id w:val="631614"/>
              <w:lock w:val="sdtLocked"/>
            </w:sdtPr>
            <w:sdtEndPr>
              <w:rPr>
                <w:rStyle w:val="39"/>
                <w:rFonts w:ascii="Times New Roman" w:hAnsi="Times New Roman" w:eastAsia="宋体" w:cs="Times New Roman"/>
                <w:b w:val="0"/>
                <w:bCs w:val="0"/>
                <w:kern w:val="0"/>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43" w:type="pct"/>
                    <w:vAlign w:val="center"/>
                  </w:tcPr>
                  <w:p>
                    <w:pPr>
                      <w:widowControl w:val="0"/>
                      <w:jc w:val="both"/>
                      <w:rPr>
                        <w:rStyle w:val="97"/>
                        <w:rFonts w:ascii="Times New Roman" w:hAnsi="Times New Roman" w:cs="Times New Roman" w:eastAsiaTheme="minorEastAsia"/>
                        <w:b w:val="0"/>
                      </w:rPr>
                    </w:pPr>
                    <w:r>
                      <w:rPr>
                        <w:rFonts w:ascii="Times New Roman" w:cs="Times New Roman"/>
                      </w:rPr>
                      <w:t>一年内到期的非流动负债</w:t>
                    </w:r>
                  </w:p>
                </w:tc>
                <w:tc>
                  <w:tcPr>
                    <w:tcW w:w="783"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1,118,011.71</w:t>
                    </w:r>
                  </w:p>
                </w:tc>
                <w:tc>
                  <w:tcPr>
                    <w:tcW w:w="471"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0.04</w:t>
                    </w:r>
                  </w:p>
                </w:tc>
                <w:tc>
                  <w:tcPr>
                    <w:tcW w:w="782"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809,875.55</w:t>
                    </w:r>
                  </w:p>
                </w:tc>
                <w:tc>
                  <w:tcPr>
                    <w:tcW w:w="549"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0.03</w:t>
                    </w:r>
                  </w:p>
                </w:tc>
                <w:tc>
                  <w:tcPr>
                    <w:tcW w:w="470"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38.05</w:t>
                    </w:r>
                  </w:p>
                </w:tc>
                <w:tc>
                  <w:tcPr>
                    <w:tcW w:w="1102" w:type="pct"/>
                    <w:vAlign w:val="center"/>
                  </w:tcPr>
                  <w:p>
                    <w:pPr>
                      <w:widowControl w:val="0"/>
                      <w:jc w:val="both"/>
                      <w:rPr>
                        <w:rFonts w:ascii="Times New Roman" w:hAnsi="Times New Roman" w:cs="Times New Roman"/>
                      </w:rPr>
                    </w:pPr>
                    <w:r>
                      <w:rPr>
                        <w:rFonts w:ascii="Times New Roman" w:cs="Times New Roman"/>
                      </w:rPr>
                      <w:t>执行新租赁准影响，一年内到期的租赁负债增加</w:t>
                    </w:r>
                  </w:p>
                </w:tc>
              </w:tr>
            </w:sdtContent>
          </w:sdt>
          <w:sdt>
            <w:sdtPr>
              <w:rPr>
                <w:rStyle w:val="97"/>
                <w:rFonts w:ascii="Times New Roman" w:hAnsi="Times New Roman" w:cs="Times New Roman" w:eastAsiaTheme="minorEastAsia"/>
                <w:b w:val="0"/>
              </w:rPr>
              <w:alias w:val="资产负债状况分析"/>
              <w:tag w:val="_TUP_815ebab5da7a4ba88d97b27a17b235f3"/>
              <w:id w:val="631615"/>
              <w:lock w:val="sdtLocked"/>
            </w:sdtPr>
            <w:sdtEndPr>
              <w:rPr>
                <w:rStyle w:val="97"/>
                <w:rFonts w:ascii="Times New Roman" w:hAnsi="Times New Roman" w:cs="Times New Roman" w:eastAsiaTheme="minorEastAsia"/>
                <w:b w:val="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43" w:type="pct"/>
                    <w:vAlign w:val="center"/>
                  </w:tcPr>
                  <w:p>
                    <w:pPr>
                      <w:widowControl w:val="0"/>
                      <w:jc w:val="both"/>
                      <w:rPr>
                        <w:rStyle w:val="97"/>
                        <w:rFonts w:ascii="Times New Roman" w:hAnsi="Times New Roman" w:cs="Times New Roman" w:eastAsiaTheme="minorEastAsia"/>
                        <w:b w:val="0"/>
                      </w:rPr>
                    </w:pPr>
                    <w:r>
                      <w:rPr>
                        <w:rFonts w:ascii="Times New Roman" w:cs="Times New Roman"/>
                      </w:rPr>
                      <w:t>长期应付职工薪酬</w:t>
                    </w:r>
                  </w:p>
                </w:tc>
                <w:tc>
                  <w:tcPr>
                    <w:tcW w:w="783"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2,272,949.00</w:t>
                    </w:r>
                  </w:p>
                </w:tc>
                <w:tc>
                  <w:tcPr>
                    <w:tcW w:w="471"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0.09</w:t>
                    </w:r>
                  </w:p>
                </w:tc>
                <w:tc>
                  <w:tcPr>
                    <w:tcW w:w="782"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3,357,936.00</w:t>
                    </w:r>
                  </w:p>
                </w:tc>
                <w:tc>
                  <w:tcPr>
                    <w:tcW w:w="549"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0.13</w:t>
                    </w:r>
                  </w:p>
                </w:tc>
                <w:tc>
                  <w:tcPr>
                    <w:tcW w:w="470" w:type="pct"/>
                    <w:vAlign w:val="center"/>
                  </w:tcPr>
                  <w:p>
                    <w:pPr>
                      <w:widowControl w:val="0"/>
                      <w:jc w:val="right"/>
                      <w:rPr>
                        <w:rFonts w:ascii="Times New Roman" w:hAnsi="Times New Roman" w:cs="Times New Roman"/>
                        <w:sz w:val="18"/>
                        <w:szCs w:val="18"/>
                      </w:rPr>
                    </w:pPr>
                    <w:r>
                      <w:rPr>
                        <w:rFonts w:ascii="Times New Roman" w:hAnsi="Times New Roman" w:cs="Times New Roman"/>
                        <w:sz w:val="18"/>
                        <w:szCs w:val="18"/>
                      </w:rPr>
                      <w:t>-32.31</w:t>
                    </w:r>
                  </w:p>
                </w:tc>
                <w:tc>
                  <w:tcPr>
                    <w:tcW w:w="1102" w:type="pct"/>
                    <w:vAlign w:val="center"/>
                  </w:tcPr>
                  <w:p>
                    <w:pPr>
                      <w:widowControl w:val="0"/>
                      <w:jc w:val="both"/>
                      <w:rPr>
                        <w:rStyle w:val="97"/>
                        <w:rFonts w:ascii="Times New Roman" w:hAnsi="Times New Roman" w:cs="Times New Roman" w:eastAsiaTheme="minorEastAsia"/>
                        <w:b w:val="0"/>
                      </w:rPr>
                    </w:pPr>
                    <w:r>
                      <w:rPr>
                        <w:rFonts w:ascii="Times New Roman" w:cs="Times New Roman"/>
                      </w:rPr>
                      <w:t>内退人员长期福利精算减少</w:t>
                    </w:r>
                  </w:p>
                </w:tc>
              </w:tr>
            </w:sdtContent>
          </w:sdt>
        </w:tbl>
        <w:p/>
        <w:p>
          <w:pPr>
            <w:rPr>
              <w:szCs w:val="21"/>
            </w:rPr>
          </w:pPr>
        </w:p>
      </w:sdtContent>
    </w:sdt>
    <w:p>
      <w:pPr>
        <w:pStyle w:val="5"/>
        <w:numPr>
          <w:ilvl w:val="0"/>
          <w:numId w:val="12"/>
        </w:numPr>
        <w:rPr>
          <w:rFonts w:ascii="宋体" w:hAnsi="宋体" w:eastAsia="宋体" w:cs="宋体"/>
          <w:kern w:val="0"/>
          <w:szCs w:val="21"/>
        </w:rPr>
      </w:pPr>
      <w:bookmarkStart w:id="37" w:name="_Hlk89877438"/>
      <w:r>
        <w:rPr>
          <w:rFonts w:hint="eastAsia" w:ascii="宋体" w:hAnsi="宋体" w:eastAsia="宋体" w:cs="宋体"/>
          <w:kern w:val="0"/>
          <w:szCs w:val="21"/>
        </w:rPr>
        <w:t>境外资产情况</w:t>
      </w:r>
    </w:p>
    <w:sdt>
      <w:sdtPr>
        <w:rPr>
          <w:rFonts w:hint="eastAsia"/>
          <w:szCs w:val="21"/>
        </w:rPr>
        <w:alias w:val="是否适用：境外资产情况 [双击切换]"/>
        <w:tag w:val="_GBC_7c019689b55740839a263ecc68721e10"/>
        <w:id w:val="86572248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37"/>
    <w:sdt>
      <w:sdtPr>
        <w:rPr>
          <w:rFonts w:ascii="宋体" w:hAnsi="宋体" w:eastAsia="宋体" w:cs="宋体"/>
          <w:b w:val="0"/>
          <w:bCs w:val="0"/>
          <w:kern w:val="0"/>
          <w:szCs w:val="24"/>
        </w:rPr>
        <w:alias w:val="模块:截至报告期末主要资产受限情"/>
        <w:tag w:val="_SEC_cd146e80d2e14aa4aac1142579c4c36a"/>
        <w:id w:val="865722486"/>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12"/>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86572248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865722485"/>
            <w:lock w:val="sdtLocked"/>
            <w:placeholder>
              <w:docPart w:val="GBC22222222222222222222222222222"/>
            </w:placeholder>
          </w:sdtPr>
          <w:sdtEndPr>
            <w:rPr>
              <w:szCs w:val="24"/>
            </w:rPr>
          </w:sdtEndPr>
          <w:sdtContent>
            <w:p>
              <w:pPr>
                <w:rPr>
                  <w:szCs w:val="21"/>
                </w:rPr>
              </w:pPr>
            </w:p>
            <w:tbl>
              <w:tblPr>
                <w:tblStyle w:val="106"/>
                <w:tblW w:w="9513" w:type="dxa"/>
                <w:tblInd w:w="93" w:type="dxa"/>
                <w:tblLayout w:type="fixed"/>
                <w:tblCellMar>
                  <w:top w:w="0" w:type="dxa"/>
                  <w:left w:w="108" w:type="dxa"/>
                  <w:bottom w:w="0" w:type="dxa"/>
                  <w:right w:w="108" w:type="dxa"/>
                </w:tblCellMar>
              </w:tblPr>
              <w:tblGrid>
                <w:gridCol w:w="1204"/>
                <w:gridCol w:w="2072"/>
                <w:gridCol w:w="6237"/>
              </w:tblGrid>
              <w:tr>
                <w:tblPrEx>
                  <w:tblCellMar>
                    <w:top w:w="0" w:type="dxa"/>
                    <w:left w:w="108" w:type="dxa"/>
                    <w:bottom w:w="0" w:type="dxa"/>
                    <w:right w:w="108" w:type="dxa"/>
                  </w:tblCellMar>
                </w:tblPrEx>
                <w:trPr>
                  <w:trHeight w:val="507" w:hRule="atLeast"/>
                </w:trPr>
                <w:tc>
                  <w:tcPr>
                    <w:tcW w:w="120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项目</w:t>
                    </w:r>
                  </w:p>
                </w:tc>
                <w:tc>
                  <w:tcPr>
                    <w:tcW w:w="2072" w:type="dxa"/>
                    <w:tcBorders>
                      <w:top w:val="single" w:color="auto" w:sz="8" w:space="0"/>
                      <w:left w:val="nil"/>
                      <w:bottom w:val="single" w:color="auto" w:sz="8" w:space="0"/>
                      <w:right w:val="single" w:color="auto" w:sz="8" w:space="0"/>
                    </w:tcBorders>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期末账面价值</w:t>
                    </w:r>
                  </w:p>
                </w:tc>
                <w:tc>
                  <w:tcPr>
                    <w:tcW w:w="6237" w:type="dxa"/>
                    <w:tcBorders>
                      <w:top w:val="single" w:color="auto" w:sz="8" w:space="0"/>
                      <w:left w:val="nil"/>
                      <w:bottom w:val="single" w:color="auto" w:sz="8" w:space="0"/>
                      <w:right w:val="single" w:color="auto" w:sz="8" w:space="0"/>
                    </w:tcBorders>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受限原因</w:t>
                    </w:r>
                  </w:p>
                </w:tc>
              </w:tr>
              <w:tr>
                <w:tblPrEx>
                  <w:tblCellMar>
                    <w:top w:w="0" w:type="dxa"/>
                    <w:left w:w="108" w:type="dxa"/>
                    <w:bottom w:w="0" w:type="dxa"/>
                    <w:right w:w="108" w:type="dxa"/>
                  </w:tblCellMar>
                </w:tblPrEx>
                <w:trPr>
                  <w:trHeight w:val="400" w:hRule="atLeast"/>
                </w:trPr>
                <w:tc>
                  <w:tcPr>
                    <w:tcW w:w="1204"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New Roman" w:hAnsi="Times New Roman"/>
                        <w:szCs w:val="21"/>
                      </w:rPr>
                    </w:pPr>
                    <w:r>
                      <w:rPr>
                        <w:rFonts w:ascii="Times New Roman"/>
                      </w:rPr>
                      <w:t>货币资金</w:t>
                    </w:r>
                  </w:p>
                </w:tc>
                <w:tc>
                  <w:tcPr>
                    <w:tcW w:w="2072"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szCs w:val="21"/>
                      </w:rPr>
                    </w:pPr>
                    <w:r>
                      <w:rPr>
                        <w:rFonts w:ascii="Times New Roman" w:hAnsi="Times New Roman"/>
                      </w:rPr>
                      <w:t>1,612,963.94</w:t>
                    </w:r>
                  </w:p>
                </w:tc>
                <w:tc>
                  <w:tcPr>
                    <w:tcW w:w="6237" w:type="dxa"/>
                    <w:tcBorders>
                      <w:top w:val="nil"/>
                      <w:left w:val="nil"/>
                      <w:bottom w:val="single" w:color="auto" w:sz="8" w:space="0"/>
                      <w:right w:val="single" w:color="auto" w:sz="8" w:space="0"/>
                    </w:tcBorders>
                    <w:shd w:val="clear" w:color="auto" w:fill="auto"/>
                    <w:vAlign w:val="center"/>
                  </w:tcPr>
                  <w:p>
                    <w:pPr>
                      <w:rPr>
                        <w:rFonts w:ascii="Times New Roman" w:hAnsi="Times New Roman"/>
                        <w:szCs w:val="21"/>
                      </w:rPr>
                    </w:pPr>
                    <w:r>
                      <w:rPr>
                        <w:rFonts w:ascii="Times New Roman" w:hAnsi="Times New Roman"/>
                      </w:rPr>
                      <w:t> </w:t>
                    </w:r>
                    <w:r>
                      <w:rPr>
                        <w:rFonts w:ascii="Times New Roman"/>
                      </w:rPr>
                      <w:t>银行承兑汇票保证金</w:t>
                    </w:r>
                    <w:r>
                      <w:rPr>
                        <w:rFonts w:hint="eastAsia" w:ascii="Times New Roman" w:hAnsi="Times New Roman"/>
                      </w:rPr>
                      <w:t>，</w:t>
                    </w:r>
                    <w:r>
                      <w:rPr>
                        <w:rFonts w:hint="eastAsia" w:ascii="Times New Roman" w:hAnsi="Times New Roman"/>
                        <w:color w:val="000000" w:themeColor="text1"/>
                      </w:rPr>
                      <w:t>详见“七、注释</w:t>
                    </w:r>
                    <w:r>
                      <w:rPr>
                        <w:rFonts w:ascii="Times New Roman" w:hAnsi="Times New Roman"/>
                        <w:color w:val="000000" w:themeColor="text1"/>
                      </w:rPr>
                      <w:t>1、货币资金”</w:t>
                    </w:r>
                  </w:p>
                </w:tc>
              </w:tr>
              <w:tr>
                <w:tblPrEx>
                  <w:tblCellMar>
                    <w:top w:w="0" w:type="dxa"/>
                    <w:left w:w="108" w:type="dxa"/>
                    <w:bottom w:w="0" w:type="dxa"/>
                    <w:right w:w="108" w:type="dxa"/>
                  </w:tblCellMar>
                </w:tblPrEx>
                <w:trPr>
                  <w:trHeight w:val="399" w:hRule="atLeast"/>
                </w:trPr>
                <w:tc>
                  <w:tcPr>
                    <w:tcW w:w="1204"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New Roman" w:hAnsi="Times New Roman"/>
                        <w:szCs w:val="21"/>
                      </w:rPr>
                    </w:pPr>
                    <w:r>
                      <w:rPr>
                        <w:rFonts w:ascii="Times New Roman"/>
                      </w:rPr>
                      <w:t>固定资产</w:t>
                    </w:r>
                  </w:p>
                </w:tc>
                <w:tc>
                  <w:tcPr>
                    <w:tcW w:w="2072"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szCs w:val="21"/>
                      </w:rPr>
                    </w:pPr>
                    <w:r>
                      <w:rPr>
                        <w:rFonts w:ascii="Times New Roman" w:hAnsi="Times New Roman"/>
                      </w:rPr>
                      <w:t>          95,407,117.61</w:t>
                    </w:r>
                  </w:p>
                </w:tc>
                <w:tc>
                  <w:tcPr>
                    <w:tcW w:w="6237" w:type="dxa"/>
                    <w:tcBorders>
                      <w:top w:val="nil"/>
                      <w:left w:val="nil"/>
                      <w:bottom w:val="single" w:color="auto" w:sz="8" w:space="0"/>
                      <w:right w:val="single" w:color="auto" w:sz="8" w:space="0"/>
                    </w:tcBorders>
                    <w:shd w:val="clear" w:color="auto" w:fill="auto"/>
                    <w:vAlign w:val="center"/>
                  </w:tcPr>
                  <w:p>
                    <w:pPr>
                      <w:rPr>
                        <w:rFonts w:ascii="Times New Roman" w:hAnsi="Times New Roman"/>
                        <w:szCs w:val="21"/>
                      </w:rPr>
                    </w:pPr>
                    <w:r>
                      <w:rPr>
                        <w:rFonts w:ascii="Times New Roman" w:hAnsi="Times New Roman"/>
                      </w:rPr>
                      <w:t> </w:t>
                    </w:r>
                    <w:r>
                      <w:rPr>
                        <w:rFonts w:ascii="Times New Roman"/>
                      </w:rPr>
                      <w:t>银行借款抵押</w:t>
                    </w:r>
                    <w:r>
                      <w:rPr>
                        <w:rFonts w:hint="eastAsia" w:ascii="Times New Roman" w:hAnsi="Times New Roman"/>
                      </w:rPr>
                      <w:t>，详见“七、注释</w:t>
                    </w:r>
                    <w:r>
                      <w:rPr>
                        <w:rFonts w:ascii="Times New Roman" w:hAnsi="Times New Roman"/>
                      </w:rPr>
                      <w:t>32、短期借款”</w:t>
                    </w:r>
                  </w:p>
                </w:tc>
              </w:tr>
              <w:tr>
                <w:tblPrEx>
                  <w:tblCellMar>
                    <w:top w:w="0" w:type="dxa"/>
                    <w:left w:w="108" w:type="dxa"/>
                    <w:bottom w:w="0" w:type="dxa"/>
                    <w:right w:w="108" w:type="dxa"/>
                  </w:tblCellMar>
                </w:tblPrEx>
                <w:trPr>
                  <w:trHeight w:val="399" w:hRule="atLeast"/>
                </w:trPr>
                <w:tc>
                  <w:tcPr>
                    <w:tcW w:w="1204"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New Roman" w:hAnsi="Times New Roman"/>
                      </w:rPr>
                    </w:pPr>
                    <w:r>
                      <w:rPr>
                        <w:rFonts w:ascii="Times New Roman"/>
                      </w:rPr>
                      <w:t>无形资产</w:t>
                    </w:r>
                  </w:p>
                </w:tc>
                <w:tc>
                  <w:tcPr>
                    <w:tcW w:w="2072"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rPr>
                    </w:pPr>
                    <w:r>
                      <w:rPr>
                        <w:rFonts w:ascii="Times New Roman" w:hAnsi="Times New Roman"/>
                      </w:rPr>
                      <w:t>           22,968,765.87</w:t>
                    </w:r>
                  </w:p>
                </w:tc>
                <w:tc>
                  <w:tcPr>
                    <w:tcW w:w="6237" w:type="dxa"/>
                    <w:tcBorders>
                      <w:top w:val="nil"/>
                      <w:left w:val="nil"/>
                      <w:bottom w:val="single" w:color="auto" w:sz="8" w:space="0"/>
                      <w:right w:val="single" w:color="auto" w:sz="8" w:space="0"/>
                    </w:tcBorders>
                    <w:shd w:val="clear" w:color="auto" w:fill="auto"/>
                    <w:vAlign w:val="center"/>
                  </w:tcPr>
                  <w:p>
                    <w:pPr>
                      <w:rPr>
                        <w:rFonts w:ascii="Times New Roman" w:hAnsi="Times New Roman"/>
                      </w:rPr>
                    </w:pPr>
                    <w:r>
                      <w:rPr>
                        <w:rFonts w:ascii="Times New Roman" w:hAnsi="Times New Roman"/>
                      </w:rPr>
                      <w:t> </w:t>
                    </w:r>
                    <w:r>
                      <w:rPr>
                        <w:rFonts w:ascii="Times New Roman"/>
                      </w:rPr>
                      <w:t>银行借款抵押</w:t>
                    </w:r>
                    <w:r>
                      <w:rPr>
                        <w:rFonts w:hint="eastAsia" w:ascii="Times New Roman" w:hAnsi="Times New Roman"/>
                      </w:rPr>
                      <w:t>，详见“七、注释</w:t>
                    </w:r>
                    <w:r>
                      <w:rPr>
                        <w:rFonts w:ascii="Times New Roman" w:hAnsi="Times New Roman"/>
                      </w:rPr>
                      <w:t>32、短期借款”</w:t>
                    </w:r>
                  </w:p>
                </w:tc>
              </w:tr>
              <w:tr>
                <w:trPr>
                  <w:trHeight w:val="399" w:hRule="atLeast"/>
                </w:trPr>
                <w:tc>
                  <w:tcPr>
                    <w:tcW w:w="1204"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New Roman"/>
                      </w:rPr>
                    </w:pPr>
                    <w:r>
                      <w:t>固定资产</w:t>
                    </w:r>
                  </w:p>
                </w:tc>
                <w:tc>
                  <w:tcPr>
                    <w:tcW w:w="2072"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rPr>
                    </w:pPr>
                    <w:r>
                      <w:rPr>
                        <w:rFonts w:ascii="Times New Roman" w:hAnsi="Times New Roman"/>
                      </w:rPr>
                      <w:t>12,452,401.36</w:t>
                    </w:r>
                  </w:p>
                </w:tc>
                <w:tc>
                  <w:tcPr>
                    <w:tcW w:w="6237" w:type="dxa"/>
                    <w:tcBorders>
                      <w:top w:val="nil"/>
                      <w:left w:val="nil"/>
                      <w:bottom w:val="single" w:color="auto" w:sz="8" w:space="0"/>
                      <w:right w:val="single" w:color="auto" w:sz="8" w:space="0"/>
                    </w:tcBorders>
                    <w:shd w:val="clear" w:color="auto" w:fill="auto"/>
                    <w:vAlign w:val="center"/>
                  </w:tcPr>
                  <w:p>
                    <w:pPr>
                      <w:rPr>
                        <w:rFonts w:ascii="Times New Roman" w:hAnsi="Times New Roman"/>
                      </w:rPr>
                    </w:pPr>
                    <w:r>
                      <w:rPr>
                        <w:rFonts w:hint="eastAsia" w:ascii="Times New Roman" w:hAnsi="Times New Roman"/>
                      </w:rPr>
                      <w:t>子公司两面针（江苏）实业有限公司在中信银行扬州分行</w:t>
                    </w:r>
                    <w:r>
                      <w:rPr>
                        <w:rFonts w:ascii="Times New Roman" w:hAnsi="Times New Roman"/>
                      </w:rPr>
                      <w:t>2</w:t>
                    </w:r>
                    <w:r>
                      <w:rPr>
                        <w:rFonts w:hint="eastAsia" w:ascii="Times New Roman" w:hAnsi="Times New Roman"/>
                      </w:rPr>
                      <w:t>,</w:t>
                    </w:r>
                    <w:r>
                      <w:rPr>
                        <w:rFonts w:ascii="Times New Roman" w:hAnsi="Times New Roman"/>
                      </w:rPr>
                      <w:t>500万元云信凭据保理额度抵押</w:t>
                    </w:r>
                  </w:p>
                </w:tc>
              </w:tr>
              <w:tr>
                <w:tblPrEx>
                  <w:tblCellMar>
                    <w:top w:w="0" w:type="dxa"/>
                    <w:left w:w="108" w:type="dxa"/>
                    <w:bottom w:w="0" w:type="dxa"/>
                    <w:right w:w="108" w:type="dxa"/>
                  </w:tblCellMar>
                </w:tblPrEx>
                <w:trPr>
                  <w:trHeight w:val="399" w:hRule="atLeast"/>
                </w:trPr>
                <w:tc>
                  <w:tcPr>
                    <w:tcW w:w="1204" w:type="dxa"/>
                    <w:tcBorders>
                      <w:top w:val="nil"/>
                      <w:left w:val="single" w:color="auto" w:sz="8" w:space="0"/>
                      <w:bottom w:val="single" w:color="auto" w:sz="8" w:space="0"/>
                      <w:right w:val="single" w:color="auto" w:sz="8" w:space="0"/>
                    </w:tcBorders>
                    <w:shd w:val="clear" w:color="auto" w:fill="auto"/>
                    <w:vAlign w:val="center"/>
                  </w:tcPr>
                  <w:p>
                    <w:pPr>
                      <w:jc w:val="center"/>
                    </w:pPr>
                    <w:r>
                      <w:t>无形资产</w:t>
                    </w:r>
                  </w:p>
                </w:tc>
                <w:tc>
                  <w:tcPr>
                    <w:tcW w:w="2072"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rPr>
                    </w:pPr>
                    <w:r>
                      <w:rPr>
                        <w:rFonts w:ascii="Times New Roman" w:hAnsi="Times New Roman"/>
                      </w:rPr>
                      <w:t>9,161,443.58</w:t>
                    </w:r>
                  </w:p>
                </w:tc>
                <w:tc>
                  <w:tcPr>
                    <w:tcW w:w="6237" w:type="dxa"/>
                    <w:tcBorders>
                      <w:top w:val="nil"/>
                      <w:left w:val="nil"/>
                      <w:bottom w:val="single" w:color="auto" w:sz="8" w:space="0"/>
                      <w:right w:val="single" w:color="auto" w:sz="8" w:space="0"/>
                    </w:tcBorders>
                    <w:shd w:val="clear" w:color="auto" w:fill="auto"/>
                    <w:vAlign w:val="center"/>
                  </w:tcPr>
                  <w:p>
                    <w:pPr>
                      <w:rPr>
                        <w:rFonts w:ascii="Times New Roman" w:hAnsi="Times New Roman"/>
                      </w:rPr>
                    </w:pPr>
                    <w:r>
                      <w:rPr>
                        <w:rFonts w:hint="eastAsia" w:ascii="Times New Roman" w:hAnsi="Times New Roman"/>
                      </w:rPr>
                      <w:t>子公司两面针（江苏）实业有限公司在中信银行扬州分行</w:t>
                    </w:r>
                    <w:r>
                      <w:rPr>
                        <w:rFonts w:ascii="Times New Roman" w:hAnsi="Times New Roman"/>
                      </w:rPr>
                      <w:t>2</w:t>
                    </w:r>
                    <w:r>
                      <w:rPr>
                        <w:rFonts w:hint="eastAsia" w:ascii="Times New Roman" w:hAnsi="Times New Roman"/>
                      </w:rPr>
                      <w:t>,</w:t>
                    </w:r>
                    <w:r>
                      <w:rPr>
                        <w:rFonts w:ascii="Times New Roman" w:hAnsi="Times New Roman"/>
                      </w:rPr>
                      <w:t>500万元云信凭据保理额度抵押</w:t>
                    </w:r>
                  </w:p>
                </w:tc>
              </w:tr>
              <w:tr>
                <w:tblPrEx>
                  <w:tblCellMar>
                    <w:top w:w="0" w:type="dxa"/>
                    <w:left w:w="108" w:type="dxa"/>
                    <w:bottom w:w="0" w:type="dxa"/>
                    <w:right w:w="108" w:type="dxa"/>
                  </w:tblCellMar>
                </w:tblPrEx>
                <w:trPr>
                  <w:trHeight w:val="300" w:hRule="atLeast"/>
                </w:trPr>
                <w:tc>
                  <w:tcPr>
                    <w:tcW w:w="1204"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New Roman" w:hAnsi="Times New Roman"/>
                      </w:rPr>
                    </w:pPr>
                    <w:r>
                      <w:rPr>
                        <w:rFonts w:ascii="Times New Roman"/>
                      </w:rPr>
                      <w:t>合计</w:t>
                    </w:r>
                  </w:p>
                </w:tc>
                <w:tc>
                  <w:tcPr>
                    <w:tcW w:w="2072"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rPr>
                    </w:pPr>
                    <w:r>
                      <w:rPr>
                        <w:rFonts w:ascii="Times New Roman" w:hAnsi="Times New Roman"/>
                      </w:rPr>
                      <w:t>      141,602,692.72</w:t>
                    </w:r>
                  </w:p>
                </w:tc>
                <w:tc>
                  <w:tcPr>
                    <w:tcW w:w="6237" w:type="dxa"/>
                    <w:tcBorders>
                      <w:top w:val="nil"/>
                      <w:left w:val="nil"/>
                      <w:bottom w:val="single" w:color="auto" w:sz="8" w:space="0"/>
                      <w:right w:val="single" w:color="auto" w:sz="8" w:space="0"/>
                    </w:tcBorders>
                    <w:shd w:val="clear" w:color="auto" w:fill="auto"/>
                    <w:vAlign w:val="center"/>
                  </w:tcPr>
                  <w:p>
                    <w:pPr>
                      <w:rPr>
                        <w:rFonts w:ascii="Times New Roman" w:hAnsi="Times New Roman"/>
                      </w:rPr>
                    </w:pPr>
                    <w:r>
                      <w:rPr>
                        <w:rFonts w:ascii="Times New Roman" w:hAnsi="Times New Roman"/>
                      </w:rPr>
                      <w:t>/</w:t>
                    </w:r>
                  </w:p>
                </w:tc>
              </w:tr>
            </w:tbl>
            <w:p/>
          </w:sdtContent>
        </w:sdt>
      </w:sdtContent>
    </w:sdt>
    <w:p>
      <w:pPr>
        <w:rPr>
          <w:szCs w:val="21"/>
        </w:rPr>
      </w:pPr>
    </w:p>
    <w:sdt>
      <w:sdtPr>
        <w:rPr>
          <w:rFonts w:ascii="宋体" w:hAnsi="宋体" w:eastAsia="宋体" w:cs="宋体"/>
          <w:b w:val="0"/>
          <w:bCs w:val="0"/>
          <w:kern w:val="0"/>
          <w:szCs w:val="24"/>
        </w:rPr>
        <w:alias w:val="模块:其他说明"/>
        <w:tag w:val="_SEC_0a5a7a92c0314a60b3f3d11562efe5d4"/>
        <w:id w:val="865722488"/>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12"/>
            </w:numPr>
          </w:pPr>
          <w:r>
            <w:t>其他说明</w:t>
          </w:r>
        </w:p>
        <w:sdt>
          <w:sdtPr>
            <w:rPr>
              <w:rFonts w:hint="eastAsia"/>
              <w:szCs w:val="21"/>
            </w:rPr>
            <w:alias w:val="是否适用：资产及负债状况的其他说明[双击切换]"/>
            <w:tag w:val="_GBC_364e24c8cf1a4469ba88a4ae16e0417f"/>
            <w:id w:val="865722487"/>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行业经营性信息分析"/>
        <w:tag w:val="_SEC_5860c602a88b4fa29c583d556917cd48"/>
        <w:id w:val="865722491"/>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8"/>
            </w:numPr>
            <w:rPr>
              <w:szCs w:val="21"/>
            </w:rPr>
          </w:pPr>
          <w:r>
            <w:rPr>
              <w:rFonts w:hint="eastAsia"/>
              <w:szCs w:val="21"/>
            </w:rPr>
            <w:t>行业经营性信息分析</w:t>
          </w:r>
        </w:p>
        <w:sdt>
          <w:sdtPr>
            <w:rPr>
              <w:rFonts w:hint="eastAsia" w:cs="Times New Roman"/>
              <w:kern w:val="2"/>
              <w:szCs w:val="21"/>
            </w:rPr>
            <w:alias w:val="是否适用：行业经营性信息分析[双击切换]"/>
            <w:tag w:val="_GBC_8a02ac4934eb426ab273323b8694d88c"/>
            <w:id w:val="865722489"/>
            <w:lock w:val="sdtLocked"/>
            <w:placeholder>
              <w:docPart w:val="GBC22222222222222222222222222222"/>
            </w:placeholder>
          </w:sdtPr>
          <w:sdtEndPr>
            <w:rPr>
              <w:rFonts w:hint="eastAsia" w:cs="Times New Roman"/>
              <w:kern w:val="2"/>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865722490"/>
            <w:lock w:val="sdtLocked"/>
            <w:placeholder>
              <w:docPart w:val="GBC22222222222222222222222222222"/>
            </w:placeholder>
          </w:sdtPr>
          <w:sdtEndPr>
            <w:rPr>
              <w:rFonts w:hint="eastAsia"/>
              <w:szCs w:val="21"/>
            </w:rPr>
          </w:sdtEndPr>
          <w:sdtContent>
            <w:p>
              <w:pPr>
                <w:rPr>
                  <w:szCs w:val="21"/>
                </w:rPr>
              </w:pPr>
              <w:r>
                <w:rPr>
                  <w:rFonts w:hint="eastAsia"/>
                  <w:szCs w:val="21"/>
                </w:rPr>
                <w:t>详见下文</w:t>
              </w:r>
            </w:p>
          </w:sdtContent>
        </w:sdt>
        <w:p>
          <w:pPr>
            <w:rPr>
              <w:szCs w:val="21"/>
            </w:rPr>
            <w:sectPr>
              <w:pgSz w:w="11906" w:h="16838"/>
              <w:pgMar w:top="1440" w:right="1797" w:bottom="1525" w:left="1276" w:header="855" w:footer="992" w:gutter="0"/>
              <w:cols w:space="425" w:num="1"/>
              <w:docGrid w:linePitch="312" w:charSpace="0"/>
            </w:sectPr>
          </w:pPr>
        </w:p>
      </w:sdtContent>
    </w:sdt>
    <w:sdt>
      <w:sdtPr>
        <w:rPr>
          <w:rFonts w:hint="eastAsia" w:ascii="宋体" w:hAnsi="宋体" w:eastAsia="宋体" w:cs="宋体"/>
          <w:b w:val="0"/>
          <w:bCs w:val="0"/>
          <w:kern w:val="0"/>
          <w:szCs w:val="24"/>
        </w:rPr>
        <w:alias w:val="模块:化工行业经营性信息分析"/>
        <w:tag w:val="_SEC_4281594826bc4e198047a7f9811e3d2d"/>
        <w:id w:val="865722496"/>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ind w:left="360" w:hanging="360"/>
          </w:pPr>
          <w:r>
            <w:rPr>
              <w:rFonts w:hint="eastAsia"/>
            </w:rPr>
            <w:t>化工行业经营性信息分析</w:t>
          </w:r>
        </w:p>
        <w:p>
          <w:pPr>
            <w:pStyle w:val="55"/>
            <w:numPr>
              <w:ilvl w:val="0"/>
              <w:numId w:val="13"/>
            </w:numPr>
            <w:spacing w:before="60" w:after="60"/>
            <w:ind w:firstLineChars="0"/>
            <w:outlineLvl w:val="4"/>
            <w:rPr>
              <w:b/>
            </w:rPr>
          </w:pPr>
          <w:r>
            <w:rPr>
              <w:rFonts w:hint="eastAsia"/>
              <w:b/>
            </w:rPr>
            <w:t>行业基本情况</w:t>
          </w:r>
        </w:p>
        <w:p>
          <w:pPr>
            <w:spacing w:line="400" w:lineRule="exact"/>
            <w:ind w:firstLine="420" w:firstLineChars="200"/>
            <w:jc w:val="both"/>
            <w:rPr>
              <w:rFonts w:ascii="Times New Roman" w:hAnsi="Times New Roman" w:cs="Times New Roman"/>
              <w:szCs w:val="21"/>
            </w:rPr>
          </w:pPr>
          <w:r>
            <w:rPr>
              <w:rFonts w:ascii="Times New Roman" w:hAnsi="Times New Roman" w:cs="Times New Roman"/>
              <w:szCs w:val="21"/>
            </w:rPr>
            <w:t>公司</w:t>
          </w:r>
          <w:r>
            <w:rPr>
              <w:rFonts w:hint="eastAsia" w:ascii="Times New Roman" w:hAnsi="Times New Roman" w:cs="Times New Roman"/>
              <w:szCs w:val="21"/>
            </w:rPr>
            <w:t>主要从事日化用品的研发、生产和销售</w:t>
          </w:r>
          <w:r>
            <w:rPr>
              <w:rFonts w:ascii="Times New Roman" w:hAnsi="Times New Roman" w:cs="Times New Roman"/>
              <w:szCs w:val="21"/>
            </w:rPr>
            <w:t>，根据证监会《上市公司行业分类指引》（2012年修订），公司归属</w:t>
          </w:r>
          <w:r>
            <w:rPr>
              <w:rFonts w:cs="Times New Roman" w:asciiTheme="minorEastAsia" w:hAnsiTheme="minorEastAsia" w:eastAsiaTheme="minorEastAsia"/>
              <w:szCs w:val="21"/>
            </w:rPr>
            <w:t>于“化学原料</w:t>
          </w:r>
          <w:r>
            <w:rPr>
              <w:rFonts w:ascii="Times New Roman" w:hAnsi="Times New Roman" w:cs="Times New Roman"/>
              <w:szCs w:val="21"/>
            </w:rPr>
            <w:t>和化学制品制造业（C26）</w:t>
          </w:r>
          <w:r>
            <w:rPr>
              <w:rFonts w:cs="Times New Roman" w:asciiTheme="minorEastAsia" w:hAnsiTheme="minorEastAsia" w:eastAsiaTheme="minorEastAsia"/>
              <w:szCs w:val="21"/>
            </w:rPr>
            <w:t>”</w:t>
          </w:r>
          <w:r>
            <w:rPr>
              <w:rFonts w:ascii="Times New Roman" w:hAnsi="Times New Roman" w:cs="Times New Roman"/>
              <w:szCs w:val="21"/>
            </w:rPr>
            <w:t>。根据国家统计局《国民经济行业分类（GB/T 4754-2017）》，公司归属于</w:t>
          </w:r>
          <w:r>
            <w:rPr>
              <w:rFonts w:cs="Times New Roman" w:asciiTheme="minorEastAsia" w:hAnsiTheme="minorEastAsia" w:eastAsiaTheme="minorEastAsia"/>
              <w:szCs w:val="21"/>
            </w:rPr>
            <w:t>“</w:t>
          </w:r>
          <w:r>
            <w:rPr>
              <w:rFonts w:ascii="Times New Roman" w:hAnsi="Times New Roman" w:cs="Times New Roman"/>
              <w:szCs w:val="21"/>
            </w:rPr>
            <w:t>日用化学品制造业（C268）</w:t>
          </w:r>
          <w:r>
            <w:rPr>
              <w:rFonts w:cs="Times New Roman" w:asciiTheme="minorEastAsia" w:hAnsiTheme="minorEastAsia" w:eastAsiaTheme="minorEastAsia"/>
              <w:szCs w:val="21"/>
            </w:rPr>
            <w:t>”</w:t>
          </w:r>
          <w:r>
            <w:rPr>
              <w:rFonts w:hint="eastAsia" w:ascii="Times New Roman" w:hAnsi="Times New Roman" w:cs="Times New Roman"/>
              <w:szCs w:val="21"/>
            </w:rPr>
            <w:t>。</w:t>
          </w:r>
        </w:p>
        <w:p>
          <w:pPr>
            <w:spacing w:line="400" w:lineRule="exact"/>
            <w:ind w:firstLine="420" w:firstLineChars="200"/>
            <w:rPr>
              <w:b/>
            </w:rPr>
          </w:pPr>
          <w:r>
            <w:rPr>
              <w:rFonts w:hint="eastAsia" w:ascii="Times New Roman" w:hAnsi="Times New Roman" w:cs="Times New Roman"/>
              <w:szCs w:val="21"/>
            </w:rPr>
            <w:t>日用化学品</w:t>
          </w:r>
          <w:r>
            <w:rPr>
              <w:rFonts w:ascii="Times New Roman" w:hAnsi="Times New Roman" w:cs="Times New Roman"/>
              <w:szCs w:val="21"/>
            </w:rPr>
            <w:t>的生产技术成熟，市场竞争充分，行业周期性不明显。报告期内新冠疫情的区域性爆发，</w:t>
          </w:r>
          <w:r>
            <w:rPr>
              <w:rFonts w:hint="eastAsia" w:ascii="Times New Roman" w:hAnsi="Times New Roman" w:cs="Times New Roman"/>
              <w:szCs w:val="21"/>
            </w:rPr>
            <w:t>催化了产品</w:t>
          </w:r>
          <w:r>
            <w:rPr>
              <w:rFonts w:ascii="Times New Roman" w:hAnsi="Times New Roman" w:cs="Times New Roman"/>
              <w:szCs w:val="21"/>
            </w:rPr>
            <w:t>渠道的进一步变革。</w:t>
          </w:r>
        </w:p>
        <w:p>
          <w:pPr>
            <w:pStyle w:val="55"/>
            <w:numPr>
              <w:ilvl w:val="0"/>
              <w:numId w:val="14"/>
            </w:numPr>
            <w:ind w:firstLineChars="0"/>
            <w:outlineLvl w:val="5"/>
            <w:rPr>
              <w:b/>
            </w:rPr>
          </w:pPr>
          <w:r>
            <w:rPr>
              <w:b/>
            </w:rPr>
            <w:t>行业政策及其变化</w:t>
          </w:r>
        </w:p>
        <w:sdt>
          <w:sdtPr>
            <w:rPr>
              <w:rFonts w:hint="eastAsia"/>
            </w:rPr>
            <w:alias w:val="是否适用：化工行业政策及其变动[双击切换]"/>
            <w:tag w:val="_GBC_cda9e770ae9a44fdb49e4f45dfaa3356"/>
            <w:id w:val="865722492"/>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政策及其变动"/>
            <w:tag w:val="_GBC_3240c5951d294ed68ea4015baa5be749"/>
            <w:id w:val="865722493"/>
            <w:lock w:val="sdtLocked"/>
            <w:placeholder>
              <w:docPart w:val="GBC22222222222222222222222222222"/>
            </w:placeholder>
          </w:sdtPr>
          <w:sdtEndPr>
            <w:rPr>
              <w:rFonts w:hint="default" w:ascii="Times New Roman" w:hAnsi="Times New Roman" w:cs="Times New Roman"/>
              <w:color w:val="FF0000"/>
            </w:rPr>
          </w:sdtEndPr>
          <w:sdtContent>
            <w:p>
              <w:pPr>
                <w:spacing w:line="440" w:lineRule="exact"/>
                <w:ind w:firstLine="420" w:firstLineChars="200"/>
                <w:rPr>
                  <w:rFonts w:ascii="Times New Roman" w:hAnsi="Times New Roman" w:cs="Times New Roman"/>
                </w:rPr>
              </w:pPr>
              <w:r>
                <w:rPr>
                  <w:rFonts w:ascii="Times New Roman" w:cs="Times New Roman"/>
                </w:rPr>
                <w:t>国务院《化妆品监管条例》自</w:t>
              </w:r>
              <w:r>
                <w:rPr>
                  <w:rFonts w:ascii="Times New Roman" w:hAnsi="Times New Roman" w:cs="Times New Roman"/>
                </w:rPr>
                <w:t>2021</w:t>
              </w:r>
              <w:r>
                <w:rPr>
                  <w:rFonts w:ascii="Times New Roman" w:cs="Times New Roman"/>
                </w:rPr>
                <w:t>年</w:t>
              </w:r>
              <w:r>
                <w:rPr>
                  <w:rFonts w:ascii="Times New Roman" w:hAnsi="Times New Roman" w:cs="Times New Roman"/>
                </w:rPr>
                <w:t>1</w:t>
              </w:r>
              <w:r>
                <w:rPr>
                  <w:rFonts w:ascii="Times New Roman" w:cs="Times New Roman"/>
                </w:rPr>
                <w:t>月</w:t>
              </w:r>
              <w:r>
                <w:rPr>
                  <w:rFonts w:ascii="Times New Roman" w:hAnsi="Times New Roman" w:cs="Times New Roman"/>
                </w:rPr>
                <w:t>1</w:t>
              </w:r>
              <w:r>
                <w:rPr>
                  <w:rFonts w:ascii="Times New Roman" w:cs="Times New Roman"/>
                </w:rPr>
                <w:t>日起实施。现阶段，牙膏参照有关普通化妆品的规定进行管理。《牙膏监督管理办法》及配套规范，目前仍处于征求意见阶段。</w:t>
              </w:r>
            </w:p>
            <w:p>
              <w:pPr>
                <w:spacing w:line="440" w:lineRule="exact"/>
                <w:ind w:firstLine="420" w:firstLineChars="200"/>
                <w:rPr>
                  <w:rFonts w:ascii="Times New Roman" w:hAnsi="Times New Roman" w:cs="Times New Roman"/>
                  <w:color w:val="FF0000"/>
                </w:rPr>
              </w:pPr>
              <w:r>
                <w:rPr>
                  <w:rFonts w:ascii="Times New Roman" w:cs="Times New Roman"/>
                </w:rPr>
                <w:t>报告期内，中国口腔清洁护理用品工业协会对《口腔清洁护理液管理规范（草案）》进行了审查，将进一步规范漱口水等产品。</w:t>
              </w:r>
            </w:p>
          </w:sdtContent>
        </w:sdt>
        <w:p/>
        <w:p>
          <w:pPr>
            <w:pStyle w:val="55"/>
            <w:numPr>
              <w:ilvl w:val="0"/>
              <w:numId w:val="14"/>
            </w:numPr>
            <w:ind w:firstLineChars="0"/>
            <w:outlineLvl w:val="5"/>
            <w:rPr>
              <w:b/>
            </w:rPr>
          </w:pPr>
          <w:r>
            <w:rPr>
              <w:b/>
            </w:rPr>
            <w:t>主要细分行业的基本情况及公司行业地位</w:t>
          </w:r>
        </w:p>
        <w:sdt>
          <w:sdtPr>
            <w:rPr>
              <w:rFonts w:hint="eastAsia"/>
            </w:rPr>
            <w:alias w:val="是否适用：化工行业主要细分行业的基本情况及公司行业地位[双击切换]"/>
            <w:tag w:val="_GBC_0acc2e879c37428b86c2d4954e043c23"/>
            <w:id w:val="865722494"/>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cs="宋体"/>
              <w:kern w:val="0"/>
              <w:szCs w:val="24"/>
            </w:rPr>
            <w:alias w:val="化工行业主要细分行业的基本情况及公司行业地位"/>
            <w:tag w:val="_GBC_d9a22887ad144d13b5936f42325f1dab"/>
            <w:id w:val="865722495"/>
            <w:lock w:val="sdtLocked"/>
            <w:placeholder>
              <w:docPart w:val="GBC22222222222222222222222222222"/>
            </w:placeholder>
          </w:sdtPr>
          <w:sdtEndPr>
            <w:rPr>
              <w:rFonts w:hint="eastAsia" w:ascii="宋体" w:hAnsi="宋体" w:cs="宋体"/>
              <w:kern w:val="0"/>
              <w:szCs w:val="24"/>
            </w:rPr>
          </w:sdtEndPr>
          <w:sdtContent>
            <w:p>
              <w:pPr>
                <w:pStyle w:val="55"/>
                <w:ind w:left="360" w:firstLine="0" w:firstLineChars="0"/>
              </w:pPr>
              <w:r>
                <w:rPr>
                  <w:rFonts w:hint="eastAsia"/>
                </w:rPr>
                <w:t>①</w:t>
              </w:r>
              <w:r>
                <w:t>日化用品行业</w:t>
              </w:r>
            </w:p>
            <w:p>
              <w:pPr>
                <w:spacing w:line="400" w:lineRule="exact"/>
                <w:ind w:firstLine="371" w:firstLineChars="177"/>
                <w:rPr>
                  <w:rFonts w:ascii="Times New Roman" w:cs="Times New Roman"/>
                  <w:szCs w:val="21"/>
                </w:rPr>
              </w:pPr>
              <w:r>
                <w:rPr>
                  <w:rFonts w:hint="eastAsia" w:ascii="Times New Roman" w:cs="Times New Roman"/>
                  <w:szCs w:val="21"/>
                </w:rPr>
                <w:t>国家统计局数据显示，</w:t>
              </w:r>
              <w:r>
                <w:rPr>
                  <w:rFonts w:ascii="Times New Roman" w:cs="Times New Roman"/>
                  <w:szCs w:val="21"/>
                </w:rPr>
                <w:t xml:space="preserve">2021 </w:t>
              </w:r>
              <w:r>
                <w:rPr>
                  <w:rFonts w:hint="eastAsia" w:ascii="Times New Roman" w:cs="Times New Roman"/>
                  <w:szCs w:val="21"/>
                </w:rPr>
                <w:t>年社会消费品零售总额同比增长</w:t>
              </w:r>
              <w:r>
                <w:rPr>
                  <w:rFonts w:ascii="Times New Roman" w:cs="Times New Roman"/>
                  <w:szCs w:val="21"/>
                </w:rPr>
                <w:t>12.5%</w:t>
              </w:r>
              <w:r>
                <w:rPr>
                  <w:rFonts w:hint="eastAsia" w:ascii="Times New Roman" w:cs="Times New Roman"/>
                  <w:szCs w:val="21"/>
                </w:rPr>
                <w:t>。化妆品总零售额为</w:t>
              </w:r>
              <w:r>
                <w:rPr>
                  <w:rFonts w:ascii="Times New Roman" w:cs="Times New Roman"/>
                  <w:szCs w:val="21"/>
                </w:rPr>
                <w:t>4,026</w:t>
              </w:r>
              <w:r>
                <w:rPr>
                  <w:rFonts w:hint="eastAsia" w:ascii="Times New Roman" w:cs="Times New Roman"/>
                  <w:szCs w:val="21"/>
                </w:rPr>
                <w:t>亿元，同比增长</w:t>
              </w:r>
              <w:r>
                <w:rPr>
                  <w:rFonts w:ascii="Times New Roman" w:cs="Times New Roman"/>
                  <w:szCs w:val="21"/>
                </w:rPr>
                <w:t>14%</w:t>
              </w:r>
              <w:r>
                <w:rPr>
                  <w:rFonts w:hint="eastAsia" w:ascii="Times New Roman" w:cs="Times New Roman"/>
                  <w:szCs w:val="21"/>
                </w:rPr>
                <w:t>（限额以上商品零售）。日化行业整体规模持续扩大，高端产品占有较高的利润率，行业内企业较多，国际品牌与本土品牌，传统品牌与新兴品牌在国内日化市场相互竞争。各细分领域发展不均衡，各企业在产品研发、品牌宣传、市场推广、渠道争夺等多方面竞争激烈。在日化用品行业中，中药功能细分市场比重上升，中药功效型产品具有较大的市场空间。国内品牌加强研发，提高产品品质，增强消费者使用体验，树立品牌形象，依然是相当长的一段时间内日化品行业的努力方向，也是行业内企业的机会所在。</w:t>
              </w:r>
            </w:p>
            <w:p>
              <w:pPr>
                <w:spacing w:line="400" w:lineRule="exact"/>
                <w:ind w:firstLine="371" w:firstLineChars="177"/>
                <w:rPr>
                  <w:rFonts w:ascii="Calibri" w:hAnsi="Calibri" w:cs="Times New Roman"/>
                  <w:kern w:val="2"/>
                  <w:szCs w:val="22"/>
                </w:rPr>
              </w:pPr>
              <w:r>
                <w:rPr>
                  <w:rFonts w:hint="eastAsia"/>
                </w:rPr>
                <w:t>②</w:t>
              </w:r>
              <w:r>
                <w:rPr>
                  <w:rFonts w:ascii="Calibri" w:hAnsi="Calibri" w:cs="Times New Roman"/>
                  <w:kern w:val="2"/>
                  <w:szCs w:val="22"/>
                </w:rPr>
                <w:t>酒店用品行业</w:t>
              </w:r>
            </w:p>
            <w:p>
              <w:pPr>
                <w:spacing w:line="400" w:lineRule="exact"/>
                <w:ind w:firstLine="420" w:firstLineChars="200"/>
                <w:rPr>
                  <w:rFonts w:ascii="Calibri" w:hAnsi="Calibri" w:cs="Times New Roman"/>
                </w:rPr>
              </w:pPr>
              <w:r>
                <w:rPr>
                  <w:rFonts w:hint="eastAsia" w:ascii="Calibri" w:hAnsi="Calibri" w:cs="Times New Roman"/>
                </w:rPr>
                <w:t>酒店用品行业依托旅游</w:t>
              </w:r>
              <w:r>
                <w:rPr>
                  <w:rFonts w:hint="eastAsia" w:ascii="Times New Roman" w:hAnsi="Calibri" w:cs="Times New Roman"/>
                </w:rPr>
                <w:t>业发展。</w:t>
              </w:r>
              <w:r>
                <w:rPr>
                  <w:rFonts w:ascii="Times New Roman" w:hAnsi="Times New Roman" w:cs="Times New Roman"/>
                </w:rPr>
                <w:t>2021</w:t>
              </w:r>
              <w:r>
                <w:rPr>
                  <w:rFonts w:hint="eastAsia" w:ascii="Times New Roman" w:hAnsi="Calibri" w:cs="Times New Roman"/>
                </w:rPr>
                <w:t>年仍然受到疫情区域性反复爆发的影响，国家颁布《固体废料污染环境防治法》、</w:t>
              </w:r>
              <w:r>
                <w:rPr>
                  <w:rFonts w:ascii="Times New Roman" w:hAnsi="Times New Roman" w:cs="Times New Roman"/>
                </w:rPr>
                <w:t xml:space="preserve"> </w:t>
              </w:r>
              <w:r>
                <w:rPr>
                  <w:rFonts w:hint="eastAsia" w:cs="Times New Roman" w:asciiTheme="minorEastAsia" w:hAnsiTheme="minorEastAsia" w:eastAsiaTheme="minorEastAsia"/>
                </w:rPr>
                <w:t>“限塑令”等法规</w:t>
              </w:r>
              <w:r>
                <w:rPr>
                  <w:rFonts w:hint="eastAsia" w:ascii="Times New Roman" w:hAnsi="Calibri" w:cs="Times New Roman"/>
                </w:rPr>
                <w:t>政策影响</w:t>
              </w:r>
              <w:r>
                <w:rPr>
                  <w:rFonts w:hint="eastAsia" w:ascii="Calibri" w:hAnsi="Calibri" w:cs="Times New Roman"/>
                </w:rPr>
                <w:t>，酒店用品行业，尤其是酒店一次性用品细分行业面临挑战，行业面临创新、转型升级，突破发展。</w:t>
              </w:r>
            </w:p>
            <w:p>
              <w:pPr>
                <w:spacing w:line="400" w:lineRule="exact"/>
                <w:ind w:firstLine="420" w:firstLineChars="200"/>
              </w:pPr>
              <w:r>
                <w:rPr>
                  <w:rFonts w:hint="eastAsia" w:ascii="Calibri" w:hAnsi="Calibri" w:cs="Times New Roman"/>
                </w:rPr>
                <w:t>子公司江苏实业公司拥有最大的旅游牙膏生产基地，获批了江苏省中草药日化产品工程研究中心，品牌在经济型酒店领域影响力较大。虽没有权威数据，且在其他上市公司所披露的信息中，尚未找到经营同类产品的企业，但从多方分析，江苏实业公司市场占有率稳定增长，已牢牢占据酒店用品细分行业的龙头地位。</w:t>
              </w:r>
            </w:p>
            <w:p>
              <w:pPr>
                <w:spacing w:line="400" w:lineRule="exact"/>
                <w:ind w:firstLine="420" w:firstLineChars="200"/>
              </w:pPr>
            </w:p>
          </w:sdtContent>
        </w:sdt>
        <w:p/>
      </w:sdtContent>
    </w:sdt>
    <w:sdt>
      <w:sdtPr>
        <w:rPr>
          <w:rFonts w:hint="eastAsia" w:ascii="宋体" w:hAnsi="宋体" w:cs="宋体"/>
          <w:b/>
          <w:kern w:val="0"/>
          <w:szCs w:val="24"/>
        </w:rPr>
        <w:alias w:val="模块:产品与生产"/>
        <w:tag w:val="_SEC_a36254be42874af59b985efd3acf38ec"/>
        <w:id w:val="865722530"/>
        <w:lock w:val="sdtLocked"/>
        <w:placeholder>
          <w:docPart w:val="GBC22222222222222222222222222222"/>
        </w:placeholder>
      </w:sdtPr>
      <w:sdtEndPr>
        <w:rPr>
          <w:rFonts w:hint="eastAsia" w:ascii="宋体" w:hAnsi="宋体" w:cs="宋体"/>
          <w:b w:val="0"/>
          <w:kern w:val="0"/>
          <w:szCs w:val="24"/>
        </w:rPr>
      </w:sdtEndPr>
      <w:sdtContent>
        <w:p>
          <w:pPr>
            <w:pStyle w:val="55"/>
            <w:numPr>
              <w:ilvl w:val="0"/>
              <w:numId w:val="13"/>
            </w:numPr>
            <w:spacing w:before="60" w:after="60"/>
            <w:ind w:firstLineChars="0"/>
            <w:outlineLvl w:val="4"/>
            <w:rPr>
              <w:b/>
            </w:rPr>
          </w:pPr>
          <w:r>
            <w:rPr>
              <w:rFonts w:hint="eastAsia"/>
              <w:b/>
            </w:rPr>
            <w:t>产品与生产</w:t>
          </w:r>
        </w:p>
        <w:p>
          <w:pPr>
            <w:pStyle w:val="55"/>
            <w:numPr>
              <w:ilvl w:val="0"/>
              <w:numId w:val="15"/>
            </w:numPr>
            <w:ind w:firstLineChars="0"/>
            <w:outlineLvl w:val="5"/>
            <w:rPr>
              <w:b/>
            </w:rPr>
          </w:pPr>
          <w:r>
            <w:rPr>
              <w:b/>
            </w:rPr>
            <w:t>主要经营模式</w:t>
          </w:r>
        </w:p>
        <w:sdt>
          <w:sdtPr>
            <w:rPr>
              <w:rFonts w:hint="eastAsia"/>
            </w:rPr>
            <w:alias w:val="是否适用：化工行业主要经营模式[双击切换]"/>
            <w:tag w:val="_GBC_2adbff8759b1413d92034f5fede71bc9"/>
            <w:id w:val="86572249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主要经营模式"/>
            <w:tag w:val="_GBC_e07461c5d8924ae78937f679ce359f79"/>
            <w:id w:val="865722498"/>
            <w:lock w:val="sdtLocked"/>
            <w:placeholder>
              <w:docPart w:val="GBC22222222222222222222222222222"/>
            </w:placeholder>
          </w:sdtPr>
          <w:sdtEndPr>
            <w:rPr>
              <w:rFonts w:hint="eastAsia"/>
              <w:color w:val="FF0000"/>
            </w:rPr>
          </w:sdtEndPr>
          <w:sdtContent>
            <w:p>
              <w:pPr>
                <w:spacing w:line="400" w:lineRule="exact"/>
                <w:ind w:firstLine="420" w:firstLineChars="200"/>
                <w:rPr>
                  <w:rFonts w:ascii="Times New Roman" w:hAnsi="Times New Roman" w:cs="Times New Roman"/>
                  <w:szCs w:val="21"/>
                </w:rPr>
              </w:pPr>
              <w:r>
                <w:rPr>
                  <w:rFonts w:ascii="Times New Roman" w:hAnsi="Times New Roman" w:cs="Times New Roman"/>
                  <w:szCs w:val="21"/>
                </w:rPr>
                <w:t>公司采用集团统一管理、下属子公司专业化经营的管理模式。</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1.采购模式</w:t>
              </w:r>
            </w:p>
            <w:p>
              <w:pPr>
                <w:spacing w:line="400" w:lineRule="exact"/>
                <w:ind w:firstLine="420" w:firstLineChars="200"/>
                <w:rPr>
                  <w:szCs w:val="21"/>
                </w:rPr>
              </w:pPr>
              <w:r>
                <w:rPr>
                  <w:rFonts w:ascii="Times New Roman" w:hAnsi="Times New Roman" w:cs="Times New Roman"/>
                  <w:szCs w:val="21"/>
                </w:rPr>
                <w:t>原料采购采取各业务板块自主采购的模式，各业务板块根据生产需要编制采购计划，采取招标、竞争性谈判</w:t>
              </w:r>
              <w:r>
                <w:rPr>
                  <w:rFonts w:hint="eastAsia" w:ascii="Times New Roman" w:hAnsi="Times New Roman" w:cs="Times New Roman"/>
                  <w:szCs w:val="21"/>
                </w:rPr>
                <w:t>、</w:t>
              </w:r>
              <w:r>
                <w:rPr>
                  <w:rFonts w:ascii="Times New Roman" w:hAnsi="Times New Roman" w:cs="Times New Roman"/>
                  <w:szCs w:val="21"/>
                </w:rPr>
                <w:t>比质比价等不同的采购方式。</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2.生产模式</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公司以经营自主品牌为主，少量产品采用代加工的模式</w:t>
              </w:r>
              <w:r>
                <w:rPr>
                  <w:rFonts w:hint="eastAsia" w:ascii="Times New Roman" w:hAnsi="Times New Roman" w:cs="Times New Roman"/>
                  <w:szCs w:val="21"/>
                </w:rPr>
                <w:t>，</w:t>
              </w:r>
              <w:r>
                <w:rPr>
                  <w:rFonts w:ascii="Times New Roman" w:hAnsi="Times New Roman" w:cs="Times New Roman"/>
                  <w:szCs w:val="21"/>
                </w:rPr>
                <w:t>以市场为导向，采</w:t>
              </w:r>
              <w:r>
                <w:rPr>
                  <w:rFonts w:cs="Times New Roman" w:asciiTheme="minorEastAsia" w:hAnsiTheme="minorEastAsia" w:eastAsiaTheme="minorEastAsia"/>
                  <w:szCs w:val="21"/>
                </w:rPr>
                <w:t>取“以销定产”</w:t>
              </w:r>
              <w:r>
                <w:rPr>
                  <w:rFonts w:ascii="Times New Roman" w:hAnsi="Times New Roman" w:cs="Times New Roman"/>
                  <w:szCs w:val="21"/>
                </w:rPr>
                <w:t>的方式组织生产。</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3.销售模式</w:t>
              </w:r>
            </w:p>
            <w:p>
              <w:pPr>
                <w:spacing w:line="400" w:lineRule="exact"/>
                <w:ind w:firstLine="424" w:firstLineChars="202"/>
                <w:rPr>
                  <w:szCs w:val="21"/>
                </w:rPr>
              </w:pPr>
              <w:r>
                <w:rPr>
                  <w:rFonts w:hint="eastAsia"/>
                  <w:szCs w:val="21"/>
                </w:rPr>
                <w:t>公司产品的销售模式主要为线上和线下渠道相结合的方式。主要为线下的经销商渠道和</w:t>
              </w:r>
              <w:r>
                <w:rPr>
                  <w:szCs w:val="21"/>
                </w:rPr>
                <w:t>直接供货（直供）渠道</w:t>
              </w:r>
              <w:r>
                <w:rPr>
                  <w:rFonts w:hint="eastAsia"/>
                  <w:szCs w:val="21"/>
                </w:rPr>
                <w:t>。</w:t>
              </w:r>
            </w:p>
            <w:p>
              <w:pPr>
                <w:spacing w:line="400" w:lineRule="exact"/>
                <w:ind w:firstLine="424" w:firstLineChars="202"/>
                <w:rPr>
                  <w:rFonts w:ascii="Times New Roman" w:hAnsi="Times New Roman" w:cs="Times New Roman"/>
                </w:rPr>
              </w:pPr>
              <w:r>
                <w:rPr>
                  <w:rFonts w:ascii="Times New Roman" w:cs="Times New Roman"/>
                  <w:szCs w:val="21"/>
                </w:rPr>
                <w:t>（</w:t>
              </w:r>
              <w:r>
                <w:rPr>
                  <w:rFonts w:ascii="Times New Roman" w:hAnsi="Times New Roman" w:cs="Times New Roman"/>
                  <w:szCs w:val="21"/>
                </w:rPr>
                <w:t>1</w:t>
              </w:r>
              <w:r>
                <w:rPr>
                  <w:rFonts w:ascii="Times New Roman" w:cs="Times New Roman"/>
                  <w:szCs w:val="21"/>
                </w:rPr>
                <w:t>）线上渠道：主要通过自营、经销、代销模式运营，</w:t>
              </w:r>
              <w:r>
                <w:rPr>
                  <w:rFonts w:ascii="Times New Roman" w:cs="Times New Roman"/>
                </w:rPr>
                <w:t>包括天猫、淘宝、京东、抖音等电商平台，以及直播等方式。</w:t>
              </w:r>
            </w:p>
            <w:p>
              <w:pPr>
                <w:spacing w:line="400" w:lineRule="exact"/>
                <w:ind w:firstLine="424" w:firstLineChars="202"/>
                <w:rPr>
                  <w:rFonts w:ascii="Times New Roman" w:hAnsi="Times New Roman" w:cs="Times New Roman"/>
                  <w:szCs w:val="21"/>
                </w:rPr>
              </w:pPr>
              <w:r>
                <w:rPr>
                  <w:rFonts w:ascii="Times New Roman" w:cs="Times New Roman"/>
                </w:rPr>
                <w:t>（</w:t>
              </w:r>
              <w:r>
                <w:rPr>
                  <w:rFonts w:ascii="Times New Roman" w:hAnsi="Times New Roman" w:cs="Times New Roman"/>
                </w:rPr>
                <w:t>2</w:t>
              </w:r>
              <w:r>
                <w:rPr>
                  <w:rFonts w:ascii="Times New Roman" w:cs="Times New Roman"/>
                </w:rPr>
                <w:t>）线下渠道</w:t>
              </w:r>
              <w:r>
                <w:rPr>
                  <w:rFonts w:ascii="Times New Roman" w:cs="Times New Roman"/>
                  <w:szCs w:val="21"/>
                </w:rPr>
                <w:t>：主要包括</w:t>
              </w:r>
              <w:r>
                <w:rPr>
                  <w:rFonts w:ascii="Times New Roman" w:cs="Times New Roman"/>
                </w:rPr>
                <w:t>①通过经销商，将产品覆盖中小超市、便利店、小型连锁超市、酒店、药店等终端网点销售；②直接供货（直供）大型商超，连锁酒店，如大润发、银座、南城百货、汉庭酒店等。</w:t>
              </w:r>
            </w:p>
            <w:p>
              <w:pPr>
                <w:rPr>
                  <w:color w:val="FF0000"/>
                </w:rPr>
              </w:pPr>
            </w:p>
          </w:sdtContent>
        </w:sdt>
        <w:p/>
        <w:p>
          <w:pPr>
            <w:rPr>
              <w:b/>
            </w:rPr>
          </w:pPr>
          <w:r>
            <w:rPr>
              <w:rFonts w:hint="eastAsia"/>
              <w:b/>
            </w:rPr>
            <w:t>报告期内调整经营模式的主要情况</w:t>
          </w:r>
        </w:p>
        <w:sdt>
          <w:sdtPr>
            <w:rPr>
              <w:rFonts w:hint="eastAsia"/>
            </w:rPr>
            <w:alias w:val="是否适用：化工行业报告期内调整经营模式的主要情况[双击切换]"/>
            <w:tag w:val="_GBC_0c8ad1068e324b94949141ce0987c448"/>
            <w:id w:val="86572249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Pr>
            <w:pStyle w:val="55"/>
            <w:numPr>
              <w:ilvl w:val="0"/>
              <w:numId w:val="15"/>
            </w:numPr>
            <w:ind w:firstLineChars="0"/>
            <w:outlineLvl w:val="5"/>
            <w:rPr>
              <w:szCs w:val="21"/>
            </w:rPr>
          </w:pPr>
          <w:r>
            <w:rPr>
              <w:rFonts w:hint="eastAsia"/>
              <w:b/>
              <w:bCs/>
              <w:szCs w:val="21"/>
            </w:rPr>
            <w:t>主要产品</w:t>
          </w:r>
          <w:r>
            <w:rPr>
              <w:rFonts w:hint="eastAsia"/>
              <w:b/>
            </w:rPr>
            <w:t>情况</w:t>
          </w:r>
        </w:p>
        <w:sdt>
          <w:sdtPr>
            <w:rPr>
              <w:rFonts w:hint="eastAsia"/>
            </w:rPr>
            <w:alias w:val="是否适用：化工行业主要产品情况[双击切换]"/>
            <w:tag w:val="_GBC_b18776f941a54d3380182a3f0bde4d6d"/>
            <w:id w:val="865722500"/>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10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598"/>
            <w:gridCol w:w="2071"/>
            <w:gridCol w:w="1898"/>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691c62940b248cbbb1a93f80e5e0a31"/>
                <w:id w:val="865722501"/>
                <w:lock w:val="sdtLocked"/>
              </w:sdtPr>
              <w:sdtContent>
                <w:tc>
                  <w:tcPr>
                    <w:tcW w:w="1487" w:type="dxa"/>
                    <w:vAlign w:val="center"/>
                  </w:tcPr>
                  <w:p>
                    <w:pPr>
                      <w:jc w:val="center"/>
                    </w:pPr>
                    <w:r>
                      <w:rPr>
                        <w:rFonts w:hint="eastAsia"/>
                      </w:rPr>
                      <w:t>产品</w:t>
                    </w:r>
                  </w:p>
                </w:tc>
              </w:sdtContent>
            </w:sdt>
            <w:sdt>
              <w:sdtPr>
                <w:tag w:val="_PLD_7eb24d6e9a2d4fb288035b51cde451a8"/>
                <w:id w:val="865722502"/>
                <w:lock w:val="sdtLocked"/>
              </w:sdtPr>
              <w:sdtContent>
                <w:tc>
                  <w:tcPr>
                    <w:tcW w:w="1598" w:type="dxa"/>
                    <w:vAlign w:val="center"/>
                  </w:tcPr>
                  <w:p>
                    <w:pPr>
                      <w:jc w:val="center"/>
                    </w:pPr>
                    <w:r>
                      <w:rPr>
                        <w:rFonts w:hint="eastAsia"/>
                      </w:rPr>
                      <w:t>所属细分行业</w:t>
                    </w:r>
                  </w:p>
                </w:tc>
              </w:sdtContent>
            </w:sdt>
            <w:sdt>
              <w:sdtPr>
                <w:tag w:val="_PLD_eca8a5eafcc547fe96e358dd8b3fec2b"/>
                <w:id w:val="865722503"/>
                <w:lock w:val="sdtLocked"/>
              </w:sdtPr>
              <w:sdtContent>
                <w:tc>
                  <w:tcPr>
                    <w:tcW w:w="2071" w:type="dxa"/>
                    <w:vAlign w:val="center"/>
                  </w:tcPr>
                  <w:p>
                    <w:pPr>
                      <w:jc w:val="center"/>
                    </w:pPr>
                    <w:r>
                      <w:rPr>
                        <w:rFonts w:hint="eastAsia"/>
                      </w:rPr>
                      <w:t>主要上游原材料</w:t>
                    </w:r>
                  </w:p>
                </w:tc>
              </w:sdtContent>
            </w:sdt>
            <w:sdt>
              <w:sdtPr>
                <w:tag w:val="_PLD_82c56dab84a444f9919e9a9b6074fb7f"/>
                <w:id w:val="865722504"/>
                <w:lock w:val="sdtLocked"/>
              </w:sdtPr>
              <w:sdtContent>
                <w:tc>
                  <w:tcPr>
                    <w:tcW w:w="1898" w:type="dxa"/>
                    <w:vAlign w:val="center"/>
                  </w:tcPr>
                  <w:p>
                    <w:pPr>
                      <w:jc w:val="center"/>
                    </w:pPr>
                    <w:r>
                      <w:rPr>
                        <w:rFonts w:hint="eastAsia"/>
                      </w:rPr>
                      <w:t>主要下游应用领域</w:t>
                    </w:r>
                  </w:p>
                </w:tc>
              </w:sdtContent>
            </w:sdt>
            <w:sdt>
              <w:sdtPr>
                <w:tag w:val="_PLD_c56ffced6ccd4f078c49a502361ee439"/>
                <w:id w:val="865722505"/>
                <w:lock w:val="sdtLocked"/>
              </w:sdtPr>
              <w:sdtContent>
                <w:tc>
                  <w:tcPr>
                    <w:tcW w:w="1995" w:type="dxa"/>
                    <w:vAlign w:val="center"/>
                  </w:tcPr>
                  <w:p>
                    <w:pPr>
                      <w:jc w:val="center"/>
                    </w:pPr>
                    <w:r>
                      <w:rPr>
                        <w:rFonts w:hint="eastAsia"/>
                      </w:rPr>
                      <w:t>价格主要影响因素</w:t>
                    </w:r>
                  </w:p>
                </w:tc>
              </w:sdtContent>
            </w:sdt>
          </w:tr>
          <w:sdt>
            <w:sdtPr>
              <w:alias w:val="化工行业主要产品情况明细"/>
              <w:tag w:val="_TUP_e73e9170722d4d51a7c833689a0915bf"/>
              <w:id w:val="865722506"/>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pPr>
                      <w:jc w:val="center"/>
                    </w:pPr>
                    <w:r>
                      <w:t>口腔护理用品</w:t>
                    </w:r>
                  </w:p>
                </w:tc>
                <w:tc>
                  <w:tcPr>
                    <w:tcW w:w="1598" w:type="dxa"/>
                    <w:vAlign w:val="center"/>
                  </w:tcPr>
                  <w:p>
                    <w:pPr>
                      <w:jc w:val="center"/>
                    </w:pPr>
                    <w:r>
                      <w:t>日用化工</w:t>
                    </w:r>
                  </w:p>
                </w:tc>
                <w:tc>
                  <w:tcPr>
                    <w:tcW w:w="2071" w:type="dxa"/>
                    <w:vAlign w:val="center"/>
                  </w:tcPr>
                  <w:p>
                    <w:pPr>
                      <w:jc w:val="center"/>
                    </w:pPr>
                    <w:r>
                      <w:t>摩擦剂、保湿剂等化工原料、中药</w:t>
                    </w:r>
                  </w:p>
                </w:tc>
                <w:tc>
                  <w:tcPr>
                    <w:tcW w:w="1898" w:type="dxa"/>
                    <w:vAlign w:val="center"/>
                  </w:tcPr>
                  <w:p>
                    <w:pPr>
                      <w:jc w:val="center"/>
                    </w:pPr>
                    <w:r>
                      <w:t>线上、线下商场超市、经销商</w:t>
                    </w:r>
                  </w:p>
                </w:tc>
                <w:tc>
                  <w:tcPr>
                    <w:tcW w:w="1995" w:type="dxa"/>
                    <w:vAlign w:val="center"/>
                  </w:tcPr>
                  <w:p>
                    <w:pPr>
                      <w:jc w:val="center"/>
                    </w:pPr>
                    <w:r>
                      <w:t>受摩擦剂、保湿剂等化工原料、中药的价格及商超相关政策的影响</w:t>
                    </w:r>
                  </w:p>
                </w:tc>
              </w:tr>
            </w:sdtContent>
          </w:sdt>
          <w:sdt>
            <w:sdtPr>
              <w:alias w:val="化工行业主要产品情况明细"/>
              <w:tag w:val="_TUP_e73e9170722d4d51a7c833689a0915bf"/>
              <w:id w:val="865722507"/>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pPr>
                      <w:jc w:val="center"/>
                    </w:pPr>
                    <w:r>
                      <w:t>酒店用品</w:t>
                    </w:r>
                  </w:p>
                </w:tc>
                <w:tc>
                  <w:tcPr>
                    <w:tcW w:w="1598" w:type="dxa"/>
                    <w:vAlign w:val="center"/>
                  </w:tcPr>
                  <w:p>
                    <w:pPr>
                      <w:jc w:val="center"/>
                    </w:pPr>
                    <w:r>
                      <w:t>日用化工</w:t>
                    </w:r>
                  </w:p>
                </w:tc>
                <w:tc>
                  <w:tcPr>
                    <w:tcW w:w="2071" w:type="dxa"/>
                    <w:vAlign w:val="center"/>
                  </w:tcPr>
                  <w:p>
                    <w:pPr>
                      <w:jc w:val="center"/>
                    </w:pPr>
                    <w:r>
                      <w:t>透明聚丙烯、皂粒等化工原料</w:t>
                    </w:r>
                  </w:p>
                </w:tc>
                <w:tc>
                  <w:tcPr>
                    <w:tcW w:w="1898" w:type="dxa"/>
                    <w:vAlign w:val="center"/>
                  </w:tcPr>
                  <w:p>
                    <w:pPr>
                      <w:jc w:val="center"/>
                    </w:pPr>
                    <w:r>
                      <w:t>酒店</w:t>
                    </w:r>
                  </w:p>
                </w:tc>
                <w:tc>
                  <w:tcPr>
                    <w:tcW w:w="1995" w:type="dxa"/>
                    <w:vAlign w:val="center"/>
                  </w:tcPr>
                  <w:p>
                    <w:pPr>
                      <w:jc w:val="center"/>
                    </w:pPr>
                    <w:r>
                      <w:t>受透明聚丙烯、皂粒等化工原料价格波动的影响</w:t>
                    </w:r>
                  </w:p>
                </w:tc>
              </w:tr>
            </w:sdtContent>
          </w:sdt>
          <w:sdt>
            <w:sdtPr>
              <w:alias w:val="化工行业主要产品情况明细"/>
              <w:tag w:val="_TUP_e73e9170722d4d51a7c833689a0915bf"/>
              <w:id w:val="865722508"/>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pPr>
                      <w:jc w:val="center"/>
                    </w:pPr>
                    <w:r>
                      <w:t>药品</w:t>
                    </w:r>
                  </w:p>
                </w:tc>
                <w:tc>
                  <w:tcPr>
                    <w:tcW w:w="1598" w:type="dxa"/>
                    <w:vAlign w:val="center"/>
                  </w:tcPr>
                  <w:p>
                    <w:pPr>
                      <w:jc w:val="center"/>
                    </w:pPr>
                    <w:r>
                      <w:t>医药</w:t>
                    </w:r>
                  </w:p>
                </w:tc>
                <w:tc>
                  <w:tcPr>
                    <w:tcW w:w="2071" w:type="dxa"/>
                    <w:vAlign w:val="center"/>
                  </w:tcPr>
                  <w:p>
                    <w:pPr>
                      <w:jc w:val="center"/>
                    </w:pPr>
                    <w:r>
                      <w:t>银杏叶提取物及化学药品制剂</w:t>
                    </w:r>
                  </w:p>
                </w:tc>
                <w:tc>
                  <w:tcPr>
                    <w:tcW w:w="1898" w:type="dxa"/>
                    <w:vAlign w:val="center"/>
                  </w:tcPr>
                  <w:p>
                    <w:pPr>
                      <w:jc w:val="center"/>
                    </w:pPr>
                    <w:r>
                      <w:t>经销商、药店、医院</w:t>
                    </w:r>
                  </w:p>
                </w:tc>
                <w:tc>
                  <w:tcPr>
                    <w:tcW w:w="1995" w:type="dxa"/>
                    <w:vAlign w:val="center"/>
                  </w:tcPr>
                  <w:p>
                    <w:pPr>
                      <w:jc w:val="center"/>
                    </w:pPr>
                    <w:r>
                      <w:t>受银杏叶提取物及化学药品制剂的价格影响大宗采购政策的影响</w:t>
                    </w:r>
                  </w:p>
                </w:tc>
              </w:tr>
            </w:sdtContent>
          </w:sdt>
        </w:tbl>
        <w:p/>
        <w:p>
          <w:pPr>
            <w:pStyle w:val="55"/>
            <w:numPr>
              <w:ilvl w:val="0"/>
              <w:numId w:val="15"/>
            </w:numPr>
            <w:ind w:firstLineChars="0"/>
            <w:outlineLvl w:val="5"/>
            <w:rPr>
              <w:b/>
            </w:rPr>
          </w:pPr>
          <w:r>
            <w:rPr>
              <w:b/>
            </w:rPr>
            <w:t>研发创新</w:t>
          </w:r>
        </w:p>
        <w:sdt>
          <w:sdtPr>
            <w:rPr>
              <w:rFonts w:hint="eastAsia"/>
            </w:rPr>
            <w:alias w:val="是否适用：化工行业研发创新[双击切换]"/>
            <w:tag w:val="_GBC_1891ab70d37f4acdb4159ba90e8f17da"/>
            <w:id w:val="86572250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研发创新"/>
            <w:tag w:val="_GBC_f5a2263825164df38e678dd84136711c"/>
            <w:id w:val="865722510"/>
            <w:lock w:val="sdtLocked"/>
            <w:placeholder>
              <w:docPart w:val="GBC22222222222222222222222222222"/>
            </w:placeholder>
          </w:sdtPr>
          <w:sdtEndPr>
            <w:rPr>
              <w:rFonts w:hint="eastAsia"/>
            </w:rPr>
          </w:sdtEndPr>
          <w:sdtContent>
            <w:p>
              <w:pPr>
                <w:spacing w:line="400" w:lineRule="exact"/>
                <w:ind w:firstLine="424" w:firstLineChars="202"/>
                <w:rPr>
                  <w:rFonts w:ascii="Times New Roman" w:hAnsi="Times New Roman" w:cs="Times New Roman"/>
                  <w:szCs w:val="21"/>
                </w:rPr>
              </w:pPr>
              <w:r>
                <w:rPr>
                  <w:rFonts w:hint="eastAsia" w:ascii="Times New Roman" w:cs="Times New Roman"/>
                  <w:szCs w:val="21"/>
                </w:rPr>
                <w:t>公司坚持以中药技术研发和应用为核心，坚持自主产品研发，打造差异化竞争优势。</w:t>
              </w:r>
            </w:p>
            <w:p>
              <w:pPr>
                <w:spacing w:line="400" w:lineRule="exact"/>
                <w:ind w:firstLine="424" w:firstLineChars="202"/>
                <w:rPr>
                  <w:rFonts w:ascii="Times New Roman" w:hAnsi="Times New Roman" w:cs="Times New Roman"/>
                  <w:szCs w:val="21"/>
                </w:rPr>
              </w:pPr>
              <w:r>
                <w:rPr>
                  <w:rFonts w:hint="eastAsia" w:ascii="Times New Roman" w:cs="Times New Roman"/>
                  <w:szCs w:val="21"/>
                </w:rPr>
                <w:t>由公司牵头承担的项</w:t>
              </w:r>
              <w:r>
                <w:rPr>
                  <w:rFonts w:hint="eastAsia" w:cs="Times New Roman" w:asciiTheme="minorEastAsia" w:hAnsiTheme="minorEastAsia" w:eastAsiaTheme="minorEastAsia"/>
                  <w:szCs w:val="21"/>
                </w:rPr>
                <w:t>目“两面针产业发展关键技术研究开发与应用”获得</w:t>
              </w:r>
              <w:r>
                <w:rPr>
                  <w:rFonts w:ascii="Times New Roman" w:hAnsi="Times New Roman" w:cs="Times New Roman"/>
                  <w:szCs w:val="21"/>
                </w:rPr>
                <w:t>2020</w:t>
              </w:r>
              <w:r>
                <w:rPr>
                  <w:rFonts w:hint="eastAsia" w:ascii="Times New Roman" w:cs="Times New Roman"/>
                  <w:szCs w:val="21"/>
                </w:rPr>
                <w:t>年度广西科技进步二等奖，</w:t>
              </w:r>
              <w:r>
                <w:rPr>
                  <w:rFonts w:ascii="Times New Roman" w:hAnsi="Times New Roman" w:cs="Times New Roman"/>
                  <w:szCs w:val="21"/>
                </w:rPr>
                <w:t>“</w:t>
              </w:r>
              <w:r>
                <w:rPr>
                  <w:rFonts w:hint="eastAsia" w:ascii="Times New Roman" w:cs="Times New Roman"/>
                  <w:szCs w:val="21"/>
                </w:rPr>
                <w:t>中药两面针及其在日化产品中的应用研究</w:t>
              </w:r>
              <w:r>
                <w:rPr>
                  <w:rFonts w:ascii="Times New Roman" w:hAnsi="Times New Roman" w:cs="Times New Roman"/>
                  <w:szCs w:val="21"/>
                </w:rPr>
                <w:t>”</w:t>
              </w:r>
              <w:r>
                <w:rPr>
                  <w:rFonts w:hint="eastAsia" w:ascii="Times New Roman" w:cs="Times New Roman"/>
                  <w:szCs w:val="21"/>
                </w:rPr>
                <w:t>获得</w:t>
              </w:r>
              <w:r>
                <w:rPr>
                  <w:rFonts w:ascii="Times New Roman" w:hAnsi="Times New Roman" w:cs="Times New Roman"/>
                  <w:szCs w:val="21"/>
                </w:rPr>
                <w:t>2020</w:t>
              </w:r>
              <w:r>
                <w:rPr>
                  <w:rFonts w:hint="eastAsia" w:ascii="Times New Roman" w:cs="Times New Roman"/>
                  <w:szCs w:val="21"/>
                </w:rPr>
                <w:t>年度广西科技进步二等奖，</w:t>
              </w:r>
              <w:r>
                <w:rPr>
                  <w:rFonts w:ascii="Times New Roman" w:hAnsi="Times New Roman" w:cs="Times New Roman"/>
                  <w:szCs w:val="21"/>
                </w:rPr>
                <w:t>2021</w:t>
              </w:r>
              <w:r>
                <w:rPr>
                  <w:rFonts w:hint="eastAsia" w:ascii="Times New Roman" w:cs="Times New Roman"/>
                  <w:szCs w:val="21"/>
                </w:rPr>
                <w:t>年江苏省轻工协会科学技术进步三等奖等多项省部级和市厅级科技奖励。本年度，股份公司（母公司）与亿康公司分别荣获</w:t>
              </w:r>
              <w:r>
                <w:rPr>
                  <w:rFonts w:cs="Times New Roman" w:asciiTheme="minorEastAsia" w:hAnsiTheme="minorEastAsia" w:eastAsiaTheme="minorEastAsia"/>
                  <w:szCs w:val="21"/>
                </w:rPr>
                <w:t>“</w:t>
              </w:r>
              <w:r>
                <w:rPr>
                  <w:rFonts w:hint="eastAsia" w:cs="Times New Roman" w:asciiTheme="minorEastAsia" w:hAnsiTheme="minorEastAsia" w:eastAsiaTheme="minorEastAsia"/>
                  <w:szCs w:val="21"/>
                </w:rPr>
                <w:t>广西高新技术企业百强</w:t>
              </w:r>
              <w:r>
                <w:rPr>
                  <w:rFonts w:cs="Times New Roman" w:asciiTheme="minorEastAsia" w:hAnsiTheme="minorEastAsia" w:eastAsiaTheme="minorEastAsia"/>
                  <w:szCs w:val="21"/>
                </w:rPr>
                <w:t>”</w:t>
              </w:r>
              <w:r>
                <w:rPr>
                  <w:rFonts w:hint="eastAsia" w:cs="Times New Roman" w:asciiTheme="minorEastAsia" w:hAnsiTheme="minorEastAsia" w:eastAsiaTheme="minorEastAsia"/>
                  <w:szCs w:val="21"/>
                </w:rPr>
                <w:t>称</w:t>
              </w:r>
              <w:r>
                <w:rPr>
                  <w:rFonts w:hint="eastAsia" w:ascii="Times New Roman" w:cs="Times New Roman"/>
                  <w:szCs w:val="21"/>
                </w:rPr>
                <w:t>号。</w:t>
              </w:r>
            </w:p>
            <w:p>
              <w:pPr>
                <w:spacing w:line="400" w:lineRule="exact"/>
                <w:ind w:firstLine="424" w:firstLineChars="202"/>
                <w:rPr>
                  <w:rFonts w:ascii="Times New Roman" w:hAnsi="Times New Roman" w:cs="Times New Roman"/>
                </w:rPr>
              </w:pPr>
              <w:r>
                <w:rPr>
                  <w:rFonts w:hint="eastAsia" w:ascii="Times New Roman" w:hAnsi="Times New Roman" w:cs="Times New Roman"/>
                  <w:szCs w:val="21"/>
                </w:rPr>
                <w:t>新品开发和产品升级：</w:t>
              </w:r>
              <w:r>
                <w:rPr>
                  <w:rFonts w:ascii="Times New Roman" w:hAnsi="Times New Roman" w:cs="Times New Roman"/>
                  <w:szCs w:val="21"/>
                </w:rPr>
                <w:t>2021</w:t>
              </w:r>
              <w:r>
                <w:rPr>
                  <w:rFonts w:hint="eastAsia" w:ascii="Times New Roman" w:hAnsi="Times New Roman" w:cs="Times New Roman"/>
                  <w:szCs w:val="21"/>
                </w:rPr>
                <w:t>年，口腔类产品共完成青蒿液体牙膏、青蒿漱口水、紫荆花漱口水、出口英国碳白牙膏等新品研发与升级项目</w:t>
              </w:r>
              <w:r>
                <w:rPr>
                  <w:rFonts w:ascii="Times New Roman" w:hAnsi="Times New Roman" w:cs="Times New Roman"/>
                  <w:szCs w:val="21"/>
                </w:rPr>
                <w:t>21</w:t>
              </w:r>
              <w:r>
                <w:rPr>
                  <w:rFonts w:hint="eastAsia" w:ascii="Times New Roman" w:hAnsi="Times New Roman" w:cs="Times New Roman"/>
                  <w:szCs w:val="21"/>
                </w:rPr>
                <w:t>项；洗化类产品</w:t>
              </w:r>
              <w:r>
                <w:rPr>
                  <w:rFonts w:hint="eastAsia" w:ascii="Times New Roman" w:cs="Times New Roman"/>
                </w:rPr>
                <w:t>共完成青蒿香氛沐浴露、青蒿除菌防霉除螨洗衣液、青蒿洗衣凝珠等青蒿系列产品、苍术全效香氛洗衣液、紫荆花浓缩洗衣液等新品研发与升级项目</w:t>
              </w:r>
              <w:r>
                <w:rPr>
                  <w:rFonts w:ascii="Times New Roman" w:hAnsi="Times New Roman" w:cs="Times New Roman"/>
                </w:rPr>
                <w:t>15</w:t>
              </w:r>
              <w:r>
                <w:rPr>
                  <w:rFonts w:hint="eastAsia" w:ascii="Times New Roman" w:cs="Times New Roman"/>
                </w:rPr>
                <w:t>项。积极推进口腔产品的开发和升级，同时把技术优势扩大到洗化领域，支持洗化发展。</w:t>
              </w:r>
            </w:p>
            <w:p>
              <w:pPr>
                <w:spacing w:line="400" w:lineRule="exact"/>
                <w:ind w:firstLine="424" w:firstLineChars="202"/>
                <w:rPr>
                  <w:rFonts w:ascii="Times New Roman" w:hAnsi="Times New Roman" w:cs="Times New Roman"/>
                  <w:szCs w:val="21"/>
                </w:rPr>
              </w:pPr>
              <w:r>
                <w:rPr>
                  <w:rFonts w:hint="eastAsia" w:ascii="Times New Roman" w:hAnsi="Times New Roman" w:cs="Times New Roman"/>
                  <w:szCs w:val="21"/>
                </w:rPr>
                <w:t>推进基础研究：对提取工艺、两面针药材药用部位、牙膏防腐体系、口腔微生态等</w:t>
              </w:r>
              <w:r>
                <w:rPr>
                  <w:rFonts w:ascii="Times New Roman" w:hAnsi="Times New Roman" w:cs="Times New Roman"/>
                  <w:szCs w:val="21"/>
                </w:rPr>
                <w:t>14</w:t>
              </w:r>
              <w:r>
                <w:rPr>
                  <w:rFonts w:hint="eastAsia" w:ascii="Times New Roman" w:hAnsi="Times New Roman" w:cs="Times New Roman"/>
                  <w:szCs w:val="21"/>
                </w:rPr>
                <w:t>个基础项目开展了研究工作，为技术工艺、质量安全、产品升级换代等提供良好保障。</w:t>
              </w:r>
            </w:p>
            <w:p>
              <w:pPr>
                <w:spacing w:line="400" w:lineRule="exact"/>
                <w:ind w:firstLine="424" w:firstLineChars="202"/>
                <w:rPr>
                  <w:rFonts w:ascii="Times New Roman" w:hAnsi="Times New Roman" w:cs="Times New Roman"/>
                  <w:szCs w:val="21"/>
                </w:rPr>
              </w:pPr>
              <w:r>
                <w:rPr>
                  <w:rFonts w:hint="eastAsia" w:ascii="Times New Roman" w:hAnsi="Times New Roman" w:cs="Times New Roman"/>
                  <w:szCs w:val="21"/>
                </w:rPr>
                <w:t>本年度获得《中药组合物在制备沐浴剂中的应用》和《中药组合物在制备护肤品中的应用》</w:t>
              </w:r>
              <w:r>
                <w:rPr>
                  <w:rFonts w:ascii="Times New Roman" w:hAnsi="Times New Roman" w:cs="Times New Roman"/>
                  <w:szCs w:val="21"/>
                </w:rPr>
                <w:t>2</w:t>
              </w:r>
              <w:r>
                <w:rPr>
                  <w:rFonts w:hint="eastAsia" w:ascii="Times New Roman" w:hAnsi="Times New Roman" w:cs="Times New Roman"/>
                  <w:szCs w:val="21"/>
                </w:rPr>
                <w:t>件发明专利授权。</w:t>
              </w:r>
            </w:p>
            <w:p>
              <w:pPr>
                <w:spacing w:line="400" w:lineRule="exact"/>
                <w:ind w:firstLine="424" w:firstLineChars="202"/>
              </w:pPr>
            </w:p>
          </w:sdtContent>
        </w:sdt>
        <w:p>
          <w:pPr>
            <w:pStyle w:val="55"/>
            <w:numPr>
              <w:ilvl w:val="0"/>
              <w:numId w:val="15"/>
            </w:numPr>
            <w:ind w:firstLineChars="0"/>
            <w:outlineLvl w:val="5"/>
            <w:rPr>
              <w:b/>
            </w:rPr>
          </w:pPr>
          <w:r>
            <w:rPr>
              <w:rFonts w:hint="eastAsia"/>
              <w:b/>
            </w:rPr>
            <w:t>生产工艺与流程</w:t>
          </w:r>
        </w:p>
        <w:sdt>
          <w:sdtPr>
            <w:rPr>
              <w:rFonts w:hint="eastAsia"/>
            </w:rPr>
            <w:alias w:val="是否适用：化工行业生产工艺与流程[双击切换]"/>
            <w:tag w:val="_GBC_160544600adc4d3bafa32fbf696b0c7f"/>
            <w:id w:val="865722511"/>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生产工艺与流程"/>
            <w:tag w:val="_GBC_4c01c84dfdf745a7a2283ec539411919"/>
            <w:id w:val="865722512"/>
            <w:lock w:val="sdtLocked"/>
            <w:placeholder>
              <w:docPart w:val="GBC22222222222222222222222222222"/>
            </w:placeholder>
          </w:sdtPr>
          <w:sdtEndPr>
            <w:rPr>
              <w:rFonts w:hint="eastAsia"/>
            </w:rPr>
          </w:sdtEndPr>
          <w:sdtContent>
            <w:p>
              <w:pPr>
                <w:jc w:val="center"/>
              </w:pPr>
              <w:r>
                <w:rPr>
                  <w:rFonts w:hint="eastAsia"/>
                </w:rPr>
                <w:drawing>
                  <wp:inline distT="0" distB="0" distL="0" distR="0">
                    <wp:extent cx="4238625" cy="5124450"/>
                    <wp:effectExtent l="19050" t="0" r="9525" b="0"/>
                    <wp:docPr id="1" name="图片 0" descr="微信图片_20190402173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190402173145.png"/>
                            <pic:cNvPicPr>
                              <a:picLocks noChangeAspect="1"/>
                            </pic:cNvPicPr>
                          </pic:nvPicPr>
                          <pic:blipFill>
                            <a:blip r:embed="rId6" cstate="print"/>
                            <a:stretch>
                              <a:fillRect/>
                            </a:stretch>
                          </pic:blipFill>
                          <pic:spPr>
                            <a:xfrm>
                              <a:off x="0" y="0"/>
                              <a:ext cx="4238625" cy="5124450"/>
                            </a:xfrm>
                            <a:prstGeom prst="rect">
                              <a:avLst/>
                            </a:prstGeom>
                          </pic:spPr>
                        </pic:pic>
                      </a:graphicData>
                    </a:graphic>
                  </wp:inline>
                </w:drawing>
              </w:r>
            </w:p>
          </w:sdtContent>
        </w:sdt>
        <w:p/>
        <w:p>
          <w:pPr>
            <w:pStyle w:val="55"/>
            <w:numPr>
              <w:ilvl w:val="0"/>
              <w:numId w:val="15"/>
            </w:numPr>
            <w:ind w:firstLineChars="0"/>
            <w:outlineLvl w:val="5"/>
            <w:rPr>
              <w:b/>
            </w:rPr>
          </w:pPr>
          <w:r>
            <w:rPr>
              <w:rFonts w:hint="eastAsia"/>
              <w:b/>
            </w:rPr>
            <w:t xml:space="preserve"> 产能与开工情况</w:t>
          </w:r>
        </w:p>
        <w:sdt>
          <w:sdtPr>
            <w:rPr>
              <w:rFonts w:hint="eastAsia"/>
            </w:rPr>
            <w:alias w:val="是否适用：化工行业产能与开工情况[双击切换]"/>
            <w:tag w:val="_GBC_7fcddd3465e74e51a60c044b6840cf90"/>
            <w:id w:val="865722513"/>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化工行业产能与开工情况"/>
              <w:tag w:val="_GBC_e0d8a820826949a8a23b28f40e8e17d4"/>
              <w:id w:val="8657225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 xml:space="preserve">  币种：</w:t>
          </w:r>
          <w:sdt>
            <w:sdtPr>
              <w:rPr>
                <w:rFonts w:hint="eastAsia"/>
              </w:rPr>
              <w:alias w:val="币种：化工行业产能与开工情况"/>
              <w:tag w:val="_GBC_19d01b6d35ae4fe88697cdba9b6a0683"/>
              <w:id w:val="865722515"/>
              <w:lock w:val="sdtLocked"/>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1701"/>
            <w:gridCol w:w="1137"/>
            <w:gridCol w:w="1276"/>
            <w:gridCol w:w="1187"/>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bde564c7ed24cdda815e98c33f4b962"/>
                <w:id w:val="865722516"/>
                <w:lock w:val="sdtLocked"/>
              </w:sdtPr>
              <w:sdtContent>
                <w:tc>
                  <w:tcPr>
                    <w:tcW w:w="1156" w:type="pct"/>
                    <w:vAlign w:val="center"/>
                  </w:tcPr>
                  <w:p>
                    <w:pPr>
                      <w:jc w:val="center"/>
                    </w:pPr>
                    <w:r>
                      <w:rPr>
                        <w:rFonts w:hint="eastAsia"/>
                      </w:rPr>
                      <w:t>主要厂区或项目</w:t>
                    </w:r>
                  </w:p>
                </w:tc>
              </w:sdtContent>
            </w:sdt>
            <w:sdt>
              <w:sdtPr>
                <w:tag w:val="_PLD_d6f825bb96404b8688d9002b440ab613"/>
                <w:id w:val="865722517"/>
                <w:lock w:val="sdtLocked"/>
              </w:sdtPr>
              <w:sdtContent>
                <w:tc>
                  <w:tcPr>
                    <w:tcW w:w="940" w:type="pct"/>
                    <w:vAlign w:val="center"/>
                  </w:tcPr>
                  <w:p>
                    <w:pPr>
                      <w:jc w:val="center"/>
                    </w:pPr>
                    <w:r>
                      <w:rPr>
                        <w:rFonts w:hint="eastAsia"/>
                      </w:rPr>
                      <w:t>设计产能</w:t>
                    </w:r>
                  </w:p>
                </w:tc>
              </w:sdtContent>
            </w:sdt>
            <w:sdt>
              <w:sdtPr>
                <w:tag w:val="_PLD_5eec35a8383d467fae7084d5ce960990"/>
                <w:id w:val="865722518"/>
                <w:lock w:val="sdtLocked"/>
              </w:sdtPr>
              <w:sdtContent>
                <w:tc>
                  <w:tcPr>
                    <w:tcW w:w="628" w:type="pct"/>
                    <w:vAlign w:val="center"/>
                  </w:tcPr>
                  <w:p>
                    <w:pPr>
                      <w:jc w:val="center"/>
                    </w:pPr>
                    <w:r>
                      <w:rPr>
                        <w:rFonts w:hint="eastAsia"/>
                      </w:rPr>
                      <w:t>产能利用率（%）</w:t>
                    </w:r>
                  </w:p>
                </w:tc>
              </w:sdtContent>
            </w:sdt>
            <w:sdt>
              <w:sdtPr>
                <w:tag w:val="_PLD_460d126f29a84066872aff7474852db4"/>
                <w:id w:val="865722519"/>
                <w:lock w:val="sdtLocked"/>
              </w:sdtPr>
              <w:sdtContent>
                <w:tc>
                  <w:tcPr>
                    <w:tcW w:w="705" w:type="pct"/>
                    <w:vAlign w:val="center"/>
                  </w:tcPr>
                  <w:p>
                    <w:pPr>
                      <w:jc w:val="center"/>
                    </w:pPr>
                    <w:r>
                      <w:rPr>
                        <w:rFonts w:hint="eastAsia"/>
                      </w:rPr>
                      <w:t>在建产能</w:t>
                    </w:r>
                  </w:p>
                </w:tc>
              </w:sdtContent>
            </w:sdt>
            <w:tc>
              <w:tcPr>
                <w:tcW w:w="656" w:type="pct"/>
                <w:vAlign w:val="center"/>
              </w:tcPr>
              <w:sdt>
                <w:sdtPr>
                  <w:rPr>
                    <w:rFonts w:hint="eastAsia"/>
                  </w:rPr>
                  <w:tag w:val="_PLD_b2dd8a456973425d93ed77f0d5a7ede2"/>
                  <w:id w:val="865722520"/>
                  <w:lock w:val="sdtLocked"/>
                </w:sdtPr>
                <w:sdtEndPr>
                  <w:rPr>
                    <w:rFonts w:hint="eastAsia"/>
                  </w:rPr>
                </w:sdtEndPr>
                <w:sdtContent>
                  <w:p>
                    <w:pPr>
                      <w:jc w:val="center"/>
                    </w:pPr>
                    <w:r>
                      <w:rPr>
                        <w:rFonts w:hint="eastAsia"/>
                      </w:rPr>
                      <w:t>在建产能已投资额</w:t>
                    </w:r>
                  </w:p>
                </w:sdtContent>
              </w:sdt>
            </w:tc>
            <w:sdt>
              <w:sdtPr>
                <w:tag w:val="_PLD_55ffa9d0bf6b40d3b04465b4ab39ae00"/>
                <w:id w:val="865722521"/>
                <w:lock w:val="sdtLocked"/>
              </w:sdtPr>
              <w:sdtContent>
                <w:tc>
                  <w:tcPr>
                    <w:tcW w:w="915" w:type="pct"/>
                    <w:vAlign w:val="center"/>
                  </w:tcPr>
                  <w:p>
                    <w:pPr>
                      <w:jc w:val="center"/>
                    </w:pPr>
                    <w:r>
                      <w:rPr>
                        <w:rFonts w:hint="eastAsia"/>
                      </w:rPr>
                      <w:t>在建产能预计完工时间</w:t>
                    </w:r>
                  </w:p>
                </w:tc>
              </w:sdtContent>
            </w:sdt>
          </w:tr>
          <w:sdt>
            <w:sdtPr>
              <w:rPr>
                <w:rFonts w:ascii="Times New Roman" w:hAnsi="Times New Roman" w:cs="Times New Roman"/>
              </w:rPr>
              <w:alias w:val="化工行业产能与开工情况明细"/>
              <w:tag w:val="_TUP_c374bb1451894ca08d3adb0494cba6e5"/>
              <w:id w:val="865722522"/>
              <w:lock w:val="sdtLocked"/>
            </w:sdtPr>
            <w:sdtEndPr>
              <w:rPr>
                <w:rFonts w:ascii="宋体" w:hAnsi="宋体" w:cs="宋体"/>
                <w:color w:val="FF000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pct"/>
                    <w:vAlign w:val="center"/>
                  </w:tcPr>
                  <w:p>
                    <w:pPr>
                      <w:jc w:val="center"/>
                      <w:rPr>
                        <w:rFonts w:ascii="Times New Roman" w:hAnsi="Times New Roman" w:cs="Times New Roman"/>
                      </w:rPr>
                    </w:pPr>
                    <w:r>
                      <w:rPr>
                        <w:rFonts w:ascii="Times New Roman" w:cs="Times New Roman"/>
                      </w:rPr>
                      <w:t>柳州厂区家用牙膏</w:t>
                    </w:r>
                  </w:p>
                </w:tc>
                <w:tc>
                  <w:tcPr>
                    <w:tcW w:w="940" w:type="pct"/>
                    <w:vAlign w:val="center"/>
                  </w:tcPr>
                  <w:p>
                    <w:pPr>
                      <w:jc w:val="right"/>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.386</w:t>
                    </w:r>
                    <w:r>
                      <w:rPr>
                        <w:rFonts w:ascii="Times New Roman" w:cs="Times New Roman"/>
                        <w:szCs w:val="21"/>
                      </w:rPr>
                      <w:t>亿支</w:t>
                    </w:r>
                    <w:r>
                      <w:rPr>
                        <w:rFonts w:ascii="Times New Roman" w:hAnsi="Times New Roman" w:cs="Times New Roman"/>
                        <w:szCs w:val="21"/>
                      </w:rPr>
                      <w:t>/</w:t>
                    </w:r>
                    <w:r>
                      <w:rPr>
                        <w:rFonts w:ascii="Times New Roman" w:cs="Times New Roman"/>
                        <w:szCs w:val="21"/>
                      </w:rPr>
                      <w:t>年</w:t>
                    </w:r>
                  </w:p>
                </w:tc>
                <w:tc>
                  <w:tcPr>
                    <w:tcW w:w="628" w:type="pct"/>
                    <w:vAlign w:val="center"/>
                  </w:tcPr>
                  <w:p>
                    <w:pPr>
                      <w:tabs>
                        <w:tab w:val="left" w:pos="921"/>
                      </w:tabs>
                      <w:spacing w:line="500" w:lineRule="exact"/>
                      <w:ind w:right="36" w:rightChars="17"/>
                      <w:jc w:val="right"/>
                      <w:rPr>
                        <w:rFonts w:ascii="Times New Roman" w:hAnsi="Times New Roman" w:cs="Times New Roman"/>
                        <w:szCs w:val="21"/>
                      </w:rPr>
                    </w:pPr>
                    <w:r>
                      <w:rPr>
                        <w:rFonts w:ascii="Times New Roman" w:hAnsi="Times New Roman" w:cs="Times New Roman"/>
                        <w:szCs w:val="21"/>
                      </w:rPr>
                      <w:t>26.78</w:t>
                    </w:r>
                  </w:p>
                </w:tc>
                <w:tc>
                  <w:tcPr>
                    <w:tcW w:w="705" w:type="pct"/>
                    <w:tcBorders>
                      <w:bottom w:val="single" w:color="auto" w:sz="4" w:space="0"/>
                    </w:tcBorders>
                    <w:vAlign w:val="center"/>
                  </w:tcPr>
                  <w:p>
                    <w:pPr>
                      <w:jc w:val="center"/>
                      <w:rPr>
                        <w:color w:val="FF0000"/>
                      </w:rPr>
                    </w:pPr>
                    <w:r>
                      <w:t>无</w:t>
                    </w:r>
                  </w:p>
                </w:tc>
                <w:tc>
                  <w:tcPr>
                    <w:tcW w:w="656" w:type="pct"/>
                    <w:tcBorders>
                      <w:bottom w:val="single" w:color="auto" w:sz="4" w:space="0"/>
                    </w:tcBorders>
                    <w:vAlign w:val="center"/>
                  </w:tcPr>
                  <w:p>
                    <w:pPr>
                      <w:jc w:val="center"/>
                      <w:rPr>
                        <w:color w:val="FF0000"/>
                      </w:rPr>
                    </w:pPr>
                    <w:r>
                      <w:t>/</w:t>
                    </w:r>
                  </w:p>
                </w:tc>
                <w:tc>
                  <w:tcPr>
                    <w:tcW w:w="915" w:type="pct"/>
                    <w:tcBorders>
                      <w:bottom w:val="single" w:color="auto" w:sz="4" w:space="0"/>
                    </w:tcBorders>
                    <w:vAlign w:val="center"/>
                  </w:tcPr>
                  <w:p>
                    <w:pPr>
                      <w:jc w:val="center"/>
                      <w:rPr>
                        <w:color w:val="FF0000"/>
                      </w:rPr>
                    </w:pPr>
                    <w:r>
                      <w:t>/</w:t>
                    </w:r>
                  </w:p>
                </w:tc>
              </w:tr>
            </w:sdtContent>
          </w:sdt>
          <w:sdt>
            <w:sdtPr>
              <w:rPr>
                <w:rFonts w:ascii="Times New Roman" w:hAnsi="Times New Roman" w:cs="Times New Roman"/>
              </w:rPr>
              <w:alias w:val="化工行业产能与开工情况明细"/>
              <w:tag w:val="_TUP_c374bb1451894ca08d3adb0494cba6e5"/>
              <w:id w:val="865722523"/>
              <w:lock w:val="sdtLocked"/>
            </w:sdtPr>
            <w:sdtEndPr>
              <w:rPr>
                <w:rFonts w:ascii="宋体" w:hAnsi="宋体" w:cs="宋体"/>
                <w:color w:val="FF000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jc w:val="center"/>
                      <w:rPr>
                        <w:rFonts w:ascii="Times New Roman" w:hAnsi="Times New Roman" w:cs="Times New Roman"/>
                      </w:rPr>
                    </w:pPr>
                    <w:r>
                      <w:rPr>
                        <w:rFonts w:ascii="Times New Roman" w:cs="Times New Roman"/>
                      </w:rPr>
                      <w:t>酒店用品</w:t>
                    </w:r>
                    <w:r>
                      <w:rPr>
                        <w:rFonts w:ascii="Times New Roman" w:hAnsi="Times New Roman" w:cs="Times New Roman"/>
                      </w:rPr>
                      <w:t>-</w:t>
                    </w:r>
                    <w:r>
                      <w:rPr>
                        <w:rFonts w:ascii="Times New Roman" w:cs="Times New Roman"/>
                      </w:rPr>
                      <w:t>牙膏车间</w:t>
                    </w:r>
                  </w:p>
                </w:tc>
                <w:tc>
                  <w:tcPr>
                    <w:tcW w:w="940" w:type="pct"/>
                    <w:vAlign w:val="center"/>
                  </w:tcPr>
                  <w:p>
                    <w:pPr>
                      <w:jc w:val="right"/>
                      <w:rPr>
                        <w:rFonts w:ascii="Times New Roman" w:hAnsi="Times New Roman" w:cs="Times New Roman"/>
                        <w:szCs w:val="21"/>
                      </w:rPr>
                    </w:pPr>
                    <w:r>
                      <w:rPr>
                        <w:rFonts w:hint="eastAsia" w:ascii="Times New Roman" w:hAnsi="Times New Roman" w:cs="Times New Roman"/>
                        <w:szCs w:val="21"/>
                      </w:rPr>
                      <w:t>18.9</w:t>
                    </w:r>
                    <w:r>
                      <w:rPr>
                        <w:rFonts w:ascii="Times New Roman" w:cs="Times New Roman"/>
                        <w:szCs w:val="21"/>
                      </w:rPr>
                      <w:t>亿支</w:t>
                    </w:r>
                    <w:r>
                      <w:rPr>
                        <w:rFonts w:ascii="Times New Roman" w:hAnsi="Times New Roman" w:cs="Times New Roman"/>
                        <w:szCs w:val="21"/>
                      </w:rPr>
                      <w:t>/</w:t>
                    </w:r>
                    <w:r>
                      <w:rPr>
                        <w:rFonts w:ascii="Times New Roman" w:cs="Times New Roman"/>
                        <w:szCs w:val="21"/>
                      </w:rPr>
                      <w:t>年</w:t>
                    </w:r>
                  </w:p>
                </w:tc>
                <w:tc>
                  <w:tcPr>
                    <w:tcW w:w="628" w:type="pct"/>
                    <w:vAlign w:val="center"/>
                  </w:tcPr>
                  <w:p>
                    <w:pPr>
                      <w:jc w:val="right"/>
                      <w:rPr>
                        <w:rFonts w:ascii="Times New Roman" w:hAnsi="Times New Roman" w:cs="Times New Roman"/>
                        <w:szCs w:val="21"/>
                      </w:rPr>
                    </w:pPr>
                    <w:r>
                      <w:rPr>
                        <w:rFonts w:ascii="Times New Roman" w:hAnsi="Times New Roman" w:cs="Times New Roman"/>
                        <w:szCs w:val="21"/>
                      </w:rPr>
                      <w:t>65</w:t>
                    </w:r>
                    <w:r>
                      <w:rPr>
                        <w:rFonts w:hint="eastAsia" w:ascii="Times New Roman" w:hAnsi="Times New Roman" w:cs="Times New Roman"/>
                        <w:szCs w:val="21"/>
                      </w:rPr>
                      <w:t>.00</w:t>
                    </w:r>
                  </w:p>
                </w:tc>
                <w:tc>
                  <w:tcPr>
                    <w:tcW w:w="705" w:type="pct"/>
                    <w:vAlign w:val="center"/>
                  </w:tcPr>
                  <w:p>
                    <w:pPr>
                      <w:jc w:val="center"/>
                      <w:rPr>
                        <w:color w:val="FF0000"/>
                      </w:rPr>
                    </w:pPr>
                    <w:r>
                      <w:t>无</w:t>
                    </w:r>
                  </w:p>
                </w:tc>
                <w:tc>
                  <w:tcPr>
                    <w:tcW w:w="656" w:type="pct"/>
                    <w:vAlign w:val="center"/>
                  </w:tcPr>
                  <w:p>
                    <w:pPr>
                      <w:jc w:val="center"/>
                      <w:rPr>
                        <w:color w:val="FF0000"/>
                      </w:rPr>
                    </w:pPr>
                    <w:r>
                      <w:t>/</w:t>
                    </w:r>
                  </w:p>
                </w:tc>
                <w:tc>
                  <w:tcPr>
                    <w:tcW w:w="915" w:type="pct"/>
                    <w:vAlign w:val="center"/>
                  </w:tcPr>
                  <w:p>
                    <w:pPr>
                      <w:jc w:val="center"/>
                      <w:rPr>
                        <w:color w:val="FF0000"/>
                      </w:rPr>
                    </w:pPr>
                    <w:r>
                      <w:t>/</w:t>
                    </w:r>
                  </w:p>
                </w:tc>
              </w:tr>
            </w:sdtContent>
          </w:sdt>
          <w:sdt>
            <w:sdtPr>
              <w:rPr>
                <w:rFonts w:ascii="Times New Roman" w:hAnsi="Times New Roman" w:cs="Times New Roman"/>
              </w:rPr>
              <w:alias w:val="化工行业产能与开工情况明细"/>
              <w:tag w:val="_TUP_c374bb1451894ca08d3adb0494cba6e5"/>
              <w:id w:val="865722524"/>
              <w:lock w:val="sdtLocked"/>
            </w:sdtPr>
            <w:sdtEndPr>
              <w:rPr>
                <w:rFonts w:ascii="宋体" w:hAnsi="宋体" w:cs="宋体"/>
                <w:color w:val="FF000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jc w:val="center"/>
                      <w:rPr>
                        <w:rFonts w:ascii="Times New Roman" w:hAnsi="Times New Roman" w:cs="Times New Roman"/>
                      </w:rPr>
                    </w:pPr>
                    <w:r>
                      <w:rPr>
                        <w:rFonts w:ascii="Times New Roman" w:cs="Times New Roman"/>
                      </w:rPr>
                      <w:t>酒店用品</w:t>
                    </w:r>
                    <w:r>
                      <w:rPr>
                        <w:rFonts w:ascii="Times New Roman" w:hAnsi="Times New Roman" w:cs="Times New Roman"/>
                      </w:rPr>
                      <w:t>-</w:t>
                    </w:r>
                    <w:r>
                      <w:rPr>
                        <w:rFonts w:ascii="Times New Roman" w:cs="Times New Roman"/>
                      </w:rPr>
                      <w:t>洗化车间（袋装）</w:t>
                    </w:r>
                  </w:p>
                </w:tc>
                <w:tc>
                  <w:tcPr>
                    <w:tcW w:w="940" w:type="pct"/>
                    <w:vAlign w:val="center"/>
                  </w:tcPr>
                  <w:p>
                    <w:pPr>
                      <w:jc w:val="right"/>
                      <w:rPr>
                        <w:rFonts w:ascii="Times New Roman" w:hAnsi="Times New Roman" w:cs="Times New Roman"/>
                        <w:szCs w:val="21"/>
                      </w:rPr>
                    </w:pPr>
                    <w:r>
                      <w:rPr>
                        <w:rFonts w:ascii="Times New Roman" w:hAnsi="Times New Roman" w:cs="Times New Roman"/>
                        <w:szCs w:val="21"/>
                      </w:rPr>
                      <w:t>2.6</w:t>
                    </w:r>
                    <w:r>
                      <w:rPr>
                        <w:rFonts w:ascii="Times New Roman" w:cs="Times New Roman"/>
                        <w:szCs w:val="21"/>
                      </w:rPr>
                      <w:t>亿袋</w:t>
                    </w:r>
                    <w:r>
                      <w:rPr>
                        <w:rFonts w:ascii="Times New Roman" w:hAnsi="Times New Roman" w:cs="Times New Roman"/>
                        <w:szCs w:val="21"/>
                      </w:rPr>
                      <w:t>/</w:t>
                    </w:r>
                    <w:r>
                      <w:rPr>
                        <w:rFonts w:ascii="Times New Roman" w:cs="Times New Roman"/>
                        <w:szCs w:val="21"/>
                      </w:rPr>
                      <w:t>年</w:t>
                    </w:r>
                  </w:p>
                </w:tc>
                <w:tc>
                  <w:tcPr>
                    <w:tcW w:w="628" w:type="pct"/>
                    <w:vAlign w:val="center"/>
                  </w:tcPr>
                  <w:p>
                    <w:pPr>
                      <w:jc w:val="right"/>
                      <w:rPr>
                        <w:rFonts w:ascii="Times New Roman" w:hAnsi="Times New Roman" w:cs="Times New Roman"/>
                        <w:szCs w:val="21"/>
                      </w:rPr>
                    </w:pPr>
                    <w:r>
                      <w:rPr>
                        <w:rFonts w:ascii="Times New Roman" w:hAnsi="Times New Roman" w:cs="Times New Roman"/>
                        <w:szCs w:val="21"/>
                      </w:rPr>
                      <w:t>57</w:t>
                    </w:r>
                    <w:r>
                      <w:rPr>
                        <w:rFonts w:hint="eastAsia" w:ascii="Times New Roman" w:hAnsi="Times New Roman" w:cs="Times New Roman"/>
                        <w:szCs w:val="21"/>
                      </w:rPr>
                      <w:t>.00</w:t>
                    </w:r>
                  </w:p>
                </w:tc>
                <w:tc>
                  <w:tcPr>
                    <w:tcW w:w="705" w:type="pct"/>
                    <w:vAlign w:val="center"/>
                  </w:tcPr>
                  <w:p>
                    <w:pPr>
                      <w:jc w:val="center"/>
                      <w:rPr>
                        <w:color w:val="FF0000"/>
                      </w:rPr>
                    </w:pPr>
                    <w:r>
                      <w:t>无</w:t>
                    </w:r>
                  </w:p>
                </w:tc>
                <w:tc>
                  <w:tcPr>
                    <w:tcW w:w="656" w:type="pct"/>
                    <w:vAlign w:val="center"/>
                  </w:tcPr>
                  <w:p>
                    <w:pPr>
                      <w:jc w:val="center"/>
                      <w:rPr>
                        <w:color w:val="FF0000"/>
                      </w:rPr>
                    </w:pPr>
                    <w:r>
                      <w:t>/</w:t>
                    </w:r>
                  </w:p>
                </w:tc>
                <w:tc>
                  <w:tcPr>
                    <w:tcW w:w="915" w:type="pct"/>
                    <w:vAlign w:val="center"/>
                  </w:tcPr>
                  <w:p>
                    <w:pPr>
                      <w:jc w:val="center"/>
                      <w:rPr>
                        <w:color w:val="FF0000"/>
                      </w:rPr>
                    </w:pPr>
                    <w:r>
                      <w:t>/</w:t>
                    </w:r>
                  </w:p>
                </w:tc>
              </w:tr>
            </w:sdtContent>
          </w:sdt>
          <w:sdt>
            <w:sdtPr>
              <w:rPr>
                <w:rFonts w:ascii="Times New Roman" w:hAnsi="Times New Roman" w:cs="Times New Roman"/>
              </w:rPr>
              <w:alias w:val="化工行业产能与开工情况明细"/>
              <w:tag w:val="_TUP_c374bb1451894ca08d3adb0494cba6e5"/>
              <w:id w:val="865722525"/>
              <w:lock w:val="sdtLocked"/>
            </w:sdtPr>
            <w:sdtEndPr>
              <w:rPr>
                <w:rFonts w:ascii="宋体" w:hAnsi="宋体" w:cs="宋体"/>
                <w:color w:val="FF000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jc w:val="center"/>
                      <w:rPr>
                        <w:rFonts w:ascii="Times New Roman" w:hAnsi="Times New Roman" w:cs="Times New Roman"/>
                      </w:rPr>
                    </w:pPr>
                    <w:r>
                      <w:rPr>
                        <w:rFonts w:ascii="Times New Roman" w:cs="Times New Roman"/>
                      </w:rPr>
                      <w:t>酒店用品</w:t>
                    </w:r>
                    <w:r>
                      <w:rPr>
                        <w:rFonts w:ascii="Times New Roman" w:hAnsi="Times New Roman" w:cs="Times New Roman"/>
                      </w:rPr>
                      <w:t>-</w:t>
                    </w:r>
                    <w:r>
                      <w:rPr>
                        <w:rFonts w:ascii="Times New Roman" w:cs="Times New Roman"/>
                      </w:rPr>
                      <w:t>洗化车间（软管</w:t>
                    </w:r>
                    <w:r>
                      <w:rPr>
                        <w:rFonts w:ascii="Times New Roman" w:hAnsi="Times New Roman" w:cs="Times New Roman"/>
                      </w:rPr>
                      <w:t>/</w:t>
                    </w:r>
                    <w:r>
                      <w:rPr>
                        <w:rFonts w:ascii="Times New Roman" w:cs="Times New Roman"/>
                      </w:rPr>
                      <w:t>瓶装）</w:t>
                    </w:r>
                  </w:p>
                </w:tc>
                <w:tc>
                  <w:tcPr>
                    <w:tcW w:w="940" w:type="pct"/>
                    <w:vAlign w:val="center"/>
                  </w:tcPr>
                  <w:p>
                    <w:pPr>
                      <w:jc w:val="right"/>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6</w:t>
                    </w:r>
                    <w:r>
                      <w:rPr>
                        <w:rFonts w:ascii="Times New Roman" w:cs="Times New Roman"/>
                        <w:szCs w:val="21"/>
                      </w:rPr>
                      <w:t>亿支</w:t>
                    </w:r>
                    <w:r>
                      <w:rPr>
                        <w:rFonts w:ascii="Times New Roman" w:hAnsi="Times New Roman" w:cs="Times New Roman"/>
                        <w:szCs w:val="21"/>
                      </w:rPr>
                      <w:t>/</w:t>
                    </w:r>
                    <w:r>
                      <w:rPr>
                        <w:rFonts w:ascii="Times New Roman" w:cs="Times New Roman"/>
                        <w:szCs w:val="21"/>
                      </w:rPr>
                      <w:t>年</w:t>
                    </w:r>
                  </w:p>
                </w:tc>
                <w:tc>
                  <w:tcPr>
                    <w:tcW w:w="628" w:type="pct"/>
                    <w:vAlign w:val="center"/>
                  </w:tcPr>
                  <w:p>
                    <w:pPr>
                      <w:jc w:val="right"/>
                      <w:rPr>
                        <w:rFonts w:ascii="Times New Roman" w:hAnsi="Times New Roman" w:cs="Times New Roman"/>
                        <w:szCs w:val="21"/>
                      </w:rPr>
                    </w:pPr>
                    <w:r>
                      <w:rPr>
                        <w:rFonts w:ascii="Times New Roman" w:hAnsi="Times New Roman" w:cs="Times New Roman"/>
                        <w:szCs w:val="21"/>
                      </w:rPr>
                      <w:t>52</w:t>
                    </w:r>
                    <w:r>
                      <w:rPr>
                        <w:rFonts w:hint="eastAsia" w:ascii="Times New Roman" w:hAnsi="Times New Roman" w:cs="Times New Roman"/>
                        <w:szCs w:val="21"/>
                      </w:rPr>
                      <w:t>.00</w:t>
                    </w:r>
                  </w:p>
                </w:tc>
                <w:tc>
                  <w:tcPr>
                    <w:tcW w:w="705" w:type="pct"/>
                    <w:vAlign w:val="center"/>
                  </w:tcPr>
                  <w:p>
                    <w:pPr>
                      <w:jc w:val="center"/>
                      <w:rPr>
                        <w:color w:val="FF0000"/>
                      </w:rPr>
                    </w:pPr>
                    <w:r>
                      <w:t>无</w:t>
                    </w:r>
                  </w:p>
                </w:tc>
                <w:tc>
                  <w:tcPr>
                    <w:tcW w:w="656" w:type="pct"/>
                    <w:vAlign w:val="center"/>
                  </w:tcPr>
                  <w:p>
                    <w:pPr>
                      <w:jc w:val="center"/>
                      <w:rPr>
                        <w:color w:val="FF0000"/>
                      </w:rPr>
                    </w:pPr>
                    <w:r>
                      <w:t>/</w:t>
                    </w:r>
                  </w:p>
                </w:tc>
                <w:tc>
                  <w:tcPr>
                    <w:tcW w:w="915" w:type="pct"/>
                    <w:vAlign w:val="center"/>
                  </w:tcPr>
                  <w:p>
                    <w:pPr>
                      <w:jc w:val="center"/>
                      <w:rPr>
                        <w:color w:val="FF0000"/>
                      </w:rPr>
                    </w:pPr>
                    <w:r>
                      <w:t>/</w:t>
                    </w:r>
                  </w:p>
                </w:tc>
              </w:tr>
            </w:sdtContent>
          </w:sdt>
          <w:sdt>
            <w:sdtPr>
              <w:rPr>
                <w:rFonts w:ascii="Times New Roman" w:hAnsi="Times New Roman" w:cs="Times New Roman"/>
              </w:rPr>
              <w:alias w:val="化工行业产能与开工情况明细"/>
              <w:tag w:val="_TUP_c374bb1451894ca08d3adb0494cba6e5"/>
              <w:id w:val="865722526"/>
              <w:lock w:val="sdtLocked"/>
            </w:sdtPr>
            <w:sdtEndPr>
              <w:rPr>
                <w:rFonts w:ascii="宋体" w:hAnsi="宋体" w:cs="宋体"/>
                <w:color w:val="FF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vAlign w:val="center"/>
                  </w:tcPr>
                  <w:p>
                    <w:pPr>
                      <w:jc w:val="center"/>
                      <w:rPr>
                        <w:rFonts w:ascii="Times New Roman" w:hAnsi="Times New Roman" w:cs="Times New Roman"/>
                      </w:rPr>
                    </w:pPr>
                    <w:r>
                      <w:rPr>
                        <w:rFonts w:ascii="Times New Roman" w:cs="Times New Roman"/>
                      </w:rPr>
                      <w:t>医药</w:t>
                    </w:r>
                    <w:r>
                      <w:rPr>
                        <w:rFonts w:ascii="Times New Roman" w:hAnsi="Times New Roman" w:cs="Times New Roman"/>
                      </w:rPr>
                      <w:t>-</w:t>
                    </w:r>
                    <w:r>
                      <w:rPr>
                        <w:rFonts w:ascii="Times New Roman" w:cs="Times New Roman"/>
                      </w:rPr>
                      <w:t>胶囊剂生产线</w:t>
                    </w:r>
                  </w:p>
                </w:tc>
                <w:tc>
                  <w:tcPr>
                    <w:tcW w:w="940" w:type="pct"/>
                    <w:vAlign w:val="center"/>
                  </w:tcPr>
                  <w:p>
                    <w:pPr>
                      <w:jc w:val="right"/>
                      <w:rPr>
                        <w:rFonts w:ascii="Times New Roman" w:hAnsi="Times New Roman" w:cs="Times New Roman"/>
                        <w:szCs w:val="21"/>
                      </w:rPr>
                    </w:pPr>
                    <w:r>
                      <w:rPr>
                        <w:rFonts w:ascii="Times New Roman" w:hAnsi="Times New Roman" w:cs="Times New Roman"/>
                        <w:szCs w:val="21"/>
                      </w:rPr>
                      <w:t>60,000</w:t>
                    </w:r>
                    <w:r>
                      <w:rPr>
                        <w:rFonts w:ascii="Times New Roman" w:cs="Times New Roman"/>
                        <w:szCs w:val="21"/>
                      </w:rPr>
                      <w:t>万粒</w:t>
                    </w:r>
                    <w:r>
                      <w:rPr>
                        <w:rFonts w:ascii="Times New Roman" w:hAnsi="Times New Roman" w:cs="Times New Roman"/>
                        <w:szCs w:val="21"/>
                      </w:rPr>
                      <w:t>/</w:t>
                    </w:r>
                    <w:r>
                      <w:rPr>
                        <w:rFonts w:ascii="Times New Roman" w:cs="Times New Roman"/>
                        <w:szCs w:val="21"/>
                      </w:rPr>
                      <w:t>年</w:t>
                    </w:r>
                  </w:p>
                </w:tc>
                <w:tc>
                  <w:tcPr>
                    <w:tcW w:w="628" w:type="pct"/>
                    <w:vAlign w:val="center"/>
                  </w:tcPr>
                  <w:p>
                    <w:pPr>
                      <w:jc w:val="right"/>
                      <w:rPr>
                        <w:rFonts w:ascii="Times New Roman" w:hAnsi="Times New Roman" w:cs="Times New Roman"/>
                        <w:szCs w:val="21"/>
                      </w:rPr>
                    </w:pPr>
                    <w:r>
                      <w:rPr>
                        <w:rFonts w:ascii="Times New Roman" w:hAnsi="Times New Roman" w:cs="Times New Roman"/>
                        <w:szCs w:val="21"/>
                      </w:rPr>
                      <w:t>39.95</w:t>
                    </w:r>
                  </w:p>
                </w:tc>
                <w:tc>
                  <w:tcPr>
                    <w:tcW w:w="705" w:type="pct"/>
                    <w:tcBorders>
                      <w:bottom w:val="single" w:color="auto" w:sz="4" w:space="0"/>
                    </w:tcBorders>
                    <w:vAlign w:val="center"/>
                  </w:tcPr>
                  <w:p>
                    <w:pPr>
                      <w:jc w:val="center"/>
                      <w:rPr>
                        <w:color w:val="FF0000"/>
                        <w:szCs w:val="21"/>
                      </w:rPr>
                    </w:pPr>
                    <w:r>
                      <w:rPr>
                        <w:rFonts w:hint="eastAsia"/>
                        <w:color w:val="000000"/>
                        <w:szCs w:val="21"/>
                      </w:rPr>
                      <w:t>无</w:t>
                    </w:r>
                  </w:p>
                </w:tc>
                <w:tc>
                  <w:tcPr>
                    <w:tcW w:w="656" w:type="pct"/>
                    <w:tcBorders>
                      <w:bottom w:val="single" w:color="auto" w:sz="4" w:space="0"/>
                    </w:tcBorders>
                    <w:vAlign w:val="center"/>
                  </w:tcPr>
                  <w:p>
                    <w:pPr>
                      <w:jc w:val="center"/>
                      <w:rPr>
                        <w:color w:val="FF0000"/>
                        <w:szCs w:val="21"/>
                      </w:rPr>
                    </w:pPr>
                    <w:r>
                      <w:rPr>
                        <w:rFonts w:hint="eastAsia"/>
                        <w:color w:val="000000"/>
                        <w:szCs w:val="21"/>
                      </w:rPr>
                      <w:t>/</w:t>
                    </w:r>
                  </w:p>
                </w:tc>
                <w:tc>
                  <w:tcPr>
                    <w:tcW w:w="915" w:type="pct"/>
                    <w:tcBorders>
                      <w:bottom w:val="single" w:color="auto" w:sz="4" w:space="0"/>
                    </w:tcBorders>
                    <w:vAlign w:val="center"/>
                  </w:tcPr>
                  <w:p>
                    <w:pPr>
                      <w:jc w:val="center"/>
                      <w:rPr>
                        <w:color w:val="FF0000"/>
                        <w:szCs w:val="21"/>
                      </w:rPr>
                    </w:pPr>
                    <w:r>
                      <w:rPr>
                        <w:rFonts w:hint="eastAsia"/>
                        <w:color w:val="000000"/>
                        <w:szCs w:val="21"/>
                      </w:rPr>
                      <w:t>/</w:t>
                    </w:r>
                  </w:p>
                </w:tc>
              </w:tr>
            </w:sdtContent>
          </w:sdt>
        </w:tbl>
        <w:p/>
        <w:p>
          <w:pPr>
            <w:rPr>
              <w:b/>
            </w:rPr>
          </w:pPr>
          <w:r>
            <w:rPr>
              <w:rFonts w:hint="eastAsia"/>
              <w:b/>
            </w:rPr>
            <w:t>生产能力的增减情况</w:t>
          </w:r>
        </w:p>
        <w:sdt>
          <w:sdtPr>
            <w:rPr>
              <w:rFonts w:hint="eastAsia" w:cs="Times New Roman"/>
              <w:kern w:val="2"/>
              <w:szCs w:val="21"/>
            </w:rPr>
            <w:alias w:val="是否适用：化工行业生产能力的增减情况[双击切换]"/>
            <w:tag w:val="_GBC_ce3d5f34e62c4c0baaffbe7945201f7d"/>
            <w:id w:val="865722527"/>
            <w:lock w:val="sdtLocked"/>
            <w:placeholder>
              <w:docPart w:val="GBC22222222222222222222222222222"/>
            </w:placeholder>
          </w:sdtPr>
          <w:sdtEndPr>
            <w:rPr>
              <w:rFonts w:hint="eastAsia" w:cs="Times New Roman"/>
              <w:kern w:val="2"/>
              <w:szCs w:val="21"/>
            </w:rPr>
          </w:sdtEndPr>
          <w:sdtContent>
            <w:p>
              <w:pPr>
                <w:rPr>
                  <w:color w:val="FF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r>
            <w:rPr>
              <w:rFonts w:hint="eastAsia"/>
              <w:b/>
            </w:rPr>
            <w:t>产品线及产能结构优化的调整情况</w:t>
          </w:r>
        </w:p>
        <w:sdt>
          <w:sdtPr>
            <w:rPr>
              <w:rFonts w:hint="eastAsia"/>
            </w:rPr>
            <w:alias w:val="是否适用：化工行业产品线及产能结构优化的调整情况[双击切换]"/>
            <w:tag w:val="_GBC_8c2fa0443c2943a2a9acb61b5eb34853"/>
            <w:id w:val="865722528"/>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Pr>
            <w:rPr>
              <w:b/>
            </w:rPr>
          </w:pPr>
          <w:r>
            <w:rPr>
              <w:rFonts w:hint="eastAsia"/>
              <w:b/>
            </w:rPr>
            <w:t>非正常停产情况</w:t>
          </w:r>
        </w:p>
        <w:sdt>
          <w:sdtPr>
            <w:rPr>
              <w:rFonts w:hint="eastAsia"/>
            </w:rPr>
            <w:alias w:val="是否适用：化工行业非正常停产情况[双击切换]"/>
            <w:tag w:val="_GBC_d2f5ce48ddda4523a292e8d473bd29bb"/>
            <w:id w:val="86572252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kern w:val="0"/>
          <w:szCs w:val="24"/>
        </w:rPr>
        <w:alias w:val="模块:原材料采购"/>
        <w:tag w:val="_SEC_9988bcefa412451a84734305c165948c"/>
        <w:id w:val="865722546"/>
        <w:lock w:val="sdtLocked"/>
        <w:placeholder>
          <w:docPart w:val="GBC22222222222222222222222222222"/>
        </w:placeholder>
      </w:sdtPr>
      <w:sdtEndPr>
        <w:rPr>
          <w:rFonts w:hint="eastAsia" w:ascii="宋体" w:hAnsi="宋体" w:cs="宋体"/>
          <w:kern w:val="0"/>
          <w:szCs w:val="24"/>
        </w:rPr>
      </w:sdtEndPr>
      <w:sdtContent>
        <w:p>
          <w:pPr>
            <w:pStyle w:val="55"/>
            <w:numPr>
              <w:ilvl w:val="0"/>
              <w:numId w:val="13"/>
            </w:numPr>
            <w:spacing w:before="60" w:after="60"/>
            <w:ind w:firstLineChars="0"/>
            <w:outlineLvl w:val="4"/>
            <w:rPr>
              <w:b/>
            </w:rPr>
          </w:pPr>
          <w:r>
            <w:rPr>
              <w:rFonts w:hint="eastAsia"/>
              <w:b/>
            </w:rPr>
            <w:t>原材料采购</w:t>
          </w:r>
        </w:p>
        <w:p>
          <w:pPr>
            <w:pStyle w:val="55"/>
            <w:numPr>
              <w:ilvl w:val="0"/>
              <w:numId w:val="16"/>
            </w:numPr>
            <w:ind w:firstLineChars="0"/>
            <w:outlineLvl w:val="5"/>
            <w:rPr>
              <w:b/>
            </w:rPr>
          </w:pPr>
          <w:r>
            <w:rPr>
              <w:rFonts w:hint="eastAsia"/>
              <w:b/>
            </w:rPr>
            <w:t>主要原材料的基本情况</w:t>
          </w:r>
        </w:p>
        <w:sdt>
          <w:sdtPr>
            <w:rPr>
              <w:rFonts w:hint="eastAsia"/>
            </w:rPr>
            <w:alias w:val="是否适用：化工行业主要原材料的基本情况[双击切换]"/>
            <w:tag w:val="_GBC_6b1034a948704fff974a92cdf60af8fd"/>
            <w:id w:val="865722531"/>
            <w:lock w:val="sdtLocked"/>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558"/>
            <w:gridCol w:w="1419"/>
            <w:gridCol w:w="1417"/>
            <w:gridCol w:w="1701"/>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7b8a770ee1e44f8a07e602b4c0fd3c2"/>
                <w:id w:val="865722532"/>
                <w:lock w:val="sdtLocked"/>
              </w:sdtPr>
              <w:sdtEndPr>
                <w:rPr>
                  <w:rFonts w:ascii="Times New Roman" w:hAnsi="Times New Roman" w:cs="Times New Roman"/>
                </w:rPr>
              </w:sdtEndPr>
              <w:sdtContent>
                <w:tc>
                  <w:tcPr>
                    <w:tcW w:w="765" w:type="pct"/>
                    <w:vAlign w:val="center"/>
                  </w:tcPr>
                  <w:p>
                    <w:pPr>
                      <w:jc w:val="center"/>
                      <w:rPr>
                        <w:rFonts w:ascii="Times New Roman" w:hAnsi="Times New Roman" w:cs="Times New Roman"/>
                      </w:rPr>
                    </w:pPr>
                    <w:r>
                      <w:rPr>
                        <w:rFonts w:ascii="Times New Roman" w:cs="Times New Roman"/>
                      </w:rPr>
                      <w:t>主要原材料</w:t>
                    </w:r>
                  </w:p>
                </w:tc>
              </w:sdtContent>
            </w:sdt>
            <w:sdt>
              <w:sdtPr>
                <w:rPr>
                  <w:rFonts w:ascii="Times New Roman" w:hAnsi="Times New Roman" w:cs="Times New Roman"/>
                </w:rPr>
                <w:tag w:val="_PLD_a25a2d9512d7476aa19ff9940ea1c6af"/>
                <w:id w:val="865722533"/>
                <w:lock w:val="sdtLocked"/>
              </w:sdtPr>
              <w:sdtEndPr>
                <w:rPr>
                  <w:rFonts w:ascii="Times New Roman" w:hAnsi="Times New Roman" w:cs="Times New Roman"/>
                </w:rPr>
              </w:sdtEndPr>
              <w:sdtContent>
                <w:tc>
                  <w:tcPr>
                    <w:tcW w:w="861" w:type="pct"/>
                    <w:vAlign w:val="center"/>
                  </w:tcPr>
                  <w:p>
                    <w:pPr>
                      <w:jc w:val="center"/>
                      <w:rPr>
                        <w:rFonts w:ascii="Times New Roman" w:hAnsi="Times New Roman" w:cs="Times New Roman"/>
                      </w:rPr>
                    </w:pPr>
                    <w:r>
                      <w:rPr>
                        <w:rFonts w:ascii="Times New Roman" w:cs="Times New Roman"/>
                      </w:rPr>
                      <w:t>采购模式</w:t>
                    </w:r>
                  </w:p>
                </w:tc>
              </w:sdtContent>
            </w:sdt>
            <w:tc>
              <w:tcPr>
                <w:tcW w:w="784" w:type="pct"/>
                <w:vAlign w:val="center"/>
              </w:tcPr>
              <w:sdt>
                <w:sdtPr>
                  <w:rPr>
                    <w:rFonts w:ascii="Times New Roman" w:hAnsi="Times New Roman" w:cs="Times New Roman"/>
                  </w:rPr>
                  <w:tag w:val="_PLD_2c9ded6ced2745e786e31481984f59e9"/>
                  <w:id w:val="865722534"/>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结算方式</w:t>
                    </w:r>
                  </w:p>
                </w:sdtContent>
              </w:sdt>
            </w:tc>
            <w:tc>
              <w:tcPr>
                <w:tcW w:w="783" w:type="pct"/>
                <w:vAlign w:val="center"/>
              </w:tcPr>
              <w:sdt>
                <w:sdtPr>
                  <w:rPr>
                    <w:rFonts w:ascii="Times New Roman" w:hAnsi="Times New Roman" w:cs="Times New Roman"/>
                  </w:rPr>
                  <w:tag w:val="_PLD_cbf88684848343949991bcfc6a056a9e"/>
                  <w:id w:val="865722535"/>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价格同比变动比率（</w:t>
                    </w:r>
                    <w:r>
                      <w:rPr>
                        <w:rFonts w:ascii="Times New Roman" w:hAnsi="Times New Roman" w:cs="Times New Roman"/>
                      </w:rPr>
                      <w:t>%</w:t>
                    </w:r>
                    <w:r>
                      <w:rPr>
                        <w:rFonts w:ascii="Times New Roman" w:cs="Times New Roman"/>
                      </w:rPr>
                      <w:t>）</w:t>
                    </w:r>
                  </w:p>
                </w:sdtContent>
              </w:sdt>
            </w:tc>
            <w:sdt>
              <w:sdtPr>
                <w:rPr>
                  <w:rFonts w:ascii="Times New Roman" w:hAnsi="Times New Roman" w:cs="Times New Roman"/>
                </w:rPr>
                <w:tag w:val="_PLD_79fe1c8aa0f34bb885a48dd9837c0619"/>
                <w:id w:val="865722536"/>
                <w:lock w:val="sdtLocked"/>
              </w:sdtPr>
              <w:sdtEndPr>
                <w:rPr>
                  <w:rFonts w:ascii="Times New Roman" w:hAnsi="Times New Roman" w:cs="Times New Roman"/>
                </w:rPr>
              </w:sdtEndPr>
              <w:sdtContent>
                <w:tc>
                  <w:tcPr>
                    <w:tcW w:w="940" w:type="pct"/>
                    <w:vAlign w:val="center"/>
                  </w:tcPr>
                  <w:p>
                    <w:pPr>
                      <w:jc w:val="center"/>
                      <w:rPr>
                        <w:rFonts w:ascii="Times New Roman" w:hAnsi="Times New Roman" w:cs="Times New Roman"/>
                      </w:rPr>
                    </w:pPr>
                    <w:r>
                      <w:rPr>
                        <w:rFonts w:ascii="Times New Roman" w:cs="Times New Roman"/>
                      </w:rPr>
                      <w:t>采购量</w:t>
                    </w:r>
                  </w:p>
                </w:tc>
              </w:sdtContent>
            </w:sdt>
            <w:tc>
              <w:tcPr>
                <w:tcW w:w="867" w:type="pct"/>
                <w:vAlign w:val="center"/>
              </w:tcPr>
              <w:sdt>
                <w:sdtPr>
                  <w:rPr>
                    <w:rFonts w:ascii="Times New Roman" w:hAnsi="Times New Roman" w:cs="Times New Roman"/>
                  </w:rPr>
                  <w:tag w:val="_PLD_2c0426295ad74e2ca029b4099b9abd8a"/>
                  <w:id w:val="865722537"/>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耗用量</w:t>
                    </w:r>
                  </w:p>
                </w:sdtContent>
              </w:sdt>
            </w:tc>
          </w:tr>
          <w:sdt>
            <w:sdtPr>
              <w:rPr>
                <w:rFonts w:ascii="Times New Roman" w:hAnsi="Times New Roman" w:cs="Times New Roman"/>
              </w:rPr>
              <w:alias w:val="化工行业主要原材料的基本情况明细"/>
              <w:tag w:val="_TUP_bf00cb12a7a44ddcbeccecaeb7fbe3fb"/>
              <w:id w:val="865722538"/>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Align w:val="center"/>
                  </w:tcPr>
                  <w:p>
                    <w:pPr>
                      <w:rPr>
                        <w:rFonts w:ascii="Times New Roman" w:hAnsi="Times New Roman" w:cs="Times New Roman"/>
                      </w:rPr>
                    </w:pPr>
                    <w:r>
                      <w:rPr>
                        <w:rFonts w:ascii="Times New Roman" w:cs="Times New Roman"/>
                      </w:rPr>
                      <w:t>二氧化硅</w:t>
                    </w:r>
                  </w:p>
                </w:tc>
                <w:tc>
                  <w:tcPr>
                    <w:tcW w:w="861" w:type="pct"/>
                    <w:vAlign w:val="center"/>
                  </w:tcPr>
                  <w:p>
                    <w:pPr>
                      <w:jc w:val="center"/>
                      <w:rPr>
                        <w:rFonts w:ascii="Times New Roman" w:hAnsi="Times New Roman" w:cs="Times New Roman"/>
                        <w:sz w:val="24"/>
                      </w:rPr>
                    </w:pPr>
                    <w:r>
                      <w:rPr>
                        <w:rFonts w:ascii="Times New Roman" w:cs="Times New Roman"/>
                      </w:rPr>
                      <w:t>比质比价</w:t>
                    </w:r>
                  </w:p>
                </w:tc>
                <w:tc>
                  <w:tcPr>
                    <w:tcW w:w="784" w:type="pct"/>
                    <w:vAlign w:val="center"/>
                  </w:tcPr>
                  <w:p>
                    <w:pPr>
                      <w:jc w:val="center"/>
                      <w:rPr>
                        <w:rFonts w:ascii="Times New Roman" w:hAnsi="Times New Roman" w:cs="Times New Roman"/>
                        <w:sz w:val="24"/>
                      </w:rPr>
                    </w:pPr>
                    <w:r>
                      <w:rPr>
                        <w:rFonts w:ascii="Times New Roman" w:cs="Times New Roman"/>
                      </w:rPr>
                      <w:t>转账结算</w:t>
                    </w:r>
                  </w:p>
                </w:tc>
                <w:tc>
                  <w:tcPr>
                    <w:tcW w:w="783" w:type="pct"/>
                    <w:vAlign w:val="center"/>
                  </w:tcPr>
                  <w:p>
                    <w:pPr>
                      <w:jc w:val="center"/>
                      <w:rPr>
                        <w:rFonts w:ascii="Times New Roman" w:hAnsi="Times New Roman" w:cs="Times New Roman"/>
                        <w:sz w:val="24"/>
                      </w:rPr>
                    </w:pPr>
                    <w:r>
                      <w:rPr>
                        <w:rFonts w:ascii="Times New Roman" w:hAnsi="Times New Roman" w:cs="Times New Roman"/>
                      </w:rPr>
                      <w:t>-7.79</w:t>
                    </w:r>
                  </w:p>
                </w:tc>
                <w:tc>
                  <w:tcPr>
                    <w:tcW w:w="940" w:type="pct"/>
                    <w:vAlign w:val="center"/>
                  </w:tcPr>
                  <w:p>
                    <w:pPr>
                      <w:jc w:val="center"/>
                      <w:rPr>
                        <w:rFonts w:ascii="Times New Roman" w:hAnsi="Times New Roman" w:cs="Times New Roman"/>
                        <w:sz w:val="24"/>
                      </w:rPr>
                    </w:pPr>
                    <w:r>
                      <w:rPr>
                        <w:rFonts w:ascii="Times New Roman" w:cs="Times New Roman"/>
                      </w:rPr>
                      <w:t>约</w:t>
                    </w:r>
                    <w:r>
                      <w:rPr>
                        <w:rFonts w:ascii="Times New Roman" w:hAnsi="Times New Roman" w:cs="Times New Roman"/>
                      </w:rPr>
                      <w:t>2,0</w:t>
                    </w:r>
                    <w:r>
                      <w:rPr>
                        <w:rFonts w:hint="eastAsia" w:ascii="Times New Roman" w:hAnsi="Times New Roman" w:cs="Times New Roman"/>
                      </w:rPr>
                      <w:t>00</w:t>
                    </w:r>
                    <w:r>
                      <w:rPr>
                        <w:rFonts w:ascii="Times New Roman" w:cs="Times New Roman"/>
                      </w:rPr>
                      <w:t>吨</w:t>
                    </w:r>
                    <w:r>
                      <w:rPr>
                        <w:rFonts w:ascii="Times New Roman" w:hAnsi="Times New Roman" w:cs="Times New Roman"/>
                      </w:rPr>
                      <w:t>/</w:t>
                    </w:r>
                    <w:r>
                      <w:rPr>
                        <w:rFonts w:ascii="Times New Roman" w:cs="Times New Roman"/>
                      </w:rPr>
                      <w:t>年</w:t>
                    </w:r>
                  </w:p>
                </w:tc>
                <w:tc>
                  <w:tcPr>
                    <w:tcW w:w="867" w:type="pct"/>
                    <w:vAlign w:val="center"/>
                  </w:tcPr>
                  <w:p>
                    <w:pPr>
                      <w:jc w:val="center"/>
                      <w:rPr>
                        <w:rFonts w:ascii="Times New Roman" w:hAnsi="Times New Roman" w:cs="Times New Roman"/>
                      </w:rPr>
                    </w:pPr>
                    <w:r>
                      <w:rPr>
                        <w:rFonts w:hint="eastAsia" w:ascii="Times New Roman" w:hAnsi="Times New Roman" w:cs="Times New Roman"/>
                      </w:rPr>
                      <w:t>约1,800吨/年</w:t>
                    </w:r>
                  </w:p>
                </w:tc>
              </w:tr>
            </w:sdtContent>
          </w:sdt>
          <w:sdt>
            <w:sdtPr>
              <w:rPr>
                <w:rFonts w:ascii="Times New Roman" w:hAnsi="Times New Roman" w:cs="Times New Roman"/>
              </w:rPr>
              <w:alias w:val="化工行业主要原材料的基本情况明细"/>
              <w:tag w:val="_TUP_bf00cb12a7a44ddcbeccecaeb7fbe3fb"/>
              <w:id w:val="865722539"/>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Align w:val="center"/>
                  </w:tcPr>
                  <w:p>
                    <w:pPr>
                      <w:rPr>
                        <w:rFonts w:ascii="Times New Roman" w:hAnsi="Times New Roman" w:cs="Times New Roman"/>
                      </w:rPr>
                    </w:pPr>
                    <w:r>
                      <w:rPr>
                        <w:rFonts w:ascii="Times New Roman" w:cs="Times New Roman"/>
                      </w:rPr>
                      <w:t>山梨醇</w:t>
                    </w:r>
                  </w:p>
                </w:tc>
                <w:tc>
                  <w:tcPr>
                    <w:tcW w:w="861" w:type="pct"/>
                    <w:vAlign w:val="center"/>
                  </w:tcPr>
                  <w:p>
                    <w:pPr>
                      <w:jc w:val="center"/>
                      <w:rPr>
                        <w:rFonts w:ascii="Times New Roman" w:hAnsi="Times New Roman" w:cs="Times New Roman"/>
                        <w:sz w:val="24"/>
                      </w:rPr>
                    </w:pPr>
                    <w:r>
                      <w:rPr>
                        <w:rFonts w:ascii="Times New Roman" w:cs="Times New Roman"/>
                      </w:rPr>
                      <w:t>比质比价</w:t>
                    </w:r>
                  </w:p>
                </w:tc>
                <w:tc>
                  <w:tcPr>
                    <w:tcW w:w="784" w:type="pct"/>
                    <w:vAlign w:val="center"/>
                  </w:tcPr>
                  <w:p>
                    <w:pPr>
                      <w:jc w:val="center"/>
                      <w:rPr>
                        <w:rFonts w:ascii="Times New Roman" w:hAnsi="Times New Roman" w:cs="Times New Roman"/>
                        <w:sz w:val="24"/>
                      </w:rPr>
                    </w:pPr>
                    <w:r>
                      <w:rPr>
                        <w:rFonts w:ascii="Times New Roman" w:cs="Times New Roman"/>
                      </w:rPr>
                      <w:t>转账结算</w:t>
                    </w:r>
                  </w:p>
                </w:tc>
                <w:tc>
                  <w:tcPr>
                    <w:tcW w:w="783" w:type="pct"/>
                    <w:vAlign w:val="center"/>
                  </w:tcPr>
                  <w:p>
                    <w:pPr>
                      <w:jc w:val="center"/>
                      <w:rPr>
                        <w:rFonts w:ascii="Times New Roman" w:hAnsi="Times New Roman" w:cs="Times New Roman"/>
                        <w:sz w:val="24"/>
                      </w:rPr>
                    </w:pPr>
                    <w:r>
                      <w:rPr>
                        <w:rFonts w:ascii="Times New Roman" w:hAnsi="Times New Roman" w:cs="Times New Roman"/>
                      </w:rPr>
                      <w:t>14.13</w:t>
                    </w:r>
                  </w:p>
                </w:tc>
                <w:tc>
                  <w:tcPr>
                    <w:tcW w:w="940" w:type="pct"/>
                    <w:vAlign w:val="center"/>
                  </w:tcPr>
                  <w:p>
                    <w:pPr>
                      <w:jc w:val="center"/>
                      <w:rPr>
                        <w:rFonts w:ascii="Times New Roman" w:hAnsi="Times New Roman" w:cs="Times New Roman"/>
                        <w:sz w:val="24"/>
                      </w:rPr>
                    </w:pPr>
                    <w:r>
                      <w:rPr>
                        <w:rFonts w:ascii="Times New Roman" w:cs="Times New Roman"/>
                      </w:rPr>
                      <w:t>约</w:t>
                    </w:r>
                    <w:r>
                      <w:rPr>
                        <w:rFonts w:ascii="Times New Roman" w:hAnsi="Times New Roman" w:cs="Times New Roman"/>
                      </w:rPr>
                      <w:t>4,56</w:t>
                    </w:r>
                    <w:r>
                      <w:rPr>
                        <w:rFonts w:hint="eastAsia" w:ascii="Times New Roman" w:hAnsi="Times New Roman" w:cs="Times New Roman"/>
                      </w:rPr>
                      <w:t>0</w:t>
                    </w:r>
                    <w:r>
                      <w:rPr>
                        <w:rFonts w:ascii="Times New Roman" w:cs="Times New Roman"/>
                      </w:rPr>
                      <w:t>吨</w:t>
                    </w:r>
                    <w:r>
                      <w:rPr>
                        <w:rFonts w:ascii="Times New Roman" w:hAnsi="Times New Roman" w:cs="Times New Roman"/>
                      </w:rPr>
                      <w:t>/</w:t>
                    </w:r>
                    <w:r>
                      <w:rPr>
                        <w:rFonts w:ascii="Times New Roman" w:cs="Times New Roman"/>
                      </w:rPr>
                      <w:t>年</w:t>
                    </w:r>
                  </w:p>
                </w:tc>
                <w:tc>
                  <w:tcPr>
                    <w:tcW w:w="867" w:type="pct"/>
                    <w:vAlign w:val="center"/>
                  </w:tcPr>
                  <w:p>
                    <w:pPr>
                      <w:jc w:val="center"/>
                      <w:rPr>
                        <w:rFonts w:ascii="Times New Roman" w:hAnsi="Times New Roman" w:cs="Times New Roman"/>
                      </w:rPr>
                    </w:pPr>
                    <w:r>
                      <w:rPr>
                        <w:rFonts w:ascii="Times New Roman" w:cs="Times New Roman"/>
                      </w:rPr>
                      <w:t>约</w:t>
                    </w: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500</w:t>
                    </w:r>
                    <w:r>
                      <w:rPr>
                        <w:rFonts w:ascii="Times New Roman" w:cs="Times New Roman"/>
                      </w:rPr>
                      <w:t>吨</w:t>
                    </w:r>
                    <w:r>
                      <w:rPr>
                        <w:rFonts w:ascii="Times New Roman" w:hAnsi="Times New Roman" w:cs="Times New Roman"/>
                      </w:rPr>
                      <w:t>/</w:t>
                    </w:r>
                    <w:r>
                      <w:rPr>
                        <w:rFonts w:ascii="Times New Roman" w:cs="Times New Roman"/>
                      </w:rPr>
                      <w:t>年</w:t>
                    </w:r>
                  </w:p>
                </w:tc>
              </w:tr>
            </w:sdtContent>
          </w:sdt>
          <w:sdt>
            <w:sdtPr>
              <w:rPr>
                <w:rFonts w:ascii="Times New Roman" w:hAnsi="Times New Roman" w:cs="Times New Roman"/>
              </w:rPr>
              <w:alias w:val="化工行业主要原材料的基本情况明细"/>
              <w:tag w:val="_TUP_bf00cb12a7a44ddcbeccecaeb7fbe3fb"/>
              <w:id w:val="865722540"/>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Align w:val="center"/>
                  </w:tcPr>
                  <w:p>
                    <w:pPr>
                      <w:rPr>
                        <w:rFonts w:ascii="Times New Roman" w:hAnsi="Times New Roman" w:cs="Times New Roman"/>
                      </w:rPr>
                    </w:pPr>
                    <w:r>
                      <w:rPr>
                        <w:rFonts w:ascii="Times New Roman" w:cs="Times New Roman"/>
                      </w:rPr>
                      <w:t>透明聚丙烯</w:t>
                    </w:r>
                  </w:p>
                </w:tc>
                <w:tc>
                  <w:tcPr>
                    <w:tcW w:w="861" w:type="pct"/>
                    <w:vAlign w:val="center"/>
                  </w:tcPr>
                  <w:p>
                    <w:pPr>
                      <w:jc w:val="center"/>
                      <w:rPr>
                        <w:rFonts w:ascii="Times New Roman" w:hAnsi="Times New Roman" w:cs="Times New Roman"/>
                      </w:rPr>
                    </w:pPr>
                    <w:r>
                      <w:rPr>
                        <w:rFonts w:ascii="Times New Roman" w:cs="Times New Roman"/>
                      </w:rPr>
                      <w:t>比质比价</w:t>
                    </w:r>
                  </w:p>
                </w:tc>
                <w:tc>
                  <w:tcPr>
                    <w:tcW w:w="784" w:type="pct"/>
                    <w:vAlign w:val="center"/>
                  </w:tcPr>
                  <w:p>
                    <w:pPr>
                      <w:jc w:val="center"/>
                      <w:rPr>
                        <w:rFonts w:ascii="Times New Roman" w:hAnsi="Times New Roman" w:cs="Times New Roman"/>
                        <w:sz w:val="24"/>
                      </w:rPr>
                    </w:pPr>
                    <w:r>
                      <w:rPr>
                        <w:rFonts w:ascii="Times New Roman" w:cs="Times New Roman"/>
                      </w:rPr>
                      <w:t>转账结算</w:t>
                    </w:r>
                  </w:p>
                </w:tc>
                <w:tc>
                  <w:tcPr>
                    <w:tcW w:w="783" w:type="pct"/>
                    <w:vAlign w:val="center"/>
                  </w:tcPr>
                  <w:p>
                    <w:pPr>
                      <w:jc w:val="center"/>
                      <w:rPr>
                        <w:rFonts w:ascii="Times New Roman" w:hAnsi="Times New Roman" w:cs="Times New Roman"/>
                        <w:sz w:val="24"/>
                      </w:rPr>
                    </w:pPr>
                    <w:r>
                      <w:rPr>
                        <w:rFonts w:ascii="Times New Roman" w:hAnsi="Times New Roman" w:cs="Times New Roman"/>
                      </w:rPr>
                      <w:t>13.95</w:t>
                    </w:r>
                  </w:p>
                </w:tc>
                <w:tc>
                  <w:tcPr>
                    <w:tcW w:w="940" w:type="pct"/>
                    <w:vAlign w:val="center"/>
                  </w:tcPr>
                  <w:p>
                    <w:pPr>
                      <w:jc w:val="center"/>
                      <w:rPr>
                        <w:rFonts w:ascii="Times New Roman" w:hAnsi="Times New Roman" w:cs="Times New Roman"/>
                        <w:sz w:val="24"/>
                      </w:rPr>
                    </w:pPr>
                    <w:r>
                      <w:rPr>
                        <w:rFonts w:ascii="Times New Roman" w:cs="Times New Roman"/>
                      </w:rPr>
                      <w:t>约</w:t>
                    </w: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48</w:t>
                    </w:r>
                    <w:r>
                      <w:rPr>
                        <w:rFonts w:hint="eastAsia" w:ascii="Times New Roman" w:hAnsi="Times New Roman" w:cs="Times New Roman"/>
                      </w:rPr>
                      <w:t>0</w:t>
                    </w:r>
                    <w:r>
                      <w:rPr>
                        <w:rFonts w:ascii="Times New Roman" w:cs="Times New Roman"/>
                      </w:rPr>
                      <w:t>吨</w:t>
                    </w:r>
                    <w:r>
                      <w:rPr>
                        <w:rFonts w:ascii="Times New Roman" w:hAnsi="Times New Roman" w:cs="Times New Roman"/>
                      </w:rPr>
                      <w:t>/</w:t>
                    </w:r>
                    <w:r>
                      <w:rPr>
                        <w:rFonts w:ascii="Times New Roman" w:cs="Times New Roman"/>
                      </w:rPr>
                      <w:t>年</w:t>
                    </w:r>
                  </w:p>
                </w:tc>
                <w:tc>
                  <w:tcPr>
                    <w:tcW w:w="867" w:type="pct"/>
                    <w:vAlign w:val="center"/>
                  </w:tcPr>
                  <w:p>
                    <w:pPr>
                      <w:jc w:val="center"/>
                      <w:rPr>
                        <w:rFonts w:ascii="Times New Roman" w:hAnsi="Times New Roman" w:cs="Times New Roman"/>
                      </w:rPr>
                    </w:pPr>
                    <w:r>
                      <w:rPr>
                        <w:rFonts w:ascii="Times New Roman" w:cs="Times New Roman"/>
                      </w:rPr>
                      <w:t>约</w:t>
                    </w: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300</w:t>
                    </w:r>
                    <w:r>
                      <w:rPr>
                        <w:rFonts w:ascii="Times New Roman" w:cs="Times New Roman"/>
                      </w:rPr>
                      <w:t>吨</w:t>
                    </w:r>
                    <w:r>
                      <w:rPr>
                        <w:rFonts w:ascii="Times New Roman" w:hAnsi="Times New Roman" w:cs="Times New Roman"/>
                      </w:rPr>
                      <w:t>/</w:t>
                    </w:r>
                    <w:r>
                      <w:rPr>
                        <w:rFonts w:ascii="Times New Roman" w:cs="Times New Roman"/>
                      </w:rPr>
                      <w:t>年</w:t>
                    </w:r>
                  </w:p>
                </w:tc>
              </w:tr>
            </w:sdtContent>
          </w:sdt>
          <w:sdt>
            <w:sdtPr>
              <w:rPr>
                <w:rFonts w:ascii="Times New Roman" w:hAnsi="Times New Roman" w:cs="Times New Roman"/>
              </w:rPr>
              <w:alias w:val="化工行业主要原材料的基本情况明细"/>
              <w:tag w:val="_TUP_bf00cb12a7a44ddcbeccecaeb7fbe3fb"/>
              <w:id w:val="865722541"/>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vAlign w:val="center"/>
                  </w:tcPr>
                  <w:p>
                    <w:pPr>
                      <w:rPr>
                        <w:rFonts w:ascii="Times New Roman" w:hAnsi="Times New Roman" w:cs="Times New Roman"/>
                      </w:rPr>
                    </w:pPr>
                    <w:r>
                      <w:rPr>
                        <w:rFonts w:ascii="Times New Roman" w:cs="Times New Roman"/>
                      </w:rPr>
                      <w:t>皂粒</w:t>
                    </w:r>
                  </w:p>
                </w:tc>
                <w:tc>
                  <w:tcPr>
                    <w:tcW w:w="861" w:type="pct"/>
                    <w:vAlign w:val="center"/>
                  </w:tcPr>
                  <w:p>
                    <w:pPr>
                      <w:jc w:val="center"/>
                      <w:rPr>
                        <w:rFonts w:ascii="Times New Roman" w:hAnsi="Times New Roman" w:cs="Times New Roman"/>
                      </w:rPr>
                    </w:pPr>
                    <w:r>
                      <w:rPr>
                        <w:rFonts w:ascii="Times New Roman" w:cs="Times New Roman"/>
                      </w:rPr>
                      <w:t>比质比价</w:t>
                    </w:r>
                  </w:p>
                </w:tc>
                <w:tc>
                  <w:tcPr>
                    <w:tcW w:w="784" w:type="pct"/>
                    <w:vAlign w:val="center"/>
                  </w:tcPr>
                  <w:p>
                    <w:pPr>
                      <w:jc w:val="center"/>
                      <w:rPr>
                        <w:rFonts w:ascii="Times New Roman" w:hAnsi="Times New Roman" w:cs="Times New Roman"/>
                        <w:sz w:val="24"/>
                      </w:rPr>
                    </w:pPr>
                    <w:r>
                      <w:rPr>
                        <w:rFonts w:ascii="Times New Roman" w:cs="Times New Roman"/>
                      </w:rPr>
                      <w:t>转账结算</w:t>
                    </w:r>
                  </w:p>
                </w:tc>
                <w:tc>
                  <w:tcPr>
                    <w:tcW w:w="783" w:type="pct"/>
                    <w:vAlign w:val="center"/>
                  </w:tcPr>
                  <w:p>
                    <w:pPr>
                      <w:jc w:val="center"/>
                      <w:rPr>
                        <w:rFonts w:ascii="Times New Roman" w:hAnsi="Times New Roman" w:cs="Times New Roman"/>
                        <w:sz w:val="24"/>
                      </w:rPr>
                    </w:pPr>
                    <w:r>
                      <w:rPr>
                        <w:rFonts w:ascii="Times New Roman" w:hAnsi="Times New Roman" w:cs="Times New Roman"/>
                      </w:rPr>
                      <w:t>27.30</w:t>
                    </w:r>
                  </w:p>
                </w:tc>
                <w:tc>
                  <w:tcPr>
                    <w:tcW w:w="940" w:type="pct"/>
                    <w:vAlign w:val="center"/>
                  </w:tcPr>
                  <w:p>
                    <w:pPr>
                      <w:jc w:val="center"/>
                      <w:rPr>
                        <w:rFonts w:ascii="Times New Roman" w:hAnsi="Times New Roman" w:cs="Times New Roman"/>
                        <w:sz w:val="24"/>
                      </w:rPr>
                    </w:pPr>
                    <w:r>
                      <w:rPr>
                        <w:rFonts w:ascii="Times New Roman" w:cs="Times New Roman"/>
                      </w:rPr>
                      <w:t>约</w:t>
                    </w:r>
                    <w:r>
                      <w:rPr>
                        <w:rFonts w:ascii="Times New Roman" w:hAnsi="Times New Roman" w:cs="Times New Roman"/>
                      </w:rPr>
                      <w:t>904</w:t>
                    </w:r>
                    <w:r>
                      <w:rPr>
                        <w:rFonts w:ascii="Times New Roman" w:cs="Times New Roman"/>
                      </w:rPr>
                      <w:t>吨</w:t>
                    </w:r>
                    <w:r>
                      <w:rPr>
                        <w:rFonts w:ascii="Times New Roman" w:hAnsi="Times New Roman" w:cs="Times New Roman"/>
                      </w:rPr>
                      <w:t>/</w:t>
                    </w:r>
                    <w:r>
                      <w:rPr>
                        <w:rFonts w:ascii="Times New Roman" w:cs="Times New Roman"/>
                      </w:rPr>
                      <w:t>年</w:t>
                    </w:r>
                  </w:p>
                </w:tc>
                <w:tc>
                  <w:tcPr>
                    <w:tcW w:w="867" w:type="pct"/>
                    <w:vAlign w:val="center"/>
                  </w:tcPr>
                  <w:p>
                    <w:pPr>
                      <w:jc w:val="center"/>
                      <w:rPr>
                        <w:rFonts w:ascii="Times New Roman" w:hAnsi="Times New Roman" w:cs="Times New Roman"/>
                      </w:rPr>
                    </w:pPr>
                    <w:r>
                      <w:rPr>
                        <w:rFonts w:ascii="Times New Roman" w:cs="Times New Roman"/>
                      </w:rPr>
                      <w:t>约</w:t>
                    </w:r>
                    <w:r>
                      <w:rPr>
                        <w:rFonts w:ascii="Times New Roman" w:hAnsi="Times New Roman" w:cs="Times New Roman"/>
                      </w:rPr>
                      <w:t>870</w:t>
                    </w:r>
                    <w:r>
                      <w:rPr>
                        <w:rFonts w:ascii="Times New Roman" w:cs="Times New Roman"/>
                      </w:rPr>
                      <w:t>吨</w:t>
                    </w:r>
                    <w:r>
                      <w:rPr>
                        <w:rFonts w:ascii="Times New Roman" w:hAnsi="Times New Roman" w:cs="Times New Roman"/>
                      </w:rPr>
                      <w:t>/</w:t>
                    </w:r>
                    <w:r>
                      <w:rPr>
                        <w:rFonts w:ascii="Times New Roman" w:cs="Times New Roman"/>
                      </w:rPr>
                      <w:t>年</w:t>
                    </w:r>
                  </w:p>
                </w:tc>
              </w:tr>
            </w:sdtContent>
          </w:sdt>
        </w:tbl>
        <w:p/>
        <w:p/>
        <w:p>
          <w:pPr>
            <w:pStyle w:val="55"/>
            <w:numPr>
              <w:ilvl w:val="0"/>
              <w:numId w:val="16"/>
            </w:numPr>
            <w:ind w:firstLineChars="0"/>
            <w:outlineLvl w:val="5"/>
            <w:rPr>
              <w:b/>
            </w:rPr>
          </w:pPr>
          <w:r>
            <w:rPr>
              <w:rFonts w:hint="eastAsia"/>
              <w:b/>
            </w:rPr>
            <w:t>主要能源的基本情况</w:t>
          </w:r>
        </w:p>
        <w:sdt>
          <w:sdtPr>
            <w:alias w:val="是否适用：主要能源的基本情况[双击切换]"/>
            <w:tag w:val="_GBC_cc4eb794a45d49b7893c62128e0fc77e"/>
            <w:id w:val="865722543"/>
            <w:lock w:val="sdtLocked"/>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
          <w:pPr>
            <w:pStyle w:val="55"/>
            <w:numPr>
              <w:ilvl w:val="0"/>
              <w:numId w:val="16"/>
            </w:numPr>
            <w:ind w:firstLineChars="0"/>
            <w:outlineLvl w:val="5"/>
            <w:rPr>
              <w:b/>
            </w:rPr>
          </w:pPr>
          <w:r>
            <w:rPr>
              <w:rFonts w:hint="eastAsia"/>
              <w:b/>
            </w:rPr>
            <w:t>原材料价格波动风险应对措施</w:t>
          </w:r>
        </w:p>
        <w:p>
          <w:pPr>
            <w:rPr>
              <w:b/>
            </w:rPr>
          </w:pPr>
          <w:r>
            <w:rPr>
              <w:rFonts w:hint="eastAsia"/>
              <w:b/>
            </w:rPr>
            <w:t>持有衍生品等金融产品的主要情况</w:t>
          </w:r>
        </w:p>
        <w:sdt>
          <w:sdtPr>
            <w:rPr>
              <w:rFonts w:hint="eastAsia"/>
            </w:rPr>
            <w:alias w:val="是否适用：化工行业持有衍生品等金融产品的主要情况[双击切换]"/>
            <w:tag w:val="_GBC_9b379411fcb548b994a0428872d2bce6"/>
            <w:id w:val="865722544"/>
            <w:lock w:val="sdtLocked"/>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
          <w:pPr>
            <w:pStyle w:val="55"/>
            <w:numPr>
              <w:ilvl w:val="0"/>
              <w:numId w:val="16"/>
            </w:numPr>
            <w:ind w:firstLineChars="0"/>
            <w:outlineLvl w:val="5"/>
            <w:rPr>
              <w:b/>
            </w:rPr>
          </w:pPr>
          <w:r>
            <w:rPr>
              <w:rFonts w:hint="eastAsia"/>
              <w:b/>
            </w:rPr>
            <w:t>采用阶段性储备等其他方式的基本情况</w:t>
          </w:r>
        </w:p>
        <w:sdt>
          <w:sdtPr>
            <w:rPr>
              <w:rFonts w:hint="eastAsia"/>
            </w:rPr>
            <w:alias w:val="是否适用：采用阶段性储备等其他方式的基本情况[双击切换]"/>
            <w:tag w:val="_GBC_45c8ae2aaac24573a0544c1a06d2a8c8"/>
            <w:id w:val="865722545"/>
            <w:lock w:val="sdtLocked"/>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before="60" w:after="60"/>
            <w:outlineLvl w:val="4"/>
          </w:pPr>
        </w:p>
        <w:p>
          <w:pPr>
            <w:spacing w:before="60" w:after="60"/>
            <w:outlineLvl w:val="4"/>
          </w:pPr>
        </w:p>
        <w:p>
          <w:pPr>
            <w:spacing w:before="60" w:after="60"/>
            <w:outlineLvl w:val="4"/>
          </w:pPr>
        </w:p>
        <w:p>
          <w:pPr>
            <w:spacing w:before="60" w:after="60"/>
            <w:outlineLvl w:val="4"/>
          </w:pPr>
        </w:p>
      </w:sdtContent>
    </w:sdt>
    <w:sdt>
      <w:sdtPr>
        <w:rPr>
          <w:rFonts w:hint="eastAsia" w:ascii="宋体" w:hAnsi="宋体" w:cs="宋体"/>
          <w:kern w:val="0"/>
          <w:szCs w:val="24"/>
        </w:rPr>
        <w:alias w:val="模块:产品销售情况"/>
        <w:tag w:val="_SEC_7ef3cdb19553404bb0f23ca3314d94a5"/>
        <w:id w:val="865722571"/>
        <w:lock w:val="sdtLocked"/>
        <w:placeholder>
          <w:docPart w:val="GBC22222222222222222222222222222"/>
        </w:placeholder>
      </w:sdtPr>
      <w:sdtEndPr>
        <w:rPr>
          <w:rFonts w:hint="eastAsia" w:ascii="宋体" w:hAnsi="宋体" w:cs="宋体"/>
          <w:kern w:val="0"/>
          <w:szCs w:val="24"/>
        </w:rPr>
      </w:sdtEndPr>
      <w:sdtContent>
        <w:p>
          <w:pPr>
            <w:pStyle w:val="55"/>
            <w:numPr>
              <w:ilvl w:val="0"/>
              <w:numId w:val="13"/>
            </w:numPr>
            <w:spacing w:before="60" w:after="60"/>
            <w:ind w:firstLineChars="0"/>
            <w:outlineLvl w:val="4"/>
            <w:rPr>
              <w:b/>
            </w:rPr>
          </w:pPr>
          <w:r>
            <w:rPr>
              <w:rFonts w:hint="eastAsia"/>
              <w:b/>
            </w:rPr>
            <w:t>产品销售情况</w:t>
          </w:r>
        </w:p>
        <w:p>
          <w:pPr>
            <w:pStyle w:val="55"/>
            <w:numPr>
              <w:ilvl w:val="0"/>
              <w:numId w:val="17"/>
            </w:numPr>
            <w:ind w:firstLineChars="0"/>
            <w:outlineLvl w:val="5"/>
            <w:rPr>
              <w:b/>
            </w:rPr>
          </w:pPr>
          <w:r>
            <w:rPr>
              <w:rFonts w:hint="eastAsia"/>
              <w:b/>
            </w:rPr>
            <w:t>按细分行业划分的公司主营业务基本情况</w:t>
          </w:r>
        </w:p>
        <w:sdt>
          <w:sdtPr>
            <w:rPr>
              <w:rFonts w:hint="eastAsia"/>
            </w:rPr>
            <w:alias w:val="是否适用：化工行业按细分行业划分的公司主营业务基本情况[双击切换]"/>
            <w:tag w:val="_GBC_7219b5925af04d32ab834568fa0f3fbd"/>
            <w:id w:val="86572254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化工行业按细分行业划分的公司主营业务基本情况"/>
              <w:tag w:val="_GBC_7f298cbd8e564771b396648324cbf0d3"/>
              <w:id w:val="865722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化工行业按细分行业划分的公司主营业务基本情况"/>
              <w:tag w:val="_GBC_8aa2c635565c4ae499e2c5724bab8575"/>
              <w:id w:val="8657225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72"/>
            <w:gridCol w:w="1562"/>
            <w:gridCol w:w="709"/>
            <w:gridCol w:w="992"/>
            <w:gridCol w:w="1135"/>
            <w:gridCol w:w="851"/>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3bfef2deda0478086a41a1526956bd0"/>
                <w:id w:val="5812182"/>
                <w:lock w:val="sdtLocked"/>
              </w:sdtPr>
              <w:sdtContent>
                <w:tc>
                  <w:tcPr>
                    <w:tcW w:w="623" w:type="pct"/>
                    <w:vAlign w:val="center"/>
                  </w:tcPr>
                  <w:p>
                    <w:pPr>
                      <w:jc w:val="right"/>
                    </w:pPr>
                    <w:r>
                      <w:rPr>
                        <w:rFonts w:hint="eastAsia"/>
                      </w:rPr>
                      <w:t>细分行业</w:t>
                    </w:r>
                  </w:p>
                </w:tc>
              </w:sdtContent>
            </w:sdt>
            <w:sdt>
              <w:sdtPr>
                <w:tag w:val="_PLD_42e7290d6b51465483cd9dcac356b8ca"/>
                <w:id w:val="5812183"/>
                <w:lock w:val="sdtLocked"/>
              </w:sdtPr>
              <w:sdtContent>
                <w:tc>
                  <w:tcPr>
                    <w:tcW w:w="924" w:type="pct"/>
                    <w:vAlign w:val="center"/>
                  </w:tcPr>
                  <w:p>
                    <w:pPr>
                      <w:jc w:val="right"/>
                    </w:pPr>
                    <w:r>
                      <w:rPr>
                        <w:rFonts w:hint="eastAsia"/>
                      </w:rPr>
                      <w:t>营业收入</w:t>
                    </w:r>
                  </w:p>
                </w:tc>
              </w:sdtContent>
            </w:sdt>
            <w:sdt>
              <w:sdtPr>
                <w:tag w:val="_PLD_5ff4e46af8094b0994f908d5220ee12b"/>
                <w:id w:val="5812184"/>
                <w:lock w:val="sdtLocked"/>
              </w:sdtPr>
              <w:sdtContent>
                <w:tc>
                  <w:tcPr>
                    <w:tcW w:w="863" w:type="pct"/>
                    <w:vAlign w:val="center"/>
                  </w:tcPr>
                  <w:p>
                    <w:pPr>
                      <w:jc w:val="right"/>
                    </w:pPr>
                    <w:r>
                      <w:rPr>
                        <w:rFonts w:hint="eastAsia"/>
                      </w:rPr>
                      <w:t>营业成本</w:t>
                    </w:r>
                  </w:p>
                </w:tc>
              </w:sdtContent>
            </w:sdt>
            <w:sdt>
              <w:sdtPr>
                <w:tag w:val="_PLD_3ca4a96652eb47b492e14b97ee7412e3"/>
                <w:id w:val="5812185"/>
                <w:lock w:val="sdtLocked"/>
              </w:sdtPr>
              <w:sdtContent>
                <w:tc>
                  <w:tcPr>
                    <w:tcW w:w="392" w:type="pct"/>
                    <w:vAlign w:val="center"/>
                  </w:tcPr>
                  <w:p>
                    <w:pPr>
                      <w:jc w:val="right"/>
                    </w:pPr>
                    <w:r>
                      <w:rPr>
                        <w:rFonts w:hint="eastAsia"/>
                      </w:rPr>
                      <w:t>毛利率(%)</w:t>
                    </w:r>
                  </w:p>
                </w:tc>
              </w:sdtContent>
            </w:sdt>
            <w:sdt>
              <w:sdtPr>
                <w:tag w:val="_PLD_283997e4d7e243eeb6aa838ce9c6e32b"/>
                <w:id w:val="5812186"/>
                <w:lock w:val="sdtLocked"/>
              </w:sdtPr>
              <w:sdtContent>
                <w:tc>
                  <w:tcPr>
                    <w:tcW w:w="548" w:type="pct"/>
                    <w:vAlign w:val="center"/>
                  </w:tcPr>
                  <w:p>
                    <w:pPr>
                      <w:jc w:val="right"/>
                    </w:pPr>
                    <w:r>
                      <w:rPr>
                        <w:rFonts w:hint="eastAsia"/>
                      </w:rPr>
                      <w:t>营业收入比上年增减（%）</w:t>
                    </w:r>
                  </w:p>
                </w:tc>
              </w:sdtContent>
            </w:sdt>
            <w:sdt>
              <w:sdtPr>
                <w:tag w:val="_PLD_ff4ebc0ac95545c38dc343fb34e5b428"/>
                <w:id w:val="5812187"/>
                <w:lock w:val="sdtLocked"/>
              </w:sdtPr>
              <w:sdtContent>
                <w:tc>
                  <w:tcPr>
                    <w:tcW w:w="627" w:type="pct"/>
                    <w:vAlign w:val="center"/>
                  </w:tcPr>
                  <w:p>
                    <w:pPr>
                      <w:jc w:val="right"/>
                    </w:pPr>
                    <w:r>
                      <w:rPr>
                        <w:rFonts w:hint="eastAsia"/>
                      </w:rPr>
                      <w:t>营业成本比上年增减（%）</w:t>
                    </w:r>
                  </w:p>
                </w:tc>
              </w:sdtContent>
            </w:sdt>
            <w:sdt>
              <w:sdtPr>
                <w:tag w:val="_PLD_133ae5a657f14c6287d04a20b812ed20"/>
                <w:id w:val="5812188"/>
                <w:lock w:val="sdtLocked"/>
              </w:sdtPr>
              <w:sdtContent>
                <w:tc>
                  <w:tcPr>
                    <w:tcW w:w="470" w:type="pct"/>
                    <w:vAlign w:val="center"/>
                  </w:tcPr>
                  <w:p>
                    <w:pPr>
                      <w:jc w:val="right"/>
                    </w:pPr>
                    <w:r>
                      <w:rPr>
                        <w:rFonts w:hint="eastAsia"/>
                      </w:rPr>
                      <w:t>毛利率比上年增减（%）</w:t>
                    </w:r>
                  </w:p>
                </w:tc>
              </w:sdtContent>
            </w:sdt>
            <w:sdt>
              <w:sdtPr>
                <w:tag w:val="_PLD_34cdc52b87fa4e7b92cd903d02fb1217"/>
                <w:id w:val="5812189"/>
                <w:lock w:val="sdtLocked"/>
              </w:sdtPr>
              <w:sdtContent>
                <w:tc>
                  <w:tcPr>
                    <w:tcW w:w="553" w:type="pct"/>
                    <w:vAlign w:val="center"/>
                  </w:tcPr>
                  <w:p>
                    <w:pPr>
                      <w:jc w:val="right"/>
                    </w:pPr>
                    <w:r>
                      <w:rPr>
                        <w:rFonts w:hint="eastAsia"/>
                      </w:rPr>
                      <w:t>同行业同领域产品毛利率情况</w:t>
                    </w:r>
                  </w:p>
                </w:tc>
              </w:sdtContent>
            </w:sdt>
          </w:tr>
          <w:sdt>
            <w:sdtPr>
              <w:rPr>
                <w:rFonts w:hint="eastAsia" w:asciiTheme="minorHAnsi" w:hAnsiTheme="minorHAnsi" w:eastAsiaTheme="minorEastAsia" w:cstheme="minorBidi"/>
                <w:kern w:val="2"/>
                <w:szCs w:val="22"/>
              </w:rPr>
              <w:alias w:val="化工行业按细分行业划分的公司主营业务基本情况明细"/>
              <w:tag w:val="_TUP_6196b773b7ff47439d11c47b276135ac"/>
              <w:id w:val="5812190"/>
              <w:lock w:val="sdtLocked"/>
            </w:sdtPr>
            <w:sdtEndPr>
              <w:rPr>
                <w:rFonts w:hint="default" w:ascii="Times New Roman" w:hAnsi="Times New Roman"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r>
                      <w:t>日化产品</w:t>
                    </w:r>
                  </w:p>
                </w:tc>
                <w:tc>
                  <w:tcPr>
                    <w:tcW w:w="924" w:type="pct"/>
                    <w:vAlign w:val="center"/>
                  </w:tcPr>
                  <w:p>
                    <w:pPr>
                      <w:jc w:val="right"/>
                      <w:rPr>
                        <w:rFonts w:ascii="Times New Roman" w:hAnsi="Times New Roman"/>
                      </w:rPr>
                    </w:pPr>
                    <w:r>
                      <w:rPr>
                        <w:rFonts w:ascii="Times New Roman" w:hAnsi="Times New Roman"/>
                      </w:rPr>
                      <w:t>586,959,758.36</w:t>
                    </w:r>
                  </w:p>
                </w:tc>
                <w:tc>
                  <w:tcPr>
                    <w:tcW w:w="863" w:type="pct"/>
                    <w:vAlign w:val="center"/>
                  </w:tcPr>
                  <w:p>
                    <w:pPr>
                      <w:jc w:val="right"/>
                      <w:rPr>
                        <w:rFonts w:ascii="Times New Roman" w:hAnsi="Times New Roman"/>
                      </w:rPr>
                    </w:pPr>
                    <w:r>
                      <w:rPr>
                        <w:rFonts w:ascii="Times New Roman" w:hAnsi="Times New Roman"/>
                      </w:rPr>
                      <w:t>473,046,818.18</w:t>
                    </w:r>
                  </w:p>
                </w:tc>
                <w:tc>
                  <w:tcPr>
                    <w:tcW w:w="392" w:type="pct"/>
                    <w:vAlign w:val="center"/>
                  </w:tcPr>
                  <w:p>
                    <w:pPr>
                      <w:jc w:val="right"/>
                      <w:rPr>
                        <w:rFonts w:ascii="Times New Roman" w:hAnsi="Times New Roman"/>
                      </w:rPr>
                    </w:pPr>
                    <w:r>
                      <w:rPr>
                        <w:rFonts w:ascii="Times New Roman" w:hAnsi="Times New Roman"/>
                      </w:rPr>
                      <w:t>19.41</w:t>
                    </w:r>
                  </w:p>
                </w:tc>
                <w:tc>
                  <w:tcPr>
                    <w:tcW w:w="548" w:type="pct"/>
                    <w:vAlign w:val="center"/>
                  </w:tcPr>
                  <w:p>
                    <w:pPr>
                      <w:jc w:val="right"/>
                      <w:rPr>
                        <w:rFonts w:ascii="Times New Roman" w:hAnsi="Times New Roman"/>
                      </w:rPr>
                    </w:pPr>
                    <w:r>
                      <w:rPr>
                        <w:rFonts w:ascii="Times New Roman" w:hAnsi="Times New Roman"/>
                      </w:rPr>
                      <w:t>0.87</w:t>
                    </w:r>
                  </w:p>
                </w:tc>
                <w:tc>
                  <w:tcPr>
                    <w:tcW w:w="627" w:type="pct"/>
                    <w:vAlign w:val="center"/>
                  </w:tcPr>
                  <w:p>
                    <w:pPr>
                      <w:jc w:val="right"/>
                      <w:rPr>
                        <w:rFonts w:ascii="Times New Roman" w:hAnsi="Times New Roman" w:cs="Times New Roman"/>
                        <w:sz w:val="24"/>
                      </w:rPr>
                    </w:pPr>
                    <w:r>
                      <w:rPr>
                        <w:rFonts w:ascii="Times New Roman" w:hAnsi="Times New Roman" w:cs="Times New Roman"/>
                      </w:rPr>
                      <w:t>1.13</w:t>
                    </w:r>
                  </w:p>
                </w:tc>
                <w:tc>
                  <w:tcPr>
                    <w:tcW w:w="470" w:type="pct"/>
                    <w:vAlign w:val="center"/>
                  </w:tcPr>
                  <w:p>
                    <w:pPr>
                      <w:jc w:val="right"/>
                      <w:rPr>
                        <w:rFonts w:ascii="Times New Roman" w:hAnsi="Times New Roman" w:cs="Times New Roman"/>
                        <w:sz w:val="24"/>
                      </w:rPr>
                    </w:pPr>
                    <w:r>
                      <w:rPr>
                        <w:rFonts w:ascii="Times New Roman" w:hAnsi="Times New Roman" w:cs="Times New Roman"/>
                      </w:rPr>
                      <w:t>-0.2</w:t>
                    </w:r>
                  </w:p>
                </w:tc>
                <w:tc>
                  <w:tcPr>
                    <w:tcW w:w="553" w:type="pct"/>
                    <w:vAlign w:val="center"/>
                  </w:tcPr>
                  <w:p>
                    <w:pPr>
                      <w:jc w:val="right"/>
                      <w:rPr>
                        <w:rFonts w:ascii="Times New Roman" w:hAnsi="Times New Roman"/>
                      </w:rPr>
                    </w:pPr>
                    <w:r>
                      <w:rPr>
                        <w:rFonts w:ascii="Times New Roman"/>
                      </w:rPr>
                      <w:t>未知</w:t>
                    </w:r>
                  </w:p>
                </w:tc>
              </w:tr>
            </w:sdtContent>
          </w:sdt>
          <w:sdt>
            <w:sdtPr>
              <w:rPr>
                <w:rFonts w:hint="eastAsia" w:asciiTheme="minorHAnsi" w:hAnsiTheme="minorHAnsi" w:eastAsiaTheme="minorEastAsia" w:cstheme="minorBidi"/>
                <w:kern w:val="2"/>
                <w:szCs w:val="22"/>
              </w:rPr>
              <w:alias w:val="化工行业按细分行业划分的公司主营业务基本情况明细"/>
              <w:tag w:val="_TUP_6196b773b7ff47439d11c47b276135ac"/>
              <w:id w:val="5812191"/>
              <w:lock w:val="sdtLocked"/>
            </w:sdtPr>
            <w:sdtEndPr>
              <w:rPr>
                <w:rFonts w:hint="default" w:ascii="Times New Roman" w:hAnsi="Times New Roman"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r>
                      <w:t>药品</w:t>
                    </w:r>
                  </w:p>
                </w:tc>
                <w:tc>
                  <w:tcPr>
                    <w:tcW w:w="924" w:type="pct"/>
                    <w:vAlign w:val="center"/>
                  </w:tcPr>
                  <w:p>
                    <w:pPr>
                      <w:jc w:val="right"/>
                      <w:rPr>
                        <w:rFonts w:ascii="Times New Roman" w:hAnsi="Times New Roman" w:cs="Times New Roman"/>
                        <w:sz w:val="24"/>
                      </w:rPr>
                    </w:pPr>
                    <w:r>
                      <w:rPr>
                        <w:rFonts w:ascii="Times New Roman" w:hAnsi="Times New Roman" w:cs="Times New Roman"/>
                      </w:rPr>
                      <w:t>81,611,390.98</w:t>
                    </w:r>
                  </w:p>
                </w:tc>
                <w:tc>
                  <w:tcPr>
                    <w:tcW w:w="863" w:type="pct"/>
                    <w:vAlign w:val="center"/>
                  </w:tcPr>
                  <w:p>
                    <w:pPr>
                      <w:jc w:val="right"/>
                      <w:rPr>
                        <w:rFonts w:ascii="Times New Roman" w:hAnsi="Times New Roman" w:cs="Times New Roman"/>
                        <w:sz w:val="24"/>
                      </w:rPr>
                    </w:pPr>
                    <w:r>
                      <w:rPr>
                        <w:rFonts w:ascii="Times New Roman" w:hAnsi="Times New Roman" w:cs="Times New Roman"/>
                      </w:rPr>
                      <w:t>55,296,894.06</w:t>
                    </w:r>
                  </w:p>
                </w:tc>
                <w:tc>
                  <w:tcPr>
                    <w:tcW w:w="392" w:type="pct"/>
                    <w:vAlign w:val="center"/>
                  </w:tcPr>
                  <w:p>
                    <w:pPr>
                      <w:jc w:val="right"/>
                      <w:rPr>
                        <w:rFonts w:ascii="Times New Roman" w:hAnsi="Times New Roman" w:cs="Times New Roman"/>
                        <w:sz w:val="24"/>
                      </w:rPr>
                    </w:pPr>
                    <w:r>
                      <w:rPr>
                        <w:rFonts w:ascii="Times New Roman" w:hAnsi="Times New Roman" w:cs="Times New Roman"/>
                      </w:rPr>
                      <w:t>32.24</w:t>
                    </w:r>
                  </w:p>
                </w:tc>
                <w:tc>
                  <w:tcPr>
                    <w:tcW w:w="548" w:type="pct"/>
                    <w:vAlign w:val="center"/>
                  </w:tcPr>
                  <w:p>
                    <w:pPr>
                      <w:jc w:val="right"/>
                      <w:rPr>
                        <w:rFonts w:ascii="Times New Roman" w:hAnsi="Times New Roman" w:cs="Times New Roman"/>
                        <w:sz w:val="24"/>
                      </w:rPr>
                    </w:pPr>
                    <w:r>
                      <w:rPr>
                        <w:rFonts w:ascii="Times New Roman" w:hAnsi="Times New Roman" w:cs="Times New Roman"/>
                      </w:rPr>
                      <w:t>2.78</w:t>
                    </w:r>
                  </w:p>
                </w:tc>
                <w:tc>
                  <w:tcPr>
                    <w:tcW w:w="627" w:type="pct"/>
                    <w:vAlign w:val="center"/>
                  </w:tcPr>
                  <w:p>
                    <w:pPr>
                      <w:jc w:val="right"/>
                      <w:rPr>
                        <w:rFonts w:ascii="Times New Roman" w:hAnsi="Times New Roman" w:cs="Times New Roman"/>
                        <w:sz w:val="24"/>
                      </w:rPr>
                    </w:pPr>
                    <w:r>
                      <w:rPr>
                        <w:rFonts w:ascii="Times New Roman" w:hAnsi="Times New Roman" w:cs="Times New Roman"/>
                      </w:rPr>
                      <w:t>9.02</w:t>
                    </w:r>
                  </w:p>
                </w:tc>
                <w:tc>
                  <w:tcPr>
                    <w:tcW w:w="470" w:type="pct"/>
                    <w:vAlign w:val="center"/>
                  </w:tcPr>
                  <w:p>
                    <w:pPr>
                      <w:jc w:val="right"/>
                      <w:rPr>
                        <w:rFonts w:ascii="Times New Roman" w:hAnsi="Times New Roman" w:cs="Times New Roman"/>
                        <w:sz w:val="24"/>
                      </w:rPr>
                    </w:pPr>
                    <w:r>
                      <w:rPr>
                        <w:rFonts w:ascii="Times New Roman" w:hAnsi="Times New Roman" w:cs="Times New Roman"/>
                      </w:rPr>
                      <w:t>-3.88</w:t>
                    </w:r>
                  </w:p>
                </w:tc>
                <w:tc>
                  <w:tcPr>
                    <w:tcW w:w="553" w:type="pct"/>
                    <w:vAlign w:val="center"/>
                  </w:tcPr>
                  <w:p>
                    <w:pPr>
                      <w:jc w:val="right"/>
                      <w:rPr>
                        <w:rFonts w:ascii="Times New Roman" w:hAnsi="Times New Roman"/>
                      </w:rPr>
                    </w:pPr>
                    <w:r>
                      <w:rPr>
                        <w:rFonts w:ascii="Times New Roman"/>
                      </w:rPr>
                      <w:t>未知</w:t>
                    </w:r>
                  </w:p>
                </w:tc>
              </w:tr>
            </w:sdtContent>
          </w:sdt>
          <w:sdt>
            <w:sdtPr>
              <w:rPr>
                <w:rFonts w:hint="eastAsia" w:asciiTheme="minorHAnsi" w:hAnsiTheme="minorHAnsi" w:eastAsiaTheme="minorEastAsia" w:cstheme="minorBidi"/>
                <w:kern w:val="2"/>
                <w:szCs w:val="22"/>
              </w:rPr>
              <w:alias w:val="化工行业按细分行业划分的公司主营业务基本情况明细"/>
              <w:tag w:val="_TUP_6196b773b7ff47439d11c47b276135ac"/>
              <w:id w:val="5812192"/>
              <w:lock w:val="sdtLocked"/>
            </w:sdtPr>
            <w:sdtEndPr>
              <w:rPr>
                <w:rFonts w:hint="default" w:ascii="Times New Roman" w:hAnsi="Times New Roman"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r>
                      <w:t>商业贸易</w:t>
                    </w:r>
                  </w:p>
                </w:tc>
                <w:tc>
                  <w:tcPr>
                    <w:tcW w:w="924" w:type="pct"/>
                    <w:vAlign w:val="center"/>
                  </w:tcPr>
                  <w:p>
                    <w:pPr>
                      <w:jc w:val="right"/>
                      <w:rPr>
                        <w:rFonts w:ascii="Times New Roman" w:hAnsi="Times New Roman" w:cs="Times New Roman"/>
                        <w:sz w:val="24"/>
                      </w:rPr>
                    </w:pPr>
                    <w:r>
                      <w:rPr>
                        <w:rFonts w:ascii="Times New Roman" w:hAnsi="Times New Roman" w:cs="Times New Roman"/>
                      </w:rPr>
                      <w:t>40,552,449.19</w:t>
                    </w:r>
                  </w:p>
                </w:tc>
                <w:tc>
                  <w:tcPr>
                    <w:tcW w:w="863" w:type="pct"/>
                    <w:vAlign w:val="center"/>
                  </w:tcPr>
                  <w:p>
                    <w:pPr>
                      <w:jc w:val="right"/>
                      <w:rPr>
                        <w:rFonts w:ascii="Times New Roman" w:hAnsi="Times New Roman" w:cs="Times New Roman"/>
                        <w:sz w:val="24"/>
                      </w:rPr>
                    </w:pPr>
                    <w:r>
                      <w:rPr>
                        <w:rFonts w:ascii="Times New Roman" w:hAnsi="Times New Roman" w:cs="Times New Roman"/>
                      </w:rPr>
                      <w:t>39,072,754.12</w:t>
                    </w:r>
                  </w:p>
                </w:tc>
                <w:tc>
                  <w:tcPr>
                    <w:tcW w:w="392" w:type="pct"/>
                    <w:vAlign w:val="center"/>
                  </w:tcPr>
                  <w:p>
                    <w:pPr>
                      <w:jc w:val="right"/>
                      <w:rPr>
                        <w:rFonts w:ascii="Times New Roman" w:hAnsi="Times New Roman" w:cs="Times New Roman"/>
                        <w:sz w:val="24"/>
                      </w:rPr>
                    </w:pPr>
                    <w:r>
                      <w:rPr>
                        <w:rFonts w:ascii="Times New Roman" w:hAnsi="Times New Roman" w:cs="Times New Roman"/>
                      </w:rPr>
                      <w:t>3.65</w:t>
                    </w:r>
                  </w:p>
                </w:tc>
                <w:tc>
                  <w:tcPr>
                    <w:tcW w:w="548" w:type="pct"/>
                    <w:vAlign w:val="center"/>
                  </w:tcPr>
                  <w:p>
                    <w:pPr>
                      <w:jc w:val="right"/>
                      <w:rPr>
                        <w:rFonts w:ascii="Times New Roman" w:hAnsi="Times New Roman" w:cs="Times New Roman"/>
                        <w:sz w:val="24"/>
                      </w:rPr>
                    </w:pPr>
                    <w:r>
                      <w:rPr>
                        <w:rFonts w:ascii="Times New Roman" w:hAnsi="Times New Roman" w:cs="Times New Roman"/>
                      </w:rPr>
                      <w:t>127.76</w:t>
                    </w:r>
                  </w:p>
                </w:tc>
                <w:tc>
                  <w:tcPr>
                    <w:tcW w:w="627" w:type="pct"/>
                    <w:vAlign w:val="center"/>
                  </w:tcPr>
                  <w:p>
                    <w:pPr>
                      <w:jc w:val="right"/>
                      <w:rPr>
                        <w:rFonts w:ascii="Times New Roman" w:hAnsi="Times New Roman" w:cs="Times New Roman"/>
                        <w:sz w:val="24"/>
                      </w:rPr>
                    </w:pPr>
                    <w:r>
                      <w:rPr>
                        <w:rFonts w:ascii="Times New Roman" w:hAnsi="Times New Roman" w:cs="Times New Roman"/>
                      </w:rPr>
                      <w:t>144.13</w:t>
                    </w:r>
                  </w:p>
                </w:tc>
                <w:tc>
                  <w:tcPr>
                    <w:tcW w:w="470" w:type="pct"/>
                    <w:vAlign w:val="center"/>
                  </w:tcPr>
                  <w:p>
                    <w:pPr>
                      <w:jc w:val="right"/>
                      <w:rPr>
                        <w:rFonts w:ascii="Times New Roman" w:hAnsi="Times New Roman" w:cs="Times New Roman"/>
                        <w:sz w:val="24"/>
                      </w:rPr>
                    </w:pPr>
                    <w:r>
                      <w:rPr>
                        <w:rFonts w:ascii="Times New Roman" w:hAnsi="Times New Roman" w:cs="Times New Roman"/>
                      </w:rPr>
                      <w:t>-6.46</w:t>
                    </w:r>
                  </w:p>
                </w:tc>
                <w:tc>
                  <w:tcPr>
                    <w:tcW w:w="553" w:type="pct"/>
                    <w:vAlign w:val="center"/>
                  </w:tcPr>
                  <w:p>
                    <w:pPr>
                      <w:jc w:val="right"/>
                      <w:rPr>
                        <w:rFonts w:ascii="Times New Roman" w:hAnsi="Times New Roman"/>
                      </w:rPr>
                    </w:pPr>
                    <w:r>
                      <w:rPr>
                        <w:rFonts w:ascii="Times New Roman"/>
                      </w:rPr>
                      <w:t>未知</w:t>
                    </w:r>
                  </w:p>
                </w:tc>
              </w:tr>
            </w:sdtContent>
          </w:sdt>
        </w:tbl>
        <w:p/>
        <w:p>
          <w:pPr>
            <w:pStyle w:val="55"/>
            <w:numPr>
              <w:ilvl w:val="0"/>
              <w:numId w:val="17"/>
            </w:numPr>
            <w:ind w:firstLineChars="0"/>
            <w:outlineLvl w:val="5"/>
            <w:rPr>
              <w:b/>
            </w:rPr>
          </w:pPr>
          <w:r>
            <w:rPr>
              <w:rFonts w:hint="eastAsia"/>
              <w:b/>
            </w:rPr>
            <w:t>按销售渠道划分的公司主营业务基本情况</w:t>
          </w:r>
        </w:p>
        <w:sdt>
          <w:sdtPr>
            <w:rPr>
              <w:rFonts w:hint="eastAsia"/>
            </w:rPr>
            <w:alias w:val="是否适用：化工行业按销售渠道划分的公司主营业务基本情况[双击切换]"/>
            <w:tag w:val="_GBC_46117592b8f8455f90542f25e14787d5"/>
            <w:id w:val="865722561"/>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化工行业按销售渠道划分的公司主营业务基本情况"/>
              <w:tag w:val="_GBC_b55d2ed214b94a66976be9e91a0cd4a6"/>
              <w:id w:val="8657225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化工行业按销售渠道划分的公司主营业务基本情况"/>
              <w:tag w:val="_GBC_dc0f7d624f6c46088c9bbb104378298e"/>
              <w:id w:val="865722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1"/>
            <w:gridCol w:w="3358"/>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Cs w:val="21"/>
                </w:rPr>
                <w:tag w:val="_PLD_96020b9101234d1f877b6d22bef1dfb5"/>
                <w:id w:val="865722564"/>
                <w:lock w:val="sdtLocked"/>
              </w:sdtPr>
              <w:sdtEndPr>
                <w:rPr>
                  <w:rFonts w:ascii="Times New Roman" w:hAnsi="Times New Roman" w:cs="Times New Roman"/>
                  <w:szCs w:val="21"/>
                </w:rPr>
              </w:sdtEndPr>
              <w:sdtContent>
                <w:tc>
                  <w:tcPr>
                    <w:tcW w:w="1382" w:type="pct"/>
                    <w:vAlign w:val="center"/>
                  </w:tcPr>
                  <w:p>
                    <w:pPr>
                      <w:jc w:val="center"/>
                      <w:rPr>
                        <w:rFonts w:ascii="Times New Roman" w:hAnsi="Times New Roman" w:cs="Times New Roman"/>
                        <w:szCs w:val="21"/>
                      </w:rPr>
                    </w:pPr>
                    <w:r>
                      <w:rPr>
                        <w:rFonts w:ascii="Times New Roman" w:hAnsi="Times New Roman" w:cs="Times New Roman"/>
                        <w:szCs w:val="21"/>
                      </w:rPr>
                      <w:t>销售渠道</w:t>
                    </w:r>
                  </w:p>
                </w:tc>
              </w:sdtContent>
            </w:sdt>
            <w:sdt>
              <w:sdtPr>
                <w:rPr>
                  <w:rFonts w:ascii="Times New Roman" w:hAnsi="Times New Roman" w:cs="Times New Roman"/>
                  <w:szCs w:val="21"/>
                </w:rPr>
                <w:tag w:val="_PLD_c5223761afbb454484956a14c082eb3b"/>
                <w:id w:val="865722565"/>
                <w:lock w:val="sdtLocked"/>
              </w:sdtPr>
              <w:sdtEndPr>
                <w:rPr>
                  <w:rFonts w:ascii="Times New Roman" w:hAnsi="Times New Roman" w:cs="Times New Roman"/>
                  <w:szCs w:val="21"/>
                </w:rPr>
              </w:sdtEndPr>
              <w:sdtContent>
                <w:tc>
                  <w:tcPr>
                    <w:tcW w:w="1855" w:type="pct"/>
                    <w:vAlign w:val="center"/>
                  </w:tcPr>
                  <w:p>
                    <w:pPr>
                      <w:jc w:val="center"/>
                      <w:rPr>
                        <w:rFonts w:ascii="Times New Roman" w:hAnsi="Times New Roman" w:cs="Times New Roman"/>
                        <w:szCs w:val="21"/>
                      </w:rPr>
                    </w:pPr>
                    <w:r>
                      <w:rPr>
                        <w:rFonts w:ascii="Times New Roman" w:hAnsi="Times New Roman" w:cs="Times New Roman"/>
                        <w:szCs w:val="21"/>
                      </w:rPr>
                      <w:t>营业收入</w:t>
                    </w:r>
                  </w:p>
                </w:tc>
              </w:sdtContent>
            </w:sdt>
            <w:sdt>
              <w:sdtPr>
                <w:rPr>
                  <w:rFonts w:ascii="Times New Roman" w:hAnsi="Times New Roman" w:cs="Times New Roman"/>
                  <w:szCs w:val="21"/>
                </w:rPr>
                <w:tag w:val="_PLD_6745044c50044d6980b33fbfdce87b4c"/>
                <w:id w:val="865722566"/>
                <w:lock w:val="sdtLocked"/>
              </w:sdtPr>
              <w:sdtEndPr>
                <w:rPr>
                  <w:rFonts w:ascii="Times New Roman" w:hAnsi="Times New Roman" w:cs="Times New Roman"/>
                  <w:szCs w:val="21"/>
                </w:rPr>
              </w:sdtEndPr>
              <w:sdtContent>
                <w:tc>
                  <w:tcPr>
                    <w:tcW w:w="1762" w:type="pct"/>
                    <w:vAlign w:val="center"/>
                  </w:tcPr>
                  <w:p>
                    <w:pPr>
                      <w:jc w:val="center"/>
                      <w:rPr>
                        <w:rFonts w:ascii="Times New Roman" w:hAnsi="Times New Roman" w:cs="Times New Roman"/>
                        <w:szCs w:val="21"/>
                      </w:rPr>
                    </w:pPr>
                    <w:r>
                      <w:rPr>
                        <w:rFonts w:ascii="Times New Roman" w:hAnsi="Times New Roman" w:cs="Times New Roman"/>
                        <w:szCs w:val="21"/>
                      </w:rPr>
                      <w:t>营业收入比上年增减（%）</w:t>
                    </w:r>
                  </w:p>
                </w:tc>
              </w:sdtContent>
            </w:sdt>
          </w:tr>
          <w:sdt>
            <w:sdtPr>
              <w:rPr>
                <w:rFonts w:ascii="Times New Roman" w:hAnsi="Times New Roman" w:cs="Times New Roman"/>
                <w:szCs w:val="21"/>
              </w:rPr>
              <w:alias w:val="化工行业按销售渠道划分的公司主营业务基本情况明细"/>
              <w:tag w:val="_TUP_19d038b63d6d481eb2fe446c5b8b5f31"/>
              <w:id w:val="86572256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pct"/>
                    <w:vAlign w:val="center"/>
                  </w:tcPr>
                  <w:p>
                    <w:pPr>
                      <w:rPr>
                        <w:rFonts w:ascii="Times New Roman" w:hAnsi="Times New Roman" w:cs="Times New Roman"/>
                        <w:szCs w:val="21"/>
                      </w:rPr>
                    </w:pPr>
                    <w:r>
                      <w:rPr>
                        <w:rFonts w:ascii="Times New Roman" w:hAnsi="Times New Roman" w:cs="Times New Roman"/>
                        <w:szCs w:val="21"/>
                      </w:rPr>
                      <w:t>线下</w:t>
                    </w:r>
                  </w:p>
                </w:tc>
                <w:tc>
                  <w:tcPr>
                    <w:tcW w:w="1855" w:type="pct"/>
                    <w:vAlign w:val="center"/>
                  </w:tcPr>
                  <w:p>
                    <w:pPr>
                      <w:jc w:val="right"/>
                      <w:rPr>
                        <w:rFonts w:ascii="Times New Roman" w:hAnsi="Times New Roman" w:cs="Times New Roman"/>
                        <w:szCs w:val="21"/>
                      </w:rPr>
                    </w:pPr>
                    <w:r>
                      <w:rPr>
                        <w:rFonts w:ascii="Times New Roman" w:hAnsi="Times New Roman" w:cs="Times New Roman"/>
                        <w:szCs w:val="21"/>
                      </w:rPr>
                      <w:t>690,595,355.76</w:t>
                    </w:r>
                  </w:p>
                </w:tc>
                <w:tc>
                  <w:tcPr>
                    <w:tcW w:w="1762" w:type="pct"/>
                    <w:vAlign w:val="center"/>
                  </w:tcPr>
                  <w:p>
                    <w:pPr>
                      <w:jc w:val="right"/>
                      <w:rPr>
                        <w:rFonts w:ascii="Times New Roman" w:hAnsi="Times New Roman" w:cs="Times New Roman"/>
                        <w:szCs w:val="21"/>
                      </w:rPr>
                    </w:pPr>
                    <w:r>
                      <w:rPr>
                        <w:rFonts w:ascii="Times New Roman" w:hAnsi="Times New Roman" w:cs="Times New Roman"/>
                        <w:szCs w:val="21"/>
                      </w:rPr>
                      <w:t>4.42</w:t>
                    </w:r>
                  </w:p>
                </w:tc>
              </w:tr>
            </w:sdtContent>
          </w:sdt>
          <w:sdt>
            <w:sdtPr>
              <w:rPr>
                <w:rFonts w:ascii="Times New Roman" w:hAnsi="Times New Roman" w:cs="Times New Roman"/>
                <w:szCs w:val="21"/>
              </w:rPr>
              <w:alias w:val="化工行业按销售渠道划分的公司主营业务基本情况明细"/>
              <w:tag w:val="_TUP_19d038b63d6d481eb2fe446c5b8b5f31"/>
              <w:id w:val="86572256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82" w:type="pct"/>
                    <w:vAlign w:val="center"/>
                  </w:tcPr>
                  <w:p>
                    <w:pPr>
                      <w:rPr>
                        <w:rFonts w:ascii="Times New Roman" w:hAnsi="Times New Roman" w:cs="Times New Roman"/>
                        <w:szCs w:val="21"/>
                      </w:rPr>
                    </w:pPr>
                    <w:r>
                      <w:rPr>
                        <w:rFonts w:ascii="Times New Roman" w:hAnsi="Times New Roman" w:cs="Times New Roman"/>
                        <w:szCs w:val="21"/>
                      </w:rPr>
                      <w:t>线上</w:t>
                    </w:r>
                  </w:p>
                </w:tc>
                <w:tc>
                  <w:tcPr>
                    <w:tcW w:w="1855" w:type="pct"/>
                    <w:vAlign w:val="center"/>
                  </w:tcPr>
                  <w:p>
                    <w:pPr>
                      <w:jc w:val="right"/>
                      <w:rPr>
                        <w:rFonts w:ascii="Times New Roman" w:hAnsi="Times New Roman" w:cs="Times New Roman"/>
                        <w:szCs w:val="21"/>
                      </w:rPr>
                    </w:pPr>
                    <w:r>
                      <w:rPr>
                        <w:rFonts w:ascii="Times New Roman" w:hAnsi="Times New Roman" w:cs="Times New Roman"/>
                        <w:szCs w:val="21"/>
                      </w:rPr>
                      <w:t>18,528,242.77</w:t>
                    </w:r>
                  </w:p>
                </w:tc>
                <w:tc>
                  <w:tcPr>
                    <w:tcW w:w="1762" w:type="pct"/>
                    <w:vAlign w:val="center"/>
                  </w:tcPr>
                  <w:p>
                    <w:pPr>
                      <w:jc w:val="right"/>
                      <w:rPr>
                        <w:rFonts w:ascii="Times New Roman" w:hAnsi="Times New Roman" w:cs="Times New Roman"/>
                        <w:szCs w:val="21"/>
                      </w:rPr>
                    </w:pPr>
                    <w:r>
                      <w:rPr>
                        <w:rFonts w:hint="eastAsia" w:ascii="Times New Roman" w:hAnsi="Times New Roman" w:cs="Times New Roman"/>
                        <w:szCs w:val="21"/>
                      </w:rPr>
                      <w:t>4.39</w:t>
                    </w:r>
                  </w:p>
                </w:tc>
              </w:tr>
            </w:sdtContent>
          </w:sdt>
        </w:tbl>
        <w:p/>
        <w:p>
          <w:pPr>
            <w:rPr>
              <w:b/>
              <w:szCs w:val="21"/>
            </w:rPr>
          </w:pPr>
          <w:r>
            <w:rPr>
              <w:rFonts w:hint="eastAsia"/>
              <w:b/>
              <w:szCs w:val="21"/>
            </w:rPr>
            <w:t>会计政策说明</w:t>
          </w:r>
        </w:p>
        <w:sdt>
          <w:sdtPr>
            <w:rPr>
              <w:rFonts w:hint="eastAsia"/>
            </w:rPr>
            <w:alias w:val="是否适用：化工行业会计政策说明[双击切换]"/>
            <w:tag w:val="_GBC_3c948566226d4a9481555c3321c45549"/>
            <w:id w:val="86572256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kern w:val="0"/>
          <w:szCs w:val="24"/>
        </w:rPr>
        <w:alias w:val="模块:环保与安全情况"/>
        <w:tag w:val="_SEC_420ea523272548c9b7531bb4c35e472e"/>
        <w:id w:val="865722574"/>
        <w:lock w:val="sdtLocked"/>
        <w:placeholder>
          <w:docPart w:val="GBC22222222222222222222222222222"/>
        </w:placeholder>
      </w:sdtPr>
      <w:sdtEndPr>
        <w:rPr>
          <w:rFonts w:hint="eastAsia" w:ascii="宋体" w:hAnsi="宋体" w:cs="宋体"/>
          <w:kern w:val="0"/>
          <w:szCs w:val="24"/>
        </w:rPr>
      </w:sdtEndPr>
      <w:sdtContent>
        <w:p>
          <w:pPr>
            <w:pStyle w:val="55"/>
            <w:numPr>
              <w:ilvl w:val="0"/>
              <w:numId w:val="13"/>
            </w:numPr>
            <w:spacing w:before="60" w:after="60"/>
            <w:ind w:firstLineChars="0"/>
            <w:outlineLvl w:val="4"/>
            <w:rPr>
              <w:b/>
            </w:rPr>
          </w:pPr>
          <w:r>
            <w:rPr>
              <w:rFonts w:hint="eastAsia"/>
              <w:b/>
            </w:rPr>
            <w:t>环保与安全情况</w:t>
          </w:r>
        </w:p>
        <w:p>
          <w:pPr>
            <w:pStyle w:val="55"/>
            <w:numPr>
              <w:ilvl w:val="0"/>
              <w:numId w:val="18"/>
            </w:numPr>
            <w:ind w:firstLineChars="0"/>
            <w:outlineLvl w:val="5"/>
            <w:rPr>
              <w:b/>
            </w:rPr>
          </w:pPr>
          <w:r>
            <w:rPr>
              <w:b/>
            </w:rPr>
            <w:t>公司报告期内重大安全生产事故基本情况</w:t>
          </w:r>
        </w:p>
        <w:sdt>
          <w:sdtPr>
            <w:rPr>
              <w:rFonts w:hint="eastAsia"/>
            </w:rPr>
            <w:alias w:val="是否适用：公司报告期内重大安全生产事故基本情况[双击切换]"/>
            <w:tag w:val="_GBC_6fc8e9f283224af49305e65272777278"/>
            <w:id w:val="865722572"/>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b/>
            </w:rPr>
          </w:pPr>
        </w:p>
        <w:p>
          <w:pPr>
            <w:pStyle w:val="55"/>
            <w:numPr>
              <w:ilvl w:val="0"/>
              <w:numId w:val="18"/>
            </w:numPr>
            <w:ind w:firstLineChars="0"/>
            <w:outlineLvl w:val="5"/>
            <w:rPr>
              <w:b/>
              <w:bCs/>
              <w:szCs w:val="21"/>
            </w:rPr>
          </w:pPr>
          <w:r>
            <w:rPr>
              <w:rFonts w:hint="eastAsia"/>
              <w:b/>
              <w:bCs/>
              <w:szCs w:val="21"/>
            </w:rPr>
            <w:t>重大环保违规情况</w:t>
          </w:r>
        </w:p>
        <w:sdt>
          <w:sdtPr>
            <w:rPr>
              <w:rFonts w:hint="eastAsia"/>
            </w:rPr>
            <w:alias w:val="是否适用：环保与安全其他情况说明[双击切换]"/>
            <w:tag w:val="_GBC_7fbc6bc0b93a42f69883dde3c701c014"/>
            <w:id w:val="865722573"/>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p>
      <w:pPr>
        <w:pStyle w:val="4"/>
        <w:numPr>
          <w:ilvl w:val="0"/>
          <w:numId w:val="8"/>
        </w:numPr>
        <w:rPr>
          <w:szCs w:val="21"/>
        </w:rPr>
      </w:pPr>
      <w:r>
        <w:rPr>
          <w:rFonts w:hint="eastAsia"/>
          <w:szCs w:val="21"/>
        </w:rPr>
        <w:t>投资状况分析</w:t>
      </w:r>
    </w:p>
    <w:p>
      <w:pPr>
        <w:pStyle w:val="5"/>
      </w:pPr>
      <w:r>
        <w:t>对外股权投资总体分析</w:t>
      </w:r>
    </w:p>
    <w:sdt>
      <w:sdtPr>
        <w:rPr>
          <w:szCs w:val="21"/>
        </w:rPr>
        <w:alias w:val="模块:对外股权投资总体分析"/>
        <w:tag w:val="_SEC_4b4a052df79741968a7e11e5835fce59"/>
        <w:id w:val="865722577"/>
        <w:lock w:val="sdtLocked"/>
        <w:placeholder>
          <w:docPart w:val="GBC22222222222222222222222222222"/>
        </w:placeholder>
      </w:sdtPr>
      <w:sdtEndPr>
        <w:rPr>
          <w:rFonts w:hint="eastAsia" w:asciiTheme="minorEastAsia" w:hAnsiTheme="minorEastAsia" w:eastAsiaTheme="minorEastAsia"/>
          <w:szCs w:val="21"/>
        </w:rPr>
      </w:sdtEndPr>
      <w:sdtContent>
        <w:sdt>
          <w:sdtPr>
            <w:rPr>
              <w:szCs w:val="21"/>
            </w:rPr>
            <w:alias w:val="是否适用：对外股权投资总体分析[双击切换]"/>
            <w:tag w:val="_GBC_cfb706fadf2c47bbbaf1bf90c054ccaf"/>
            <w:id w:val="865722575"/>
            <w:lock w:val="sdtLocked"/>
            <w:placeholder>
              <w:docPart w:val="GBC22222222222222222222222222222"/>
            </w:placeholder>
          </w:sdtPr>
          <w:sdtEndPr>
            <w:rPr>
              <w:szCs w:val="21"/>
            </w:rPr>
          </w:sdtEndPr>
          <w:sdtContent>
            <w:p>
              <w:pPr>
                <w:rPr>
                  <w:szCs w:val="21"/>
                </w:rPr>
              </w:pPr>
              <w:bookmarkStart w:id="38" w:name="_Hlk533435130"/>
              <w:bookmarkEnd w:id="38"/>
              <w:bookmarkStart w:id="39" w:name="_Hlk533435360"/>
              <w:bookmarkEnd w:id="39"/>
              <w:bookmarkStart w:id="40" w:name="_Hlk533666971"/>
              <w:bookmarkEnd w:id="40"/>
              <w:bookmarkStart w:id="41" w:name="_Hlk533433706"/>
              <w:bookmarkEnd w:id="41"/>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865722576"/>
            <w:lock w:val="sdtLocked"/>
            <w:placeholder>
              <w:docPart w:val="GBC22222222222222222222222222222"/>
            </w:placeholder>
          </w:sdtPr>
          <w:sdtEndPr>
            <w:rPr>
              <w:szCs w:val="21"/>
            </w:rPr>
          </w:sdtEndPr>
          <w:sdtContent>
            <w:p>
              <w:pPr>
                <w:rPr>
                  <w:szCs w:val="21"/>
                </w:rPr>
              </w:pPr>
              <w:r>
                <w:rPr>
                  <w:rFonts w:hint="eastAsia"/>
                  <w:szCs w:val="21"/>
                </w:rPr>
                <w:t>详见下述</w:t>
              </w:r>
            </w:p>
          </w:sdtContent>
        </w:sdt>
        <w:p>
          <w:pPr>
            <w:rPr>
              <w:rFonts w:asciiTheme="minorEastAsia" w:hAnsiTheme="minorEastAsia" w:eastAsiaTheme="minorEastAsia"/>
              <w:szCs w:val="21"/>
            </w:rPr>
          </w:pPr>
        </w:p>
      </w:sdtContent>
    </w:sdt>
    <w:sdt>
      <w:sdtPr>
        <w:rPr>
          <w:rFonts w:hint="eastAsia" w:ascii="宋体" w:hAnsi="宋体" w:cs="宋体"/>
          <w:b w:val="0"/>
          <w:bCs w:val="0"/>
          <w:kern w:val="0"/>
          <w:szCs w:val="21"/>
        </w:rPr>
        <w:alias w:val="模块:重大的股权投资"/>
        <w:tag w:val="_SEC_e305a089659a4e8f8dd9498c36674ab7"/>
        <w:id w:val="865722579"/>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19"/>
            </w:numPr>
            <w:rPr>
              <w:szCs w:val="21"/>
            </w:rPr>
          </w:pPr>
          <w:r>
            <w:rPr>
              <w:rFonts w:hint="eastAsia"/>
              <w:szCs w:val="21"/>
            </w:rPr>
            <w:t>重大的股权投资</w:t>
          </w:r>
        </w:p>
        <w:sdt>
          <w:sdtPr>
            <w:rPr>
              <w:rFonts w:hint="eastAsia"/>
            </w:rPr>
            <w:alias w:val="是否适用：重大的股权投资[双击切换]"/>
            <w:tag w:val="_GBC_b20506918d854c13b13a3b89dd84c7d3"/>
            <w:id w:val="865722578"/>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1"/>
        </w:rPr>
        <w:alias w:val="模块:重大的非股权投资"/>
        <w:tag w:val="_SEC_a184487ede57408c81910695beb0ed38"/>
        <w:id w:val="865722581"/>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19"/>
            </w:numPr>
            <w:rPr>
              <w:rFonts w:ascii="宋体" w:hAnsi="宋体" w:cs="宋体"/>
              <w:kern w:val="0"/>
              <w:szCs w:val="21"/>
            </w:rPr>
          </w:pPr>
          <w:r>
            <w:rPr>
              <w:rFonts w:hint="eastAsia" w:ascii="宋体" w:hAnsi="宋体" w:cs="宋体"/>
              <w:kern w:val="0"/>
              <w:szCs w:val="21"/>
            </w:rPr>
            <w:t>重大的非股权投资</w:t>
          </w:r>
        </w:p>
        <w:sdt>
          <w:sdtPr>
            <w:rPr>
              <w:rFonts w:hint="eastAsia"/>
            </w:rPr>
            <w:alias w:val="是否适用：重大的非股权投资[双击切换]"/>
            <w:tag w:val="_GBC_fbd46075a5b9414d9e28cd2404e5d47c"/>
            <w:id w:val="865722580"/>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1"/>
        </w:rPr>
        <w:alias w:val="模块:以公允价值计量的金融资产"/>
        <w:tag w:val="_SEC_b68803fb05c54f76bddc131e89240164"/>
        <w:id w:val="865722584"/>
        <w:lock w:val="sdtLocked"/>
        <w:placeholder>
          <w:docPart w:val="GBC22222222222222222222222222222"/>
        </w:placeholder>
      </w:sdtPr>
      <w:sdtEndPr>
        <w:rPr>
          <w:rFonts w:hint="eastAsia" w:ascii="宋体" w:hAnsi="宋体" w:cs="宋体"/>
          <w:b w:val="0"/>
          <w:bCs w:val="0"/>
          <w:kern w:val="0"/>
          <w:szCs w:val="21"/>
        </w:rPr>
      </w:sdtEndPr>
      <w:sdtContent>
        <w:p>
          <w:pPr>
            <w:pStyle w:val="6"/>
            <w:numPr>
              <w:ilvl w:val="0"/>
              <w:numId w:val="19"/>
            </w:numPr>
            <w:rPr>
              <w:rFonts w:ascii="宋体" w:hAnsi="宋体" w:cs="宋体"/>
              <w:kern w:val="0"/>
              <w:szCs w:val="21"/>
            </w:rPr>
          </w:pPr>
          <w:r>
            <w:rPr>
              <w:rFonts w:hint="eastAsia" w:ascii="宋体" w:hAnsi="宋体" w:cs="宋体"/>
              <w:kern w:val="0"/>
              <w:szCs w:val="21"/>
            </w:rPr>
            <w:t>以公允价值计量的金融资产</w:t>
          </w:r>
        </w:p>
        <w:sdt>
          <w:sdtPr>
            <w:rPr>
              <w:rFonts w:hint="eastAsia" w:cs="Times New Roman"/>
              <w:kern w:val="2"/>
              <w:szCs w:val="21"/>
            </w:rPr>
            <w:alias w:val="是否适用：以公允价值计量的金融资产[双击切换]"/>
            <w:tag w:val="_GBC_27fa42d1c8fd489d9e8648bed00ddd53"/>
            <w:id w:val="865722582"/>
            <w:lock w:val="sdtLocked"/>
            <w:placeholder>
              <w:docPart w:val="GBC22222222222222222222222222222"/>
            </w:placeholder>
          </w:sdtPr>
          <w:sdtEndPr>
            <w:rPr>
              <w:rFonts w:hint="eastAsia" w:cs="Times New Roman"/>
              <w:kern w:val="2"/>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宋体" w:hAnsi="宋体" w:cs="宋体"/>
              <w:b w:val="0"/>
              <w:bCs w:val="0"/>
              <w:szCs w:val="21"/>
            </w:rPr>
            <w:alias w:val="以公允价值计量的金融资产情况"/>
            <w:tag w:val="_GBC_770598c7d37b42d4b174a65d01e502de"/>
            <w:id w:val="865722583"/>
            <w:lock w:val="sdtLocked"/>
            <w:placeholder>
              <w:docPart w:val="GBC22222222222222222222222222222"/>
            </w:placeholder>
          </w:sdtPr>
          <w:sdtEndPr>
            <w:rPr>
              <w:rFonts w:hint="eastAsia" w:ascii="宋体" w:hAnsi="宋体" w:cs="宋体"/>
              <w:b w:val="0"/>
              <w:bCs w:val="0"/>
              <w:szCs w:val="21"/>
            </w:rPr>
          </w:sdtEndPr>
          <w:sdtContent>
            <w:p>
              <w:pPr>
                <w:pStyle w:val="7"/>
                <w:ind w:left="360"/>
                <w:rPr>
                  <w:rFonts w:ascii="Cambria" w:hAnsi="Cambria" w:cs="Times New Roman"/>
                </w:rPr>
              </w:pPr>
              <w:r>
                <w:rPr>
                  <w:rFonts w:hint="eastAsia" w:ascii="Cambria" w:hAnsi="Cambria" w:cs="Times New Roman"/>
                </w:rPr>
                <w:t>证券投资情况</w:t>
              </w:r>
              <w:r>
                <w:rPr>
                  <w:rFonts w:ascii="Cambria" w:hAnsi="Cambria" w:cs="Times New Roman"/>
                </w:rPr>
                <w:t xml:space="preserve">                            </w:t>
              </w:r>
            </w:p>
            <w:tbl>
              <w:tblPr>
                <w:tblStyle w:val="105"/>
                <w:tblW w:w="9645" w:type="dxa"/>
                <w:tblInd w:w="-459" w:type="dxa"/>
                <w:tblLayout w:type="fixed"/>
                <w:tblCellMar>
                  <w:top w:w="0" w:type="dxa"/>
                  <w:left w:w="108" w:type="dxa"/>
                  <w:bottom w:w="0" w:type="dxa"/>
                  <w:right w:w="108" w:type="dxa"/>
                </w:tblCellMar>
              </w:tblPr>
              <w:tblGrid>
                <w:gridCol w:w="407"/>
                <w:gridCol w:w="835"/>
                <w:gridCol w:w="975"/>
                <w:gridCol w:w="1327"/>
                <w:gridCol w:w="1559"/>
                <w:gridCol w:w="1276"/>
                <w:gridCol w:w="1559"/>
                <w:gridCol w:w="1707"/>
              </w:tblGrid>
              <w:tr>
                <w:trPr>
                  <w:trHeight w:val="285" w:hRule="atLeast"/>
                </w:trPr>
                <w:tc>
                  <w:tcPr>
                    <w:tcW w:w="407" w:type="dxa"/>
                    <w:vMerge w:val="restart"/>
                    <w:tcBorders>
                      <w:top w:val="single" w:color="auto" w:sz="8" w:space="0"/>
                      <w:left w:val="single" w:color="auto" w:sz="8" w:space="0"/>
                      <w:bottom w:val="single" w:color="000000"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序号</w:t>
                    </w:r>
                  </w:p>
                </w:tc>
                <w:tc>
                  <w:tcPr>
                    <w:tcW w:w="835" w:type="dxa"/>
                    <w:vMerge w:val="restart"/>
                    <w:tcBorders>
                      <w:top w:val="single" w:color="auto" w:sz="8" w:space="0"/>
                      <w:left w:val="single" w:color="auto" w:sz="8" w:space="0"/>
                      <w:bottom w:val="single" w:color="000000"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证券品种</w:t>
                    </w:r>
                  </w:p>
                </w:tc>
                <w:tc>
                  <w:tcPr>
                    <w:tcW w:w="975" w:type="dxa"/>
                    <w:vMerge w:val="restart"/>
                    <w:tcBorders>
                      <w:top w:val="single" w:color="auto" w:sz="8" w:space="0"/>
                      <w:left w:val="single" w:color="auto" w:sz="8" w:space="0"/>
                      <w:bottom w:val="single" w:color="000000"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证券</w:t>
                    </w:r>
                  </w:p>
                  <w:p>
                    <w:pPr>
                      <w:jc w:val="center"/>
                      <w:rPr>
                        <w:rFonts w:ascii="Times New Roman" w:hAnsi="Times New Roman"/>
                        <w:kern w:val="2"/>
                        <w:szCs w:val="21"/>
                      </w:rPr>
                    </w:pPr>
                    <w:r>
                      <w:rPr>
                        <w:rFonts w:ascii="Times New Roman" w:hAnsi="Times New Roman"/>
                        <w:kern w:val="2"/>
                        <w:szCs w:val="21"/>
                      </w:rPr>
                      <w:t>代码</w:t>
                    </w:r>
                  </w:p>
                </w:tc>
                <w:tc>
                  <w:tcPr>
                    <w:tcW w:w="1327" w:type="dxa"/>
                    <w:vMerge w:val="restart"/>
                    <w:tcBorders>
                      <w:top w:val="single" w:color="auto" w:sz="8" w:space="0"/>
                      <w:left w:val="single" w:color="auto" w:sz="8" w:space="0"/>
                      <w:bottom w:val="single" w:color="000000"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证券简称</w:t>
                    </w:r>
                  </w:p>
                </w:tc>
                <w:tc>
                  <w:tcPr>
                    <w:tcW w:w="1559" w:type="dxa"/>
                    <w:vMerge w:val="restart"/>
                    <w:tcBorders>
                      <w:top w:val="single" w:color="auto" w:sz="8" w:space="0"/>
                      <w:left w:val="single" w:color="auto" w:sz="8" w:space="0"/>
                      <w:bottom w:val="single" w:color="000000"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最初投资金额（元）</w:t>
                    </w:r>
                  </w:p>
                </w:tc>
                <w:tc>
                  <w:tcPr>
                    <w:tcW w:w="1276" w:type="dxa"/>
                    <w:tcBorders>
                      <w:top w:val="single" w:color="auto" w:sz="8" w:space="0"/>
                      <w:left w:val="nil"/>
                      <w:bottom w:val="nil"/>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持有数量</w:t>
                    </w:r>
                  </w:p>
                </w:tc>
                <w:tc>
                  <w:tcPr>
                    <w:tcW w:w="1559" w:type="dxa"/>
                    <w:vMerge w:val="restart"/>
                    <w:tcBorders>
                      <w:top w:val="single" w:color="auto" w:sz="8" w:space="0"/>
                      <w:left w:val="single" w:color="auto" w:sz="8" w:space="0"/>
                      <w:bottom w:val="single" w:color="000000"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期末账面价值（元）</w:t>
                    </w:r>
                  </w:p>
                </w:tc>
                <w:tc>
                  <w:tcPr>
                    <w:tcW w:w="1707" w:type="dxa"/>
                    <w:vMerge w:val="restart"/>
                    <w:tcBorders>
                      <w:top w:val="single" w:color="auto" w:sz="8" w:space="0"/>
                      <w:left w:val="single" w:color="auto" w:sz="8" w:space="0"/>
                      <w:bottom w:val="single" w:color="000000"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会计核算科目</w:t>
                    </w:r>
                  </w:p>
                </w:tc>
              </w:tr>
              <w:tr>
                <w:tblPrEx>
                  <w:tblCellMar>
                    <w:top w:w="0" w:type="dxa"/>
                    <w:left w:w="108" w:type="dxa"/>
                    <w:bottom w:w="0" w:type="dxa"/>
                    <w:right w:w="108" w:type="dxa"/>
                  </w:tblCellMar>
                </w:tblPrEx>
                <w:trPr>
                  <w:trHeight w:val="300" w:hRule="atLeast"/>
                </w:trPr>
                <w:tc>
                  <w:tcPr>
                    <w:tcW w:w="407" w:type="dxa"/>
                    <w:vMerge w:val="continue"/>
                    <w:tcBorders>
                      <w:top w:val="single" w:color="auto" w:sz="8" w:space="0"/>
                      <w:left w:val="single" w:color="auto" w:sz="8" w:space="0"/>
                      <w:bottom w:val="single" w:color="000000" w:sz="8" w:space="0"/>
                      <w:right w:val="single" w:color="auto" w:sz="8" w:space="0"/>
                    </w:tcBorders>
                    <w:vAlign w:val="center"/>
                  </w:tcPr>
                  <w:p>
                    <w:pPr>
                      <w:rPr>
                        <w:rFonts w:ascii="Times New Roman" w:hAnsi="Times New Roman"/>
                        <w:kern w:val="2"/>
                        <w:szCs w:val="21"/>
                      </w:rPr>
                    </w:pPr>
                  </w:p>
                </w:tc>
                <w:tc>
                  <w:tcPr>
                    <w:tcW w:w="835" w:type="dxa"/>
                    <w:vMerge w:val="continue"/>
                    <w:tcBorders>
                      <w:top w:val="single" w:color="auto" w:sz="8" w:space="0"/>
                      <w:left w:val="single" w:color="auto" w:sz="8" w:space="0"/>
                      <w:bottom w:val="single" w:color="000000" w:sz="8" w:space="0"/>
                      <w:right w:val="single" w:color="auto" w:sz="8" w:space="0"/>
                    </w:tcBorders>
                    <w:vAlign w:val="center"/>
                  </w:tcPr>
                  <w:p>
                    <w:pPr>
                      <w:rPr>
                        <w:rFonts w:ascii="Times New Roman" w:hAnsi="Times New Roman"/>
                        <w:kern w:val="2"/>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rPr>
                        <w:rFonts w:ascii="Times New Roman" w:hAnsi="Times New Roman"/>
                        <w:kern w:val="2"/>
                        <w:szCs w:val="21"/>
                      </w:rPr>
                    </w:pPr>
                  </w:p>
                </w:tc>
                <w:tc>
                  <w:tcPr>
                    <w:tcW w:w="1327" w:type="dxa"/>
                    <w:vMerge w:val="continue"/>
                    <w:tcBorders>
                      <w:top w:val="single" w:color="auto" w:sz="8" w:space="0"/>
                      <w:left w:val="single" w:color="auto" w:sz="8" w:space="0"/>
                      <w:bottom w:val="single" w:color="000000" w:sz="8" w:space="0"/>
                      <w:right w:val="single" w:color="auto" w:sz="8" w:space="0"/>
                    </w:tcBorders>
                    <w:vAlign w:val="center"/>
                  </w:tcPr>
                  <w:p>
                    <w:pPr>
                      <w:rPr>
                        <w:rFonts w:ascii="Times New Roman" w:hAnsi="Times New Roman"/>
                        <w:kern w:val="2"/>
                        <w:szCs w:val="21"/>
                      </w:rPr>
                    </w:pP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rPr>
                        <w:rFonts w:ascii="Times New Roman" w:hAnsi="Times New Roman"/>
                        <w:kern w:val="2"/>
                        <w:szCs w:val="21"/>
                      </w:rPr>
                    </w:pPr>
                  </w:p>
                </w:tc>
                <w:tc>
                  <w:tcPr>
                    <w:tcW w:w="1276"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（股）</w:t>
                    </w: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rPr>
                        <w:rFonts w:ascii="Times New Roman" w:hAnsi="Times New Roman"/>
                        <w:kern w:val="2"/>
                        <w:szCs w:val="21"/>
                      </w:rPr>
                    </w:pPr>
                  </w:p>
                </w:tc>
                <w:tc>
                  <w:tcPr>
                    <w:tcW w:w="1707" w:type="dxa"/>
                    <w:vMerge w:val="continue"/>
                    <w:tcBorders>
                      <w:top w:val="single" w:color="auto" w:sz="8" w:space="0"/>
                      <w:left w:val="single" w:color="auto" w:sz="8" w:space="0"/>
                      <w:bottom w:val="single" w:color="000000" w:sz="8" w:space="0"/>
                      <w:right w:val="single" w:color="auto" w:sz="8" w:space="0"/>
                    </w:tcBorders>
                    <w:vAlign w:val="center"/>
                  </w:tcPr>
                  <w:p>
                    <w:pPr>
                      <w:rPr>
                        <w:rFonts w:ascii="Times New Roman" w:hAnsi="Times New Roman"/>
                        <w:kern w:val="2"/>
                        <w:szCs w:val="21"/>
                      </w:rPr>
                    </w:pPr>
                  </w:p>
                </w:tc>
              </w:tr>
              <w:tr>
                <w:tblPrEx>
                  <w:tblCellMar>
                    <w:top w:w="0" w:type="dxa"/>
                    <w:left w:w="108" w:type="dxa"/>
                    <w:bottom w:w="0" w:type="dxa"/>
                    <w:right w:w="108" w:type="dxa"/>
                  </w:tblCellMar>
                </w:tblPrEx>
                <w:trPr>
                  <w:trHeight w:val="555" w:hRule="atLeast"/>
                </w:trPr>
                <w:tc>
                  <w:tcPr>
                    <w:tcW w:w="407" w:type="dxa"/>
                    <w:tcBorders>
                      <w:top w:val="nil"/>
                      <w:left w:val="single" w:color="auto" w:sz="8" w:space="0"/>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1</w:t>
                    </w:r>
                  </w:p>
                </w:tc>
                <w:tc>
                  <w:tcPr>
                    <w:tcW w:w="835"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股票</w:t>
                    </w:r>
                  </w:p>
                </w:tc>
                <w:tc>
                  <w:tcPr>
                    <w:tcW w:w="975"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600030</w:t>
                    </w:r>
                  </w:p>
                </w:tc>
                <w:tc>
                  <w:tcPr>
                    <w:tcW w:w="1327"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中信证券</w:t>
                    </w:r>
                  </w:p>
                </w:tc>
                <w:tc>
                  <w:tcPr>
                    <w:tcW w:w="1559" w:type="dxa"/>
                    <w:tcBorders>
                      <w:top w:val="nil"/>
                      <w:left w:val="nil"/>
                      <w:bottom w:val="single" w:color="auto" w:sz="8" w:space="0"/>
                      <w:right w:val="single" w:color="auto" w:sz="8" w:space="0"/>
                    </w:tcBorders>
                    <w:vAlign w:val="center"/>
                  </w:tcPr>
                  <w:p>
                    <w:pPr>
                      <w:jc w:val="right"/>
                      <w:rPr>
                        <w:rFonts w:ascii="Times New Roman" w:hAnsi="Times New Roman"/>
                        <w:kern w:val="2"/>
                        <w:szCs w:val="21"/>
                      </w:rPr>
                    </w:pPr>
                    <w:r>
                      <w:rPr>
                        <w:rFonts w:ascii="Times New Roman" w:hAnsi="Times New Roman"/>
                        <w:kern w:val="2"/>
                        <w:szCs w:val="21"/>
                      </w:rPr>
                      <w:t>25</w:t>
                    </w:r>
                    <w:r>
                      <w:rPr>
                        <w:rFonts w:hint="eastAsia" w:ascii="Times New Roman" w:hAnsi="Times New Roman"/>
                        <w:kern w:val="2"/>
                        <w:szCs w:val="21"/>
                      </w:rPr>
                      <w:t>,</w:t>
                    </w:r>
                    <w:r>
                      <w:rPr>
                        <w:rFonts w:ascii="Times New Roman" w:hAnsi="Times New Roman"/>
                        <w:kern w:val="2"/>
                        <w:szCs w:val="21"/>
                      </w:rPr>
                      <w:t>988</w:t>
                    </w:r>
                    <w:r>
                      <w:rPr>
                        <w:rFonts w:hint="eastAsia" w:ascii="Times New Roman" w:hAnsi="Times New Roman"/>
                        <w:kern w:val="2"/>
                        <w:szCs w:val="21"/>
                      </w:rPr>
                      <w:t>,</w:t>
                    </w:r>
                    <w:r>
                      <w:rPr>
                        <w:rFonts w:ascii="Times New Roman" w:hAnsi="Times New Roman"/>
                        <w:kern w:val="2"/>
                        <w:szCs w:val="21"/>
                      </w:rPr>
                      <w:t>093.46</w:t>
                    </w:r>
                  </w:p>
                </w:tc>
                <w:tc>
                  <w:tcPr>
                    <w:tcW w:w="1276" w:type="dxa"/>
                    <w:tcBorders>
                      <w:top w:val="nil"/>
                      <w:left w:val="nil"/>
                      <w:bottom w:val="single" w:color="auto" w:sz="8" w:space="0"/>
                      <w:right w:val="single" w:color="auto" w:sz="8" w:space="0"/>
                    </w:tcBorders>
                    <w:vAlign w:val="center"/>
                  </w:tcPr>
                  <w:p>
                    <w:pPr>
                      <w:jc w:val="right"/>
                      <w:rPr>
                        <w:rFonts w:ascii="Times New Roman" w:hAnsi="Times New Roman"/>
                        <w:kern w:val="2"/>
                        <w:szCs w:val="21"/>
                      </w:rPr>
                    </w:pPr>
                    <w:r>
                      <w:rPr>
                        <w:rFonts w:ascii="Times New Roman" w:hAnsi="Times New Roman"/>
                        <w:kern w:val="2"/>
                        <w:szCs w:val="21"/>
                      </w:rPr>
                      <w:t>8</w:t>
                    </w:r>
                    <w:r>
                      <w:rPr>
                        <w:rFonts w:hint="eastAsia" w:ascii="Times New Roman" w:hAnsi="Times New Roman"/>
                        <w:kern w:val="2"/>
                        <w:szCs w:val="21"/>
                      </w:rPr>
                      <w:t>,</w:t>
                    </w:r>
                    <w:r>
                      <w:rPr>
                        <w:rFonts w:ascii="Times New Roman" w:hAnsi="Times New Roman"/>
                        <w:kern w:val="2"/>
                        <w:szCs w:val="21"/>
                      </w:rPr>
                      <w:t>659</w:t>
                    </w:r>
                    <w:r>
                      <w:rPr>
                        <w:rFonts w:hint="eastAsia" w:ascii="Times New Roman" w:hAnsi="Times New Roman"/>
                        <w:kern w:val="2"/>
                        <w:szCs w:val="21"/>
                      </w:rPr>
                      <w:t>,</w:t>
                    </w:r>
                    <w:r>
                      <w:rPr>
                        <w:rFonts w:ascii="Times New Roman" w:hAnsi="Times New Roman"/>
                        <w:kern w:val="2"/>
                        <w:szCs w:val="21"/>
                      </w:rPr>
                      <w:t>800</w:t>
                    </w:r>
                  </w:p>
                </w:tc>
                <w:tc>
                  <w:tcPr>
                    <w:tcW w:w="1559" w:type="dxa"/>
                    <w:tcBorders>
                      <w:top w:val="nil"/>
                      <w:left w:val="nil"/>
                      <w:bottom w:val="single" w:color="auto" w:sz="8" w:space="0"/>
                      <w:right w:val="single" w:color="auto" w:sz="8" w:space="0"/>
                    </w:tcBorders>
                    <w:vAlign w:val="center"/>
                  </w:tcPr>
                  <w:p>
                    <w:pPr>
                      <w:jc w:val="right"/>
                      <w:rPr>
                        <w:rFonts w:ascii="Times New Roman" w:hAnsi="Times New Roman"/>
                        <w:kern w:val="2"/>
                        <w:szCs w:val="21"/>
                      </w:rPr>
                    </w:pPr>
                    <w:r>
                      <w:rPr>
                        <w:rFonts w:ascii="Times New Roman" w:hAnsi="Times New Roman"/>
                        <w:kern w:val="2"/>
                        <w:szCs w:val="21"/>
                      </w:rPr>
                      <w:t>228,705,318.00</w:t>
                    </w:r>
                  </w:p>
                </w:tc>
                <w:tc>
                  <w:tcPr>
                    <w:tcW w:w="1707" w:type="dxa"/>
                    <w:tcBorders>
                      <w:top w:val="nil"/>
                      <w:left w:val="nil"/>
                      <w:bottom w:val="single" w:color="auto" w:sz="8" w:space="0"/>
                      <w:right w:val="single" w:color="auto" w:sz="8" w:space="0"/>
                    </w:tcBorders>
                    <w:vAlign w:val="center"/>
                  </w:tcPr>
                  <w:p>
                    <w:pPr>
                      <w:rPr>
                        <w:rFonts w:ascii="Times New Roman" w:hAnsi="Times New Roman"/>
                        <w:kern w:val="2"/>
                        <w:szCs w:val="21"/>
                      </w:rPr>
                    </w:pPr>
                    <w:r>
                      <w:rPr>
                        <w:rFonts w:ascii="Times New Roman" w:hAnsi="Times New Roman"/>
                        <w:kern w:val="2"/>
                        <w:szCs w:val="21"/>
                      </w:rPr>
                      <w:t>交易性金融资产</w:t>
                    </w:r>
                  </w:p>
                </w:tc>
              </w:tr>
              <w:tr>
                <w:tblPrEx>
                  <w:tblCellMar>
                    <w:top w:w="0" w:type="dxa"/>
                    <w:left w:w="108" w:type="dxa"/>
                    <w:bottom w:w="0" w:type="dxa"/>
                    <w:right w:w="108" w:type="dxa"/>
                  </w:tblCellMar>
                </w:tblPrEx>
                <w:trPr>
                  <w:trHeight w:val="555" w:hRule="atLeast"/>
                </w:trPr>
                <w:tc>
                  <w:tcPr>
                    <w:tcW w:w="407" w:type="dxa"/>
                    <w:tcBorders>
                      <w:top w:val="nil"/>
                      <w:left w:val="single" w:color="auto" w:sz="8" w:space="0"/>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2</w:t>
                    </w:r>
                  </w:p>
                </w:tc>
                <w:tc>
                  <w:tcPr>
                    <w:tcW w:w="835"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股票</w:t>
                    </w:r>
                  </w:p>
                </w:tc>
                <w:tc>
                  <w:tcPr>
                    <w:tcW w:w="975"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601328</w:t>
                    </w:r>
                  </w:p>
                </w:tc>
                <w:tc>
                  <w:tcPr>
                    <w:tcW w:w="1327"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交通银行</w:t>
                    </w:r>
                  </w:p>
                </w:tc>
                <w:tc>
                  <w:tcPr>
                    <w:tcW w:w="1559" w:type="dxa"/>
                    <w:tcBorders>
                      <w:top w:val="nil"/>
                      <w:left w:val="nil"/>
                      <w:bottom w:val="single" w:color="auto" w:sz="8" w:space="0"/>
                      <w:right w:val="single" w:color="auto" w:sz="8" w:space="0"/>
                    </w:tcBorders>
                    <w:vAlign w:val="center"/>
                  </w:tcPr>
                  <w:p>
                    <w:pPr>
                      <w:jc w:val="right"/>
                      <w:rPr>
                        <w:rFonts w:ascii="Times New Roman" w:hAnsi="Times New Roman"/>
                        <w:kern w:val="2"/>
                        <w:szCs w:val="21"/>
                      </w:rPr>
                    </w:pPr>
                    <w:r>
                      <w:rPr>
                        <w:rFonts w:ascii="Times New Roman" w:hAnsi="Times New Roman"/>
                        <w:kern w:val="2"/>
                        <w:szCs w:val="21"/>
                      </w:rPr>
                      <w:t>67,508.50</w:t>
                    </w:r>
                  </w:p>
                </w:tc>
                <w:tc>
                  <w:tcPr>
                    <w:tcW w:w="1276" w:type="dxa"/>
                    <w:tcBorders>
                      <w:top w:val="nil"/>
                      <w:left w:val="nil"/>
                      <w:bottom w:val="single" w:color="auto" w:sz="8" w:space="0"/>
                      <w:right w:val="single" w:color="auto" w:sz="8" w:space="0"/>
                    </w:tcBorders>
                    <w:vAlign w:val="center"/>
                  </w:tcPr>
                  <w:p>
                    <w:pPr>
                      <w:jc w:val="right"/>
                      <w:rPr>
                        <w:rFonts w:ascii="Times New Roman" w:hAnsi="Times New Roman"/>
                        <w:kern w:val="2"/>
                        <w:szCs w:val="21"/>
                      </w:rPr>
                    </w:pPr>
                    <w:r>
                      <w:rPr>
                        <w:rFonts w:ascii="Times New Roman" w:hAnsi="Times New Roman"/>
                        <w:kern w:val="2"/>
                        <w:szCs w:val="21"/>
                      </w:rPr>
                      <w:t>51</w:t>
                    </w:r>
                    <w:r>
                      <w:rPr>
                        <w:rFonts w:hint="eastAsia" w:ascii="Times New Roman" w:hAnsi="Times New Roman"/>
                        <w:kern w:val="2"/>
                        <w:szCs w:val="21"/>
                      </w:rPr>
                      <w:t>,</w:t>
                    </w:r>
                    <w:r>
                      <w:rPr>
                        <w:rFonts w:ascii="Times New Roman" w:hAnsi="Times New Roman"/>
                        <w:kern w:val="2"/>
                        <w:szCs w:val="21"/>
                      </w:rPr>
                      <w:t>551</w:t>
                    </w:r>
                  </w:p>
                </w:tc>
                <w:tc>
                  <w:tcPr>
                    <w:tcW w:w="1559" w:type="dxa"/>
                    <w:tcBorders>
                      <w:top w:val="nil"/>
                      <w:left w:val="nil"/>
                      <w:bottom w:val="single" w:color="auto" w:sz="8" w:space="0"/>
                      <w:right w:val="single" w:color="auto" w:sz="8" w:space="0"/>
                    </w:tcBorders>
                    <w:vAlign w:val="center"/>
                  </w:tcPr>
                  <w:p>
                    <w:pPr>
                      <w:jc w:val="right"/>
                      <w:rPr>
                        <w:rFonts w:ascii="Times New Roman" w:hAnsi="Times New Roman"/>
                        <w:kern w:val="2"/>
                        <w:szCs w:val="21"/>
                      </w:rPr>
                    </w:pPr>
                    <w:r>
                      <w:rPr>
                        <w:rFonts w:ascii="Times New Roman" w:hAnsi="Times New Roman"/>
                        <w:kern w:val="2"/>
                        <w:szCs w:val="21"/>
                      </w:rPr>
                      <w:t>237,650.11</w:t>
                    </w:r>
                  </w:p>
                </w:tc>
                <w:tc>
                  <w:tcPr>
                    <w:tcW w:w="1707" w:type="dxa"/>
                    <w:tcBorders>
                      <w:top w:val="nil"/>
                      <w:left w:val="nil"/>
                      <w:bottom w:val="single" w:color="auto" w:sz="8" w:space="0"/>
                      <w:right w:val="single" w:color="auto" w:sz="8" w:space="0"/>
                    </w:tcBorders>
                    <w:vAlign w:val="center"/>
                  </w:tcPr>
                  <w:p>
                    <w:pPr>
                      <w:rPr>
                        <w:rFonts w:ascii="Times New Roman" w:hAnsi="Times New Roman"/>
                        <w:kern w:val="2"/>
                        <w:szCs w:val="21"/>
                      </w:rPr>
                    </w:pPr>
                    <w:r>
                      <w:rPr>
                        <w:rFonts w:ascii="Times New Roman" w:hAnsi="Times New Roman"/>
                        <w:kern w:val="2"/>
                        <w:szCs w:val="21"/>
                      </w:rPr>
                      <w:t>交易性金融资产</w:t>
                    </w:r>
                  </w:p>
                </w:tc>
              </w:tr>
              <w:tr>
                <w:tblPrEx>
                  <w:tblCellMar>
                    <w:top w:w="0" w:type="dxa"/>
                    <w:left w:w="108" w:type="dxa"/>
                    <w:bottom w:w="0" w:type="dxa"/>
                    <w:right w:w="108" w:type="dxa"/>
                  </w:tblCellMar>
                </w:tblPrEx>
                <w:trPr>
                  <w:trHeight w:val="590" w:hRule="atLeast"/>
                </w:trPr>
                <w:tc>
                  <w:tcPr>
                    <w:tcW w:w="407" w:type="dxa"/>
                    <w:tcBorders>
                      <w:top w:val="nil"/>
                      <w:left w:val="single" w:color="auto" w:sz="8" w:space="0"/>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3</w:t>
                    </w:r>
                  </w:p>
                </w:tc>
                <w:tc>
                  <w:tcPr>
                    <w:tcW w:w="835"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基金</w:t>
                    </w:r>
                  </w:p>
                </w:tc>
                <w:tc>
                  <w:tcPr>
                    <w:tcW w:w="975"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519800</w:t>
                    </w:r>
                  </w:p>
                </w:tc>
                <w:tc>
                  <w:tcPr>
                    <w:tcW w:w="1327"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货币基金</w:t>
                    </w:r>
                  </w:p>
                </w:tc>
                <w:tc>
                  <w:tcPr>
                    <w:tcW w:w="1559" w:type="dxa"/>
                    <w:tcBorders>
                      <w:top w:val="nil"/>
                      <w:left w:val="nil"/>
                      <w:bottom w:val="single" w:color="auto" w:sz="8" w:space="0"/>
                      <w:right w:val="single" w:color="auto" w:sz="8" w:space="0"/>
                    </w:tcBorders>
                    <w:vAlign w:val="center"/>
                  </w:tcPr>
                  <w:p>
                    <w:pPr>
                      <w:jc w:val="right"/>
                      <w:rPr>
                        <w:rFonts w:ascii="Times New Roman" w:hAnsi="Times New Roman"/>
                        <w:kern w:val="2"/>
                        <w:szCs w:val="21"/>
                      </w:rPr>
                    </w:pPr>
                    <w:r>
                      <w:rPr>
                        <w:rFonts w:ascii="Times New Roman" w:hAnsi="Times New Roman"/>
                        <w:kern w:val="2"/>
                        <w:szCs w:val="21"/>
                      </w:rPr>
                      <w:t>359,549.12</w:t>
                    </w:r>
                  </w:p>
                </w:tc>
                <w:tc>
                  <w:tcPr>
                    <w:tcW w:w="1276" w:type="dxa"/>
                    <w:tcBorders>
                      <w:top w:val="nil"/>
                      <w:left w:val="nil"/>
                      <w:bottom w:val="single" w:color="auto" w:sz="8" w:space="0"/>
                      <w:right w:val="single" w:color="auto" w:sz="8" w:space="0"/>
                    </w:tcBorders>
                    <w:vAlign w:val="center"/>
                  </w:tcPr>
                  <w:p>
                    <w:pPr>
                      <w:jc w:val="center"/>
                      <w:rPr>
                        <w:rFonts w:ascii="Times New Roman" w:hAnsi="Times New Roman"/>
                        <w:kern w:val="2"/>
                        <w:szCs w:val="21"/>
                      </w:rPr>
                    </w:pPr>
                    <w:r>
                      <w:rPr>
                        <w:rFonts w:ascii="Times New Roman" w:hAnsi="Times New Roman"/>
                        <w:kern w:val="2"/>
                        <w:szCs w:val="21"/>
                      </w:rPr>
                      <w:t>/</w:t>
                    </w:r>
                  </w:p>
                </w:tc>
                <w:tc>
                  <w:tcPr>
                    <w:tcW w:w="1559" w:type="dxa"/>
                    <w:tcBorders>
                      <w:top w:val="nil"/>
                      <w:left w:val="nil"/>
                      <w:bottom w:val="single" w:color="auto" w:sz="8" w:space="0"/>
                      <w:right w:val="single" w:color="auto" w:sz="8" w:space="0"/>
                    </w:tcBorders>
                    <w:vAlign w:val="center"/>
                  </w:tcPr>
                  <w:p>
                    <w:pPr>
                      <w:jc w:val="right"/>
                      <w:rPr>
                        <w:rFonts w:ascii="Times New Roman" w:hAnsi="Times New Roman"/>
                        <w:kern w:val="2"/>
                        <w:szCs w:val="21"/>
                      </w:rPr>
                    </w:pPr>
                    <w:r>
                      <w:rPr>
                        <w:rFonts w:ascii="Times New Roman" w:hAnsi="Times New Roman"/>
                        <w:kern w:val="2"/>
                        <w:szCs w:val="21"/>
                      </w:rPr>
                      <w:t>11,869,423.09</w:t>
                    </w:r>
                  </w:p>
                </w:tc>
                <w:tc>
                  <w:tcPr>
                    <w:tcW w:w="1707" w:type="dxa"/>
                    <w:tcBorders>
                      <w:top w:val="nil"/>
                      <w:left w:val="nil"/>
                      <w:bottom w:val="single" w:color="auto" w:sz="8" w:space="0"/>
                      <w:right w:val="single" w:color="auto" w:sz="8" w:space="0"/>
                    </w:tcBorders>
                    <w:vAlign w:val="center"/>
                  </w:tcPr>
                  <w:p>
                    <w:pPr>
                      <w:rPr>
                        <w:rFonts w:ascii="Times New Roman" w:hAnsi="Times New Roman"/>
                        <w:kern w:val="2"/>
                        <w:szCs w:val="21"/>
                      </w:rPr>
                    </w:pPr>
                    <w:r>
                      <w:rPr>
                        <w:rFonts w:ascii="Times New Roman" w:hAnsi="Times New Roman"/>
                        <w:kern w:val="2"/>
                        <w:szCs w:val="21"/>
                      </w:rPr>
                      <w:t>交易性金融资产</w:t>
                    </w:r>
                  </w:p>
                </w:tc>
              </w:tr>
            </w:tbl>
            <w:p/>
            <w:p>
              <w:pPr>
                <w:rPr>
                  <w:rFonts w:ascii="Times New Roman" w:hAnsi="Times New Roman" w:cs="Times New Roman"/>
                  <w:szCs w:val="21"/>
                </w:rPr>
              </w:pPr>
              <w:r>
                <w:rPr>
                  <w:rFonts w:ascii="Times New Roman" w:cs="Times New Roman"/>
                  <w:szCs w:val="21"/>
                </w:rPr>
                <w:t>说明：</w:t>
              </w:r>
              <w:r>
                <w:rPr>
                  <w:rFonts w:ascii="Times New Roman" w:hAnsi="Times New Roman" w:cs="Times New Roman"/>
                  <w:szCs w:val="21"/>
                </w:rPr>
                <w:t>公司202</w:t>
              </w:r>
              <w:r>
                <w:rPr>
                  <w:rFonts w:hint="eastAsia" w:ascii="Times New Roman" w:hAnsi="Times New Roman" w:cs="Times New Roman"/>
                  <w:szCs w:val="21"/>
                </w:rPr>
                <w:t>1</w:t>
              </w:r>
              <w:r>
                <w:rPr>
                  <w:rFonts w:ascii="Times New Roman" w:hAnsi="Times New Roman" w:cs="Times New Roman"/>
                  <w:szCs w:val="21"/>
                </w:rPr>
                <w:t>年收到中信证券</w:t>
              </w:r>
              <w:r>
                <w:rPr>
                  <w:rFonts w:hint="eastAsia" w:ascii="Times New Roman" w:hAnsi="Times New Roman" w:cs="Times New Roman"/>
                  <w:szCs w:val="21"/>
                </w:rPr>
                <w:t>2020</w:t>
              </w:r>
              <w:r>
                <w:rPr>
                  <w:rFonts w:ascii="Times New Roman" w:hAnsi="Times New Roman" w:cs="Times New Roman"/>
                  <w:szCs w:val="21"/>
                </w:rPr>
                <w:t>年度分红</w:t>
              </w:r>
              <w:r>
                <w:rPr>
                  <w:rFonts w:ascii="Times New Roman" w:hAnsi="Times New Roman" w:cs="Times New Roman"/>
                  <w:color w:val="000000"/>
                  <w:sz w:val="22"/>
                  <w:szCs w:val="22"/>
                </w:rPr>
                <w:t>346.39</w:t>
              </w:r>
              <w:r>
                <w:rPr>
                  <w:rFonts w:ascii="Times New Roman" w:hAnsi="Times New Roman" w:cs="Times New Roman"/>
                  <w:szCs w:val="21"/>
                </w:rPr>
                <w:t>万元,交通银行2020年度分红1.63</w:t>
              </w:r>
              <w:r>
                <w:rPr>
                  <w:rFonts w:hint="eastAsia" w:ascii="Times New Roman" w:hAnsi="Times New Roman" w:cs="Times New Roman"/>
                  <w:szCs w:val="21"/>
                </w:rPr>
                <w:t>万</w:t>
              </w:r>
              <w:r>
                <w:rPr>
                  <w:rFonts w:ascii="Times New Roman" w:hAnsi="Times New Roman" w:cs="Times New Roman"/>
                  <w:szCs w:val="21"/>
                </w:rPr>
                <w:t>元。</w:t>
              </w:r>
            </w:p>
            <w:p>
              <w:pPr>
                <w:rPr>
                  <w:color w:val="FF0000"/>
                  <w:sz w:val="24"/>
                  <w:szCs w:val="21"/>
                </w:rPr>
              </w:pPr>
            </w:p>
            <w:p>
              <w:pPr>
                <w:keepNext/>
                <w:keepLines/>
                <w:widowControl w:val="0"/>
                <w:spacing w:before="60" w:after="60"/>
                <w:jc w:val="both"/>
                <w:outlineLvl w:val="4"/>
                <w:rPr>
                  <w:rFonts w:ascii="Calibri" w:hAnsi="Calibri" w:cs="Times New Roman"/>
                  <w:b/>
                  <w:bCs/>
                  <w:kern w:val="2"/>
                  <w:szCs w:val="28"/>
                </w:rPr>
              </w:pPr>
              <w:r>
                <w:rPr>
                  <w:rFonts w:hint="eastAsia" w:ascii="Calibri" w:hAnsi="Calibri" w:cs="Times New Roman"/>
                  <w:b/>
                  <w:bCs/>
                  <w:kern w:val="2"/>
                  <w:szCs w:val="28"/>
                </w:rPr>
                <w:t>（4）持有非上市金融企业股权情况</w:t>
              </w:r>
            </w:p>
            <w:p>
              <w:pPr>
                <w:rPr>
                  <w:sz w:val="24"/>
                </w:rPr>
              </w:pPr>
              <w:r>
                <w:rPr>
                  <w:rFonts w:hint="eastAsia"/>
                  <w:sz w:val="24"/>
                </w:rPr>
                <w:t xml:space="preserve">                                                             </w:t>
              </w:r>
            </w:p>
            <w:tbl>
              <w:tblPr>
                <w:tblStyle w:val="105"/>
                <w:tblW w:w="9495"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276"/>
                <w:gridCol w:w="1276"/>
                <w:gridCol w:w="990"/>
                <w:gridCol w:w="1419"/>
                <w:gridCol w:w="1276"/>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所持对象名称</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最初投资金额（元）</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持有数量（股）</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占该公司股权比例</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期末账面价值（元）</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报告期损益（元）</w:t>
                    </w:r>
                  </w:p>
                </w:tc>
                <w:tc>
                  <w:tcPr>
                    <w:tcW w:w="14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会计核算科目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柳州银行股份有限公司</w:t>
                    </w:r>
                  </w:p>
                </w:tc>
                <w:tc>
                  <w:tcPr>
                    <w:tcW w:w="127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Cs w:val="21"/>
                      </w:rPr>
                    </w:pPr>
                    <w:r>
                      <w:rPr>
                        <w:rFonts w:ascii="Times New Roman" w:hAnsi="Times New Roman" w:cs="Times New Roman"/>
                        <w:color w:val="000000"/>
                        <w:szCs w:val="21"/>
                      </w:rPr>
                      <w:t>35,000,000</w:t>
                    </w:r>
                  </w:p>
                </w:tc>
                <w:tc>
                  <w:tcPr>
                    <w:tcW w:w="127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kern w:val="2"/>
                        <w:szCs w:val="21"/>
                      </w:rPr>
                      <w:t>20,000,000</w:t>
                    </w:r>
                  </w:p>
                </w:tc>
                <w:tc>
                  <w:tcPr>
                    <w:tcW w:w="990"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Cs w:val="21"/>
                      </w:rPr>
                    </w:pPr>
                    <w:r>
                      <w:rPr>
                        <w:rFonts w:ascii="Times New Roman" w:hAnsi="Times New Roman" w:cs="Times New Roman"/>
                        <w:color w:val="000000"/>
                        <w:szCs w:val="21"/>
                      </w:rPr>
                      <w:t>0.44%</w:t>
                    </w:r>
                  </w:p>
                </w:tc>
                <w:tc>
                  <w:tcPr>
                    <w:tcW w:w="141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35,000,000</w:t>
                    </w:r>
                  </w:p>
                </w:tc>
                <w:tc>
                  <w:tcPr>
                    <w:tcW w:w="1276" w:type="dxa"/>
                    <w:tcBorders>
                      <w:top w:val="single" w:color="auto" w:sz="4" w:space="0"/>
                      <w:left w:val="single" w:color="auto" w:sz="4" w:space="0"/>
                      <w:bottom w:val="single" w:color="auto" w:sz="4" w:space="0"/>
                      <w:right w:val="single" w:color="auto" w:sz="4" w:space="0"/>
                    </w:tcBorders>
                    <w:vAlign w:val="center"/>
                  </w:tcPr>
                  <w:p>
                    <w:pPr>
                      <w:ind w:left="-92" w:leftChars="-44" w:right="-94" w:rightChars="-45"/>
                      <w:jc w:val="center"/>
                      <w:rPr>
                        <w:rFonts w:ascii="Times New Roman" w:hAnsi="Times New Roman" w:cs="Times New Roman"/>
                        <w:szCs w:val="21"/>
                      </w:rPr>
                    </w:pPr>
                    <w:r>
                      <w:rPr>
                        <w:rFonts w:ascii="Times New Roman" w:hAnsi="Times New Roman" w:cs="Times New Roman"/>
                        <w:szCs w:val="21"/>
                      </w:rPr>
                      <w:t>1,200,000</w:t>
                    </w:r>
                  </w:p>
                </w:tc>
                <w:tc>
                  <w:tcPr>
                    <w:tcW w:w="141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szCs w:val="21"/>
                      </w:rPr>
                      <w:t>其他权益工具投资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广西北部湾银行股份有限公司</w:t>
                    </w:r>
                  </w:p>
                </w:tc>
                <w:tc>
                  <w:tcPr>
                    <w:tcW w:w="127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257,200,000</w:t>
                    </w:r>
                  </w:p>
                </w:tc>
                <w:tc>
                  <w:tcPr>
                    <w:tcW w:w="127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Cs w:val="21"/>
                      </w:rPr>
                    </w:pPr>
                    <w:r>
                      <w:rPr>
                        <w:rFonts w:ascii="Times New Roman" w:hAnsi="Times New Roman" w:cs="Times New Roman"/>
                        <w:color w:val="000000"/>
                        <w:kern w:val="2"/>
                        <w:szCs w:val="21"/>
                      </w:rPr>
                      <w:t>154,000,000</w:t>
                    </w:r>
                  </w:p>
                </w:tc>
                <w:tc>
                  <w:tcPr>
                    <w:tcW w:w="990"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2.03%</w:t>
                    </w:r>
                  </w:p>
                </w:tc>
                <w:tc>
                  <w:tcPr>
                    <w:tcW w:w="141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257,200,000</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13</w:t>
                    </w:r>
                    <w:r>
                      <w:rPr>
                        <w:rFonts w:hint="eastAsia" w:ascii="Times New Roman" w:hAnsi="Times New Roman" w:cs="Times New Roman"/>
                        <w:szCs w:val="21"/>
                      </w:rPr>
                      <w:t>,</w:t>
                    </w:r>
                    <w:r>
                      <w:rPr>
                        <w:rFonts w:ascii="Times New Roman" w:hAnsi="Times New Roman" w:cs="Times New Roman"/>
                        <w:szCs w:val="21"/>
                      </w:rPr>
                      <w:t>860</w:t>
                    </w:r>
                    <w:r>
                      <w:rPr>
                        <w:rFonts w:hint="eastAsia" w:ascii="Times New Roman" w:hAnsi="Times New Roman" w:cs="Times New Roman"/>
                        <w:szCs w:val="21"/>
                      </w:rPr>
                      <w:t>,</w:t>
                    </w:r>
                    <w:r>
                      <w:rPr>
                        <w:rFonts w:ascii="Times New Roman" w:hAnsi="Times New Roman" w:cs="Times New Roman"/>
                        <w:szCs w:val="21"/>
                      </w:rPr>
                      <w:t>000</w:t>
                    </w:r>
                  </w:p>
                </w:tc>
                <w:tc>
                  <w:tcPr>
                    <w:tcW w:w="141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szCs w:val="21"/>
                      </w:rPr>
                      <w:t>其他权益工具投资</w:t>
                    </w:r>
                  </w:p>
                </w:tc>
              </w:tr>
            </w:tbl>
            <w:p>
              <w:pPr>
                <w:spacing w:line="420" w:lineRule="exact"/>
                <w:rPr>
                  <w:szCs w:val="21"/>
                </w:rPr>
              </w:pPr>
              <w:r>
                <w:rPr>
                  <w:rFonts w:ascii="Times New Roman" w:cs="Times New Roman"/>
                  <w:szCs w:val="21"/>
                </w:rPr>
                <w:t>说明：</w:t>
              </w:r>
              <w:r>
                <w:rPr>
                  <w:rFonts w:ascii="Times New Roman" w:hAnsi="Times New Roman" w:cs="Times New Roman"/>
                  <w:szCs w:val="21"/>
                </w:rPr>
                <w:t>公司202</w:t>
              </w:r>
              <w:r>
                <w:rPr>
                  <w:rFonts w:hint="eastAsia" w:ascii="Times New Roman" w:hAnsi="Times New Roman" w:cs="Times New Roman"/>
                  <w:szCs w:val="21"/>
                </w:rPr>
                <w:t>1</w:t>
              </w:r>
              <w:r>
                <w:rPr>
                  <w:rFonts w:ascii="Times New Roman" w:hAnsi="Times New Roman" w:cs="Times New Roman"/>
                  <w:szCs w:val="21"/>
                </w:rPr>
                <w:t>年收到北部湾银行20</w:t>
              </w:r>
              <w:r>
                <w:rPr>
                  <w:rFonts w:hint="eastAsia" w:ascii="Times New Roman" w:hAnsi="Times New Roman" w:cs="Times New Roman"/>
                  <w:szCs w:val="21"/>
                </w:rPr>
                <w:t>20</w:t>
              </w:r>
              <w:r>
                <w:rPr>
                  <w:rFonts w:ascii="Times New Roman" w:hAnsi="Times New Roman" w:cs="Times New Roman"/>
                  <w:szCs w:val="21"/>
                </w:rPr>
                <w:t>年度分红</w:t>
              </w:r>
              <w:r>
                <w:rPr>
                  <w:rFonts w:hint="eastAsia" w:ascii="Times New Roman" w:hAnsi="Times New Roman" w:cs="Times New Roman"/>
                  <w:szCs w:val="21"/>
                </w:rPr>
                <w:t>1,386.00</w:t>
              </w:r>
              <w:r>
                <w:rPr>
                  <w:rFonts w:ascii="Times New Roman" w:hAnsi="Times New Roman" w:cs="Times New Roman"/>
                  <w:szCs w:val="21"/>
                </w:rPr>
                <w:t>万元，收到柳州银行20</w:t>
              </w:r>
              <w:r>
                <w:rPr>
                  <w:rFonts w:hint="eastAsia" w:ascii="Times New Roman" w:hAnsi="Times New Roman" w:cs="Times New Roman"/>
                  <w:szCs w:val="21"/>
                </w:rPr>
                <w:t>20</w:t>
              </w:r>
              <w:r>
                <w:rPr>
                  <w:rFonts w:ascii="Times New Roman" w:hAnsi="Times New Roman" w:cs="Times New Roman"/>
                  <w:szCs w:val="21"/>
                </w:rPr>
                <w:t>年度分红120.00万元</w:t>
              </w:r>
            </w:p>
          </w:sdtContent>
        </w:sdt>
        <w:p>
          <w:pPr>
            <w:rPr>
              <w:szCs w:val="21"/>
            </w:rPr>
          </w:pPr>
        </w:p>
      </w:sdtContent>
    </w:sdt>
    <w:sdt>
      <w:sdtPr>
        <w:rPr>
          <w:rFonts w:hint="eastAsia" w:ascii="宋体" w:hAnsi="宋体" w:cs="宋体"/>
          <w:b w:val="0"/>
          <w:bCs w:val="0"/>
          <w:kern w:val="0"/>
          <w:szCs w:val="24"/>
        </w:rPr>
        <w:alias w:val="报告期内重大资产重组整合的具体进展情况"/>
        <w:tag w:val="_SEC_334c83ee3ed34abe9f07a2b14baa41a3"/>
        <w:id w:val="865722586"/>
        <w:lock w:val="sdtLocked"/>
      </w:sdtPr>
      <w:sdtEndPr>
        <w:rPr>
          <w:rFonts w:hint="eastAsia" w:ascii="宋体" w:hAnsi="宋体" w:cs="宋体"/>
          <w:b w:val="0"/>
          <w:bCs w:val="0"/>
          <w:kern w:val="0"/>
          <w:szCs w:val="24"/>
        </w:rPr>
      </w:sdtEndPr>
      <w:sdtContent>
        <w:p>
          <w:pPr>
            <w:pStyle w:val="6"/>
            <w:numPr>
              <w:ilvl w:val="0"/>
              <w:numId w:val="19"/>
            </w:numPr>
            <w:tabs>
              <w:tab w:val="left" w:pos="360"/>
            </w:tabs>
            <w:ind w:left="0" w:firstLine="0"/>
            <w:rPr>
              <w:rFonts w:ascii="宋体" w:hAnsi="宋体" w:cs="宋体"/>
              <w:kern w:val="0"/>
              <w:szCs w:val="21"/>
            </w:rPr>
          </w:pPr>
          <w:r>
            <w:rPr>
              <w:rFonts w:hint="eastAsia" w:ascii="宋体" w:hAnsi="宋体" w:cs="宋体"/>
              <w:kern w:val="0"/>
              <w:szCs w:val="21"/>
            </w:rPr>
            <w:t>报告期内重大资产重组整合的具体进展情况</w:t>
          </w:r>
        </w:p>
        <w:sdt>
          <w:sdtPr>
            <w:alias w:val="是否适用：报告期内重大资产重组整合的具体进展情况[双击切换]"/>
            <w:tag w:val="_GBC_c52695d1957b4fa89b0b7326da1f5a10"/>
            <w:id w:val="865722585"/>
            <w:lock w:val="sdtLocked"/>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1"/>
        </w:rPr>
        <w:alias w:val="模块:重大资产和股权出售"/>
        <w:tag w:val="_SEC_2dc2a25f5b0947db8d19ad5178673ac9"/>
        <w:id w:val="865722588"/>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865722587"/>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865722591"/>
        <w:lock w:val="sdtLocked"/>
        <w:placeholder>
          <w:docPart w:val="GBC22222222222222222222222222222"/>
        </w:placeholder>
      </w:sdtPr>
      <w:sdtEndPr>
        <w:rPr>
          <w:rFonts w:hint="eastAsia" w:ascii="宋体" w:hAnsi="宋体" w:cs="宋体"/>
          <w:b w:val="0"/>
          <w:bCs w:val="0"/>
          <w:kern w:val="0"/>
          <w:sz w:val="21"/>
          <w:szCs w:val="21"/>
        </w:rPr>
      </w:sdtEndPr>
      <w:sdtContent>
        <w:p>
          <w:pPr>
            <w:pStyle w:val="4"/>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86572258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865722590"/>
            <w:lock w:val="sdtLocked"/>
            <w:placeholder>
              <w:docPart w:val="GBC22222222222222222222222222222"/>
            </w:placeholder>
          </w:sdtPr>
          <w:sdtEndPr>
            <w:rPr>
              <w:rFonts w:hint="eastAsia"/>
              <w:szCs w:val="21"/>
            </w:rPr>
          </w:sdtEndPr>
          <w:sdtContent>
            <w:p>
              <w:pPr>
                <w:spacing w:line="360" w:lineRule="auto"/>
                <w:ind w:firstLine="420" w:firstLineChars="200"/>
              </w:pPr>
              <w:r>
                <w:rPr>
                  <w:rFonts w:hint="eastAsia"/>
                  <w:b/>
                </w:rPr>
                <w:t>1.基本情况</w:t>
              </w:r>
            </w:p>
            <w:p>
              <w:pPr>
                <w:spacing w:line="400" w:lineRule="exact"/>
                <w:ind w:firstLine="403"/>
                <w:rPr>
                  <w:rFonts w:ascii="Times New Roman" w:cs="Times New Roman"/>
                  <w:szCs w:val="21"/>
                </w:rPr>
              </w:pPr>
              <w:r>
                <w:rPr>
                  <w:rFonts w:hint="eastAsia"/>
                  <w:szCs w:val="21"/>
                </w:rPr>
                <w:t>①两面针（江苏）实业有限公司，法定代表人：林钻煌；注册资本：</w:t>
              </w:r>
              <w:r>
                <w:rPr>
                  <w:rFonts w:hint="eastAsia" w:ascii="Times New Roman" w:cs="Times New Roman"/>
                  <w:szCs w:val="21"/>
                </w:rPr>
                <w:t>人民币</w:t>
              </w:r>
              <w:r>
                <w:rPr>
                  <w:rFonts w:ascii="Times New Roman" w:hAnsi="Times New Roman" w:cs="Times New Roman"/>
                  <w:szCs w:val="21"/>
                </w:rPr>
                <w:t>6,289.02</w:t>
              </w:r>
              <w:r>
                <w:rPr>
                  <w:rFonts w:hint="eastAsia" w:ascii="Times New Roman" w:cs="Times New Roman"/>
                  <w:szCs w:val="21"/>
                </w:rPr>
                <w:t>万元；注册地址：江苏省扬州市；经营范围：牙膏、洗发水、沐浴露、护发素、润肤露、香皂、洗手液、洗衣液、肥皂及合成洗涤剂、化妆品、香精、香料、口腔清洁用品、牙刷、头梳、鞋刷、宾馆酒店一次性用品、旅游用品、家用卫生品、日用化学品、包装用品、塑料制品、橡胶制品、日用杂品生产、销售；纸品加工、销售；拖鞋生产、销售；日用百货、五金交电、服装鞋帽、床上用品、化工产品及原料（除危险化学品等需许可项目）、纸及纸制品、金属材料、机械电子产品采购、销售；道路普通货物运输；自营和代理各类商品、技术服务、机械电子产品和技术的进出口业务（国家限定企业经营或禁止进出口的商品和技术除外）；预包装食品零售、批发。（经营范围不含工商登记前需许可项目，依法须经批准的项目，经相关部门批准后方可开展经营活动）。食品生产；食品经营；食品添加剂生产；食品添加剂销售；消毒剂生产（不含危险化学品）；消毒剂销售（不含危险化学品）；食品互联网销售；卫生用品和一次性使用医疗用品生产；卫生用品和一次性使用医疗用品销售；第二类医疗器械生产；家用纺织制成品制造；产业用纺织制成品制造；第一类医疗器械生产；非金属矿物制品制造；第一类医疗器械销售；第二类医疗器械销售；产业用纺织制成品销售。属于公司合并报表范围的控股子公司。</w:t>
              </w:r>
            </w:p>
            <w:p>
              <w:pPr>
                <w:spacing w:line="400" w:lineRule="exact"/>
                <w:ind w:firstLine="403"/>
                <w:rPr>
                  <w:rFonts w:ascii="Times New Roman" w:cs="Times New Roman"/>
                  <w:szCs w:val="21"/>
                </w:rPr>
              </w:pPr>
              <w:r>
                <w:rPr>
                  <w:rFonts w:hint="eastAsia" w:ascii="Times New Roman" w:cs="Times New Roman"/>
                  <w:szCs w:val="21"/>
                </w:rPr>
                <w:t>②安徽两面针</w:t>
              </w:r>
              <w:r>
                <w:rPr>
                  <w:rFonts w:ascii="Times New Roman" w:hAnsi="Times New Roman" w:cs="Times New Roman"/>
                  <w:szCs w:val="21"/>
                </w:rPr>
                <w:t>•</w:t>
              </w:r>
              <w:r>
                <w:rPr>
                  <w:rFonts w:hint="eastAsia" w:ascii="Times New Roman" w:cs="Times New Roman"/>
                  <w:szCs w:val="21"/>
                </w:rPr>
                <w:t>芳草日化有限公司，法定代表人：林钻煌；注册资本：人民币</w:t>
              </w:r>
              <w:r>
                <w:rPr>
                  <w:rFonts w:ascii="Times New Roman" w:hAnsi="Times New Roman" w:cs="Times New Roman"/>
                  <w:szCs w:val="21"/>
                </w:rPr>
                <w:t>3,500</w:t>
              </w:r>
              <w:r>
                <w:rPr>
                  <w:rFonts w:hint="eastAsia" w:ascii="Times New Roman" w:cs="Times New Roman"/>
                  <w:szCs w:val="21"/>
                </w:rPr>
                <w:t>万元；注册地址：安徽省合肥市；经营范围：牙膏（国家有专项规定除外）、发用化妆品、香皂、膏霜、香水类、牙刷、旅游用品、家用卫生用品、包装用品生产、销售；纸品加工、牙膏原材料生产、销售；日用化学品、日用百货、五金交电、服装鞋帽、化工产品及原料（除危险品）、纸及纸制品（除新闻纸）、塑料及其制品、金属材料采购销售；房屋出租；仓储服务；日化用品、牙膏、洗涤产品、化妆品的研发及技术服务；自营和代理各类商品和技术的进出口业务</w:t>
              </w:r>
              <w:r>
                <w:rPr>
                  <w:rFonts w:ascii="Times New Roman" w:cs="Times New Roman"/>
                  <w:szCs w:val="21"/>
                </w:rPr>
                <w:t>(国家限定企业经营或禁止进出口的商品和技术除外)（以上经营范围，涉及许可制度的凭许可证经营）。</w:t>
              </w:r>
              <w:r>
                <w:rPr>
                  <w:rFonts w:hint="eastAsia" w:ascii="Times New Roman" w:cs="Times New Roman"/>
                  <w:szCs w:val="21"/>
                </w:rPr>
                <w:t>属于公司合并报表范围的控股子公司。</w:t>
              </w:r>
            </w:p>
            <w:p>
              <w:pPr>
                <w:spacing w:line="400" w:lineRule="exact"/>
                <w:ind w:firstLine="403"/>
                <w:rPr>
                  <w:rFonts w:ascii="Times New Roman" w:cs="Times New Roman"/>
                  <w:szCs w:val="21"/>
                </w:rPr>
              </w:pPr>
              <w:r>
                <w:rPr>
                  <w:rFonts w:hint="eastAsia" w:ascii="Times New Roman" w:cs="Times New Roman"/>
                  <w:szCs w:val="21"/>
                </w:rPr>
                <w:t>③广西两面针亿康药业股份有限公司，法定代表人：莫善军；注册资本：人民币</w:t>
              </w:r>
              <w:r>
                <w:rPr>
                  <w:rFonts w:ascii="Times New Roman" w:hAnsi="Times New Roman" w:cs="Times New Roman"/>
                  <w:szCs w:val="21"/>
                </w:rPr>
                <w:t>9,100</w:t>
              </w:r>
              <w:r>
                <w:rPr>
                  <w:rFonts w:hint="eastAsia" w:ascii="Times New Roman" w:cs="Times New Roman"/>
                  <w:szCs w:val="21"/>
                </w:rPr>
                <w:t>万元；注册地址：广西柳州市；经营范围：一般项目：第一类医疗器械销售；化工产品（危险化学品除外）的生产销售；进出口贸易业务；牙膏（国家有专项规定除外）、发用化妆品、香皂、膏霜、香水类、牙刷、旅游用品、家用卫生用品、包装用品、日用化学品、洗涤用品的销售；许可项目：原料药、片剂、硬胶囊剂（含头孢菌素类）、颗粒剂（含头孢菌素类）、糖浆剂、口服溶液剂、软膏剂、乳膏剂（含激素类）、精神药品（第二类）的生产销售；食品经营（预包装食品、散装食品）（除依法须经批准的项目外，凭营业执照依法自主开展经营活动）。属于公司合并报表范围的控股子公司。</w:t>
              </w:r>
            </w:p>
            <w:p>
              <w:pPr>
                <w:spacing w:line="400" w:lineRule="exact"/>
                <w:ind w:firstLine="403"/>
                <w:rPr>
                  <w:rFonts w:ascii="Times New Roman" w:cs="Times New Roman"/>
                  <w:szCs w:val="21"/>
                </w:rPr>
              </w:pPr>
              <w:r>
                <w:rPr>
                  <w:rFonts w:hint="eastAsia" w:cs="Times New Roman"/>
                  <w:szCs w:val="21"/>
                </w:rPr>
                <w:t>④</w:t>
              </w:r>
              <w:r>
                <w:rPr>
                  <w:rFonts w:hint="eastAsia" w:ascii="Times New Roman" w:cs="Times New Roman"/>
                  <w:szCs w:val="21"/>
                </w:rPr>
                <w:t>柳州两面针进出口贸易有限公司，法定代表人：杨玲；注册资本：人民币</w:t>
              </w:r>
              <w:r>
                <w:rPr>
                  <w:rFonts w:ascii="Times New Roman" w:hAnsi="Times New Roman" w:cs="Times New Roman"/>
                  <w:szCs w:val="21"/>
                </w:rPr>
                <w:t>500</w:t>
              </w:r>
              <w:r>
                <w:rPr>
                  <w:rFonts w:hint="eastAsia" w:ascii="Times New Roman" w:cs="Times New Roman"/>
                  <w:szCs w:val="21"/>
                </w:rPr>
                <w:t>万元；注册地址：广西柳州市；经营范围：许可项目：货物进出口；技术进出口；食品进出口；第三类医疗器械经营；食品经营；食品经营（销售散装食品）；保健食品销售（依法须经批准的项目，经相关部门批准后方可开展经营活动，具体经营项目以相关部门批准文件或许可证件为准）一般项目：日用品销售；化工产品销售（不含许可类化工产品）；针纺织品销售；电子元器件与机电组件设备销售；家用电器销售；机械零件、零部件销售；建筑材料销售；有色金属合金销售；工艺美术品及礼仪用品销售（象牙及其制品除外）；日用杂品销售；第一类医疗器械销售；第二类医疗器械销售；食品互联网销售（销售预包装食品）；金属矿石销售；生物基材料销售；畜牧渔业饲料销售；鲜肉批发；五金产品批发；食品经营（仅销售预包装食品）（除依法须经批准的项目外，凭营业执照依法自主开展经营活动）。属于公司合并报表范围的控股子公司。</w:t>
              </w:r>
            </w:p>
            <w:p>
              <w:pPr>
                <w:spacing w:line="400" w:lineRule="exact"/>
                <w:ind w:firstLine="403"/>
                <w:rPr>
                  <w:rFonts w:ascii="Times New Roman" w:cs="Times New Roman"/>
                  <w:szCs w:val="21"/>
                </w:rPr>
              </w:pPr>
              <w:r>
                <w:rPr>
                  <w:rFonts w:hint="eastAsia" w:cs="Times New Roman"/>
                  <w:szCs w:val="21"/>
                </w:rPr>
                <w:t>⑤</w:t>
              </w:r>
              <w:r>
                <w:rPr>
                  <w:rFonts w:hint="eastAsia" w:ascii="Times New Roman" w:cs="Times New Roman"/>
                  <w:szCs w:val="21"/>
                </w:rPr>
                <w:t>柳州惠好卫生用品有限公司，法定代表人：叶建平；注册资本：</w:t>
              </w:r>
              <w:r>
                <w:rPr>
                  <w:rFonts w:ascii="Times New Roman" w:hAnsi="Times New Roman" w:cs="Times New Roman"/>
                  <w:szCs w:val="21"/>
                </w:rPr>
                <w:t>210</w:t>
              </w:r>
              <w:r>
                <w:rPr>
                  <w:rFonts w:hint="eastAsia" w:ascii="Times New Roman" w:cs="Times New Roman"/>
                  <w:szCs w:val="21"/>
                </w:rPr>
                <w:t>万美元；注册地址：广西柳州市；经营范围：卫生巾、尿巾及其它家庭卫生用品的生产与销售。属于公司合并报表范围的控股子公司。</w:t>
              </w:r>
            </w:p>
            <w:p>
              <w:pPr>
                <w:spacing w:line="400" w:lineRule="exact"/>
                <w:ind w:firstLine="403"/>
                <w:rPr>
                  <w:rFonts w:ascii="Times New Roman" w:cs="Times New Roman"/>
                  <w:szCs w:val="21"/>
                </w:rPr>
              </w:pPr>
            </w:p>
            <w:p>
              <w:pPr>
                <w:ind w:firstLine="422" w:firstLineChars="200"/>
                <w:rPr>
                  <w:szCs w:val="21"/>
                </w:rPr>
              </w:pPr>
              <w:r>
                <w:rPr>
                  <w:rFonts w:hint="eastAsia"/>
                  <w:b/>
                  <w:szCs w:val="21"/>
                </w:rPr>
                <w:t>2.报告期内经营业绩</w:t>
              </w:r>
            </w:p>
            <w:p>
              <w:pPr>
                <w:jc w:val="right"/>
              </w:pPr>
              <w:r>
                <w:rPr>
                  <w:rFonts w:hint="eastAsia"/>
                </w:rPr>
                <w:t>单位：元      币种：人民币</w:t>
              </w:r>
            </w:p>
            <w:tbl>
              <w:tblPr>
                <w:tblStyle w:val="105"/>
                <w:tblW w:w="10207" w:type="dxa"/>
                <w:tblInd w:w="-743" w:type="dxa"/>
                <w:tblLayout w:type="autofit"/>
                <w:tblCellMar>
                  <w:top w:w="0" w:type="dxa"/>
                  <w:left w:w="108" w:type="dxa"/>
                  <w:bottom w:w="0" w:type="dxa"/>
                  <w:right w:w="108" w:type="dxa"/>
                </w:tblCellMar>
              </w:tblPr>
              <w:tblGrid>
                <w:gridCol w:w="1985"/>
                <w:gridCol w:w="864"/>
                <w:gridCol w:w="1156"/>
                <w:gridCol w:w="1529"/>
                <w:gridCol w:w="1701"/>
                <w:gridCol w:w="1424"/>
                <w:gridCol w:w="1548"/>
              </w:tblGrid>
              <w:tr>
                <w:tblPrEx>
                  <w:tblCellMar>
                    <w:top w:w="0" w:type="dxa"/>
                    <w:left w:w="108" w:type="dxa"/>
                    <w:bottom w:w="0" w:type="dxa"/>
                    <w:right w:w="108" w:type="dxa"/>
                  </w:tblCellMar>
                </w:tblPrEx>
                <w:trPr>
                  <w:trHeight w:val="315" w:hRule="atLeast"/>
                </w:trPr>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公司名称</w:t>
                    </w:r>
                  </w:p>
                </w:tc>
                <w:tc>
                  <w:tcPr>
                    <w:tcW w:w="86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权益比例</w:t>
                    </w:r>
                  </w:p>
                </w:tc>
                <w:tc>
                  <w:tcPr>
                    <w:tcW w:w="1156"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注册资本(万元)</w:t>
                    </w:r>
                  </w:p>
                </w:tc>
                <w:tc>
                  <w:tcPr>
                    <w:tcW w:w="1529"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总资产(元)</w:t>
                    </w:r>
                  </w:p>
                </w:tc>
                <w:tc>
                  <w:tcPr>
                    <w:tcW w:w="1701"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净资产</w:t>
                    </w:r>
                  </w:p>
                </w:tc>
                <w:tc>
                  <w:tcPr>
                    <w:tcW w:w="142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净利润(元)</w:t>
                    </w:r>
                  </w:p>
                </w:tc>
                <w:tc>
                  <w:tcPr>
                    <w:tcW w:w="1548" w:type="dxa"/>
                    <w:tcBorders>
                      <w:top w:val="single" w:color="auto" w:sz="4" w:space="0"/>
                      <w:left w:val="nil"/>
                      <w:bottom w:val="single" w:color="auto" w:sz="4" w:space="0"/>
                      <w:right w:val="single" w:color="auto" w:sz="4" w:space="0"/>
                    </w:tcBorders>
                    <w:noWrap/>
                    <w:vAlign w:val="center"/>
                  </w:tcPr>
                  <w:p>
                    <w:pPr>
                      <w:jc w:val="center"/>
                      <w:rPr>
                        <w:rFonts w:ascii="Times New Roman" w:hAnsi="Times New Roman" w:cs="Times New Roman"/>
                        <w:szCs w:val="21"/>
                      </w:rPr>
                    </w:pPr>
                    <w:r>
                      <w:rPr>
                        <w:rFonts w:ascii="Times New Roman" w:hAnsi="Times New Roman" w:cs="Times New Roman"/>
                        <w:szCs w:val="21"/>
                      </w:rPr>
                      <w:t>营业收入</w:t>
                    </w:r>
                  </w:p>
                </w:tc>
              </w:tr>
              <w:tr>
                <w:tblPrEx>
                  <w:tblCellMar>
                    <w:top w:w="0" w:type="dxa"/>
                    <w:left w:w="108" w:type="dxa"/>
                    <w:bottom w:w="0" w:type="dxa"/>
                    <w:right w:w="108" w:type="dxa"/>
                  </w:tblCellMar>
                </w:tblPrEx>
                <w:trPr>
                  <w:trHeight w:val="315" w:hRule="atLeast"/>
                </w:trPr>
                <w:tc>
                  <w:tcPr>
                    <w:tcW w:w="1985" w:type="dxa"/>
                    <w:tcBorders>
                      <w:top w:val="nil"/>
                      <w:left w:val="single" w:color="auto" w:sz="4" w:space="0"/>
                      <w:bottom w:val="single" w:color="auto" w:sz="4" w:space="0"/>
                      <w:right w:val="single" w:color="auto" w:sz="4" w:space="0"/>
                    </w:tcBorders>
                    <w:vAlign w:val="bottom"/>
                  </w:tcPr>
                  <w:p>
                    <w:pPr>
                      <w:jc w:val="center"/>
                      <w:rPr>
                        <w:rFonts w:ascii="Times New Roman" w:hAnsi="Times New Roman" w:cs="Times New Roman"/>
                        <w:szCs w:val="21"/>
                      </w:rPr>
                    </w:pPr>
                    <w:r>
                      <w:rPr>
                        <w:rFonts w:ascii="Times New Roman" w:hAnsi="Times New Roman" w:cs="Times New Roman"/>
                        <w:szCs w:val="21"/>
                      </w:rPr>
                      <w:t>两面针(江苏)实业有限公司</w:t>
                    </w:r>
                  </w:p>
                </w:tc>
                <w:tc>
                  <w:tcPr>
                    <w:tcW w:w="864"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93.80%</w:t>
                    </w:r>
                  </w:p>
                </w:tc>
                <w:tc>
                  <w:tcPr>
                    <w:tcW w:w="1156"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RMB6,289</w:t>
                    </w:r>
                  </w:p>
                </w:tc>
                <w:tc>
                  <w:tcPr>
                    <w:tcW w:w="1529"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363,604,940.38</w:t>
                    </w:r>
                  </w:p>
                </w:tc>
                <w:tc>
                  <w:tcPr>
                    <w:tcW w:w="1701"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203,757,235.90</w:t>
                    </w:r>
                  </w:p>
                </w:tc>
                <w:tc>
                  <w:tcPr>
                    <w:tcW w:w="1424"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11,652,212.79</w:t>
                    </w:r>
                  </w:p>
                </w:tc>
                <w:tc>
                  <w:tcPr>
                    <w:tcW w:w="1548"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450,816,576.50</w:t>
                    </w:r>
                  </w:p>
                </w:tc>
              </w:tr>
              <w:tr>
                <w:tblPrEx>
                  <w:tblCellMar>
                    <w:top w:w="0" w:type="dxa"/>
                    <w:left w:w="108" w:type="dxa"/>
                    <w:bottom w:w="0" w:type="dxa"/>
                    <w:right w:w="108" w:type="dxa"/>
                  </w:tblCellMar>
                </w:tblPrEx>
                <w:trPr>
                  <w:trHeight w:val="315" w:hRule="atLeast"/>
                </w:trPr>
                <w:tc>
                  <w:tcPr>
                    <w:tcW w:w="1985" w:type="dxa"/>
                    <w:tcBorders>
                      <w:top w:val="nil"/>
                      <w:left w:val="single" w:color="auto" w:sz="4" w:space="0"/>
                      <w:bottom w:val="single" w:color="auto" w:sz="4" w:space="0"/>
                      <w:right w:val="single" w:color="auto" w:sz="4" w:space="0"/>
                    </w:tcBorders>
                    <w:vAlign w:val="bottom"/>
                  </w:tcPr>
                  <w:p>
                    <w:pPr>
                      <w:jc w:val="center"/>
                      <w:rPr>
                        <w:rFonts w:ascii="Times New Roman" w:hAnsi="Times New Roman" w:cs="Times New Roman"/>
                        <w:szCs w:val="21"/>
                      </w:rPr>
                    </w:pPr>
                    <w:r>
                      <w:rPr>
                        <w:rFonts w:ascii="Times New Roman" w:hAnsi="Times New Roman" w:cs="Times New Roman"/>
                        <w:szCs w:val="21"/>
                      </w:rPr>
                      <w:t>广西两面针亿康药业股份有限公司</w:t>
                    </w:r>
                  </w:p>
                </w:tc>
                <w:tc>
                  <w:tcPr>
                    <w:tcW w:w="864"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90.10%</w:t>
                    </w:r>
                  </w:p>
                </w:tc>
                <w:tc>
                  <w:tcPr>
                    <w:tcW w:w="1156"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RMB9100</w:t>
                    </w:r>
                  </w:p>
                </w:tc>
                <w:tc>
                  <w:tcPr>
                    <w:tcW w:w="1529"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137,177,661.07</w:t>
                    </w:r>
                  </w:p>
                </w:tc>
                <w:tc>
                  <w:tcPr>
                    <w:tcW w:w="1701"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84,617,616.13</w:t>
                    </w:r>
                  </w:p>
                </w:tc>
                <w:tc>
                  <w:tcPr>
                    <w:tcW w:w="1424"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-1,461,307.19</w:t>
                    </w:r>
                  </w:p>
                  <w:p>
                    <w:pPr>
                      <w:jc w:val="right"/>
                      <w:rPr>
                        <w:rFonts w:ascii="Times New Roman" w:hAnsi="Times New Roman" w:cs="Times New Roman"/>
                        <w:szCs w:val="21"/>
                      </w:rPr>
                    </w:pPr>
                  </w:p>
                </w:tc>
                <w:tc>
                  <w:tcPr>
                    <w:tcW w:w="1548"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82,022,987.22</w:t>
                    </w:r>
                  </w:p>
                </w:tc>
              </w:tr>
              <w:tr>
                <w:tblPrEx>
                  <w:tblCellMar>
                    <w:top w:w="0" w:type="dxa"/>
                    <w:left w:w="108" w:type="dxa"/>
                    <w:bottom w:w="0" w:type="dxa"/>
                    <w:right w:w="108" w:type="dxa"/>
                  </w:tblCellMar>
                </w:tblPrEx>
                <w:trPr>
                  <w:trHeight w:val="315" w:hRule="atLeast"/>
                </w:trPr>
                <w:tc>
                  <w:tcPr>
                    <w:tcW w:w="1985" w:type="dxa"/>
                    <w:tcBorders>
                      <w:top w:val="nil"/>
                      <w:left w:val="single" w:color="auto" w:sz="4" w:space="0"/>
                      <w:bottom w:val="single" w:color="auto" w:sz="4" w:space="0"/>
                      <w:right w:val="single" w:color="auto" w:sz="4" w:space="0"/>
                    </w:tcBorders>
                    <w:vAlign w:val="bottom"/>
                  </w:tcPr>
                  <w:p>
                    <w:pPr>
                      <w:jc w:val="center"/>
                      <w:rPr>
                        <w:rFonts w:ascii="Times New Roman" w:hAnsi="Times New Roman" w:cs="Times New Roman"/>
                        <w:szCs w:val="21"/>
                      </w:rPr>
                    </w:pPr>
                    <w:r>
                      <w:rPr>
                        <w:rFonts w:ascii="Times New Roman" w:hAnsi="Times New Roman" w:cs="Times New Roman"/>
                        <w:szCs w:val="21"/>
                      </w:rPr>
                      <w:t>安徽两面针•芳草日化有限公司</w:t>
                    </w:r>
                  </w:p>
                </w:tc>
                <w:tc>
                  <w:tcPr>
                    <w:tcW w:w="864"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70%</w:t>
                    </w:r>
                  </w:p>
                </w:tc>
                <w:tc>
                  <w:tcPr>
                    <w:tcW w:w="1156"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RMB3,500</w:t>
                    </w:r>
                  </w:p>
                </w:tc>
                <w:tc>
                  <w:tcPr>
                    <w:tcW w:w="1529"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77,907,264.11</w:t>
                    </w:r>
                  </w:p>
                </w:tc>
                <w:tc>
                  <w:tcPr>
                    <w:tcW w:w="1701"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-25,557,357.22</w:t>
                    </w:r>
                  </w:p>
                </w:tc>
                <w:tc>
                  <w:tcPr>
                    <w:tcW w:w="1424"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24,496.17</w:t>
                    </w:r>
                  </w:p>
                </w:tc>
                <w:tc>
                  <w:tcPr>
                    <w:tcW w:w="1548"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20,803,279.10</w:t>
                    </w:r>
                  </w:p>
                </w:tc>
              </w:tr>
              <w:tr>
                <w:tblPrEx>
                  <w:tblCellMar>
                    <w:top w:w="0" w:type="dxa"/>
                    <w:left w:w="108" w:type="dxa"/>
                    <w:bottom w:w="0" w:type="dxa"/>
                    <w:right w:w="108" w:type="dxa"/>
                  </w:tblCellMar>
                </w:tblPrEx>
                <w:trPr>
                  <w:trHeight w:val="315" w:hRule="atLeast"/>
                </w:trPr>
                <w:tc>
                  <w:tcPr>
                    <w:tcW w:w="1985" w:type="dxa"/>
                    <w:tcBorders>
                      <w:top w:val="nil"/>
                      <w:left w:val="single" w:color="auto" w:sz="4" w:space="0"/>
                      <w:bottom w:val="single" w:color="auto" w:sz="4" w:space="0"/>
                      <w:right w:val="single" w:color="auto" w:sz="4" w:space="0"/>
                    </w:tcBorders>
                    <w:vAlign w:val="bottom"/>
                  </w:tcPr>
                  <w:p>
                    <w:pPr>
                      <w:jc w:val="center"/>
                      <w:rPr>
                        <w:rFonts w:ascii="Times New Roman" w:hAnsi="Times New Roman" w:cs="Times New Roman"/>
                        <w:szCs w:val="21"/>
                      </w:rPr>
                    </w:pPr>
                    <w:r>
                      <w:rPr>
                        <w:rFonts w:ascii="Times New Roman" w:hAnsi="Times New Roman" w:cs="Times New Roman"/>
                        <w:szCs w:val="21"/>
                      </w:rPr>
                      <w:t>柳州两面针进出口贸易有限公司</w:t>
                    </w:r>
                  </w:p>
                </w:tc>
                <w:tc>
                  <w:tcPr>
                    <w:tcW w:w="864"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51%</w:t>
                    </w:r>
                  </w:p>
                </w:tc>
                <w:tc>
                  <w:tcPr>
                    <w:tcW w:w="1156"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RMB500</w:t>
                    </w:r>
                  </w:p>
                </w:tc>
                <w:tc>
                  <w:tcPr>
                    <w:tcW w:w="1529"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23,232,386.12</w:t>
                    </w:r>
                  </w:p>
                </w:tc>
                <w:tc>
                  <w:tcPr>
                    <w:tcW w:w="1701"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-6,505,952.32</w:t>
                    </w:r>
                  </w:p>
                </w:tc>
                <w:tc>
                  <w:tcPr>
                    <w:tcW w:w="1424"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-94,623.98</w:t>
                    </w:r>
                  </w:p>
                </w:tc>
                <w:tc>
                  <w:tcPr>
                    <w:tcW w:w="1548"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41,638,606.13</w:t>
                    </w:r>
                  </w:p>
                </w:tc>
              </w:tr>
              <w:tr>
                <w:tblPrEx>
                  <w:tblCellMar>
                    <w:top w:w="0" w:type="dxa"/>
                    <w:left w:w="108" w:type="dxa"/>
                    <w:bottom w:w="0" w:type="dxa"/>
                    <w:right w:w="108" w:type="dxa"/>
                  </w:tblCellMar>
                </w:tblPrEx>
                <w:trPr>
                  <w:trHeight w:val="315" w:hRule="atLeast"/>
                </w:trPr>
                <w:tc>
                  <w:tcPr>
                    <w:tcW w:w="1985" w:type="dxa"/>
                    <w:tcBorders>
                      <w:top w:val="nil"/>
                      <w:left w:val="single" w:color="auto" w:sz="4" w:space="0"/>
                      <w:bottom w:val="single" w:color="auto" w:sz="4" w:space="0"/>
                      <w:right w:val="single" w:color="auto" w:sz="4" w:space="0"/>
                    </w:tcBorders>
                    <w:vAlign w:val="bottom"/>
                  </w:tcPr>
                  <w:p>
                    <w:pPr>
                      <w:jc w:val="center"/>
                      <w:rPr>
                        <w:rFonts w:ascii="Times New Roman" w:hAnsi="Times New Roman" w:cs="Times New Roman"/>
                        <w:szCs w:val="21"/>
                      </w:rPr>
                    </w:pPr>
                    <w:r>
                      <w:rPr>
                        <w:rFonts w:ascii="Times New Roman" w:hAnsi="Times New Roman" w:cs="Times New Roman"/>
                        <w:szCs w:val="21"/>
                      </w:rPr>
                      <w:t>柳州惠好卫生用品有限公司</w:t>
                    </w:r>
                  </w:p>
                </w:tc>
                <w:tc>
                  <w:tcPr>
                    <w:tcW w:w="864"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75%</w:t>
                    </w:r>
                  </w:p>
                </w:tc>
                <w:tc>
                  <w:tcPr>
                    <w:tcW w:w="1156"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USD210</w:t>
                    </w:r>
                  </w:p>
                </w:tc>
                <w:tc>
                  <w:tcPr>
                    <w:tcW w:w="1529"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97,433.25</w:t>
                    </w:r>
                  </w:p>
                </w:tc>
                <w:tc>
                  <w:tcPr>
                    <w:tcW w:w="1701"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-58,595,069.28</w:t>
                    </w:r>
                  </w:p>
                </w:tc>
                <w:tc>
                  <w:tcPr>
                    <w:tcW w:w="1424"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-162,841.08</w:t>
                    </w:r>
                  </w:p>
                </w:tc>
                <w:tc>
                  <w:tcPr>
                    <w:tcW w:w="1548" w:type="dxa"/>
                    <w:tcBorders>
                      <w:top w:val="nil"/>
                      <w:left w:val="nil"/>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0.00</w:t>
                    </w:r>
                  </w:p>
                </w:tc>
              </w:tr>
            </w:tbl>
            <w:p/>
            <w:p>
              <w:pPr>
                <w:ind w:firstLine="424" w:firstLineChars="202"/>
                <w:rPr>
                  <w:szCs w:val="21"/>
                </w:rPr>
              </w:pPr>
              <w:r>
                <w:rPr>
                  <w:rFonts w:ascii="Times New Roman" w:cs="Times New Roman"/>
                  <w:szCs w:val="21"/>
                </w:rPr>
                <w:t>说明：本公司直接持有安徽两面针</w:t>
              </w:r>
              <w:r>
                <w:rPr>
                  <w:rFonts w:ascii="Times New Roman" w:hAnsi="Times New Roman" w:cs="Times New Roman"/>
                  <w:szCs w:val="21"/>
                </w:rPr>
                <w:t>·</w:t>
              </w:r>
              <w:r>
                <w:rPr>
                  <w:rFonts w:ascii="Times New Roman" w:cs="Times New Roman"/>
                  <w:szCs w:val="21"/>
                </w:rPr>
                <w:t>芳草日化有限公司</w:t>
              </w:r>
              <w:r>
                <w:rPr>
                  <w:rFonts w:ascii="Times New Roman" w:hAnsi="Times New Roman" w:cs="Times New Roman"/>
                  <w:szCs w:val="21"/>
                </w:rPr>
                <w:t>70%</w:t>
              </w:r>
              <w:r>
                <w:rPr>
                  <w:rFonts w:ascii="Times New Roman" w:cs="Times New Roman"/>
                  <w:szCs w:val="21"/>
                </w:rPr>
                <w:t>的股权，通过控股子公司两面针（江苏）实业有限公司间接持股</w:t>
              </w:r>
              <w:r>
                <w:rPr>
                  <w:rFonts w:ascii="Times New Roman" w:hAnsi="Times New Roman" w:cs="Times New Roman"/>
                  <w:szCs w:val="21"/>
                </w:rPr>
                <w:t>15%</w:t>
              </w:r>
              <w:r>
                <w:rPr>
                  <w:rFonts w:ascii="Times New Roman" w:cs="Times New Roman"/>
                  <w:szCs w:val="21"/>
                </w:rPr>
                <w:t>。</w:t>
              </w:r>
            </w:p>
          </w:sdtContent>
        </w:sdt>
        <w:p>
          <w:pPr>
            <w:rPr>
              <w:szCs w:val="21"/>
            </w:rPr>
          </w:pPr>
        </w:p>
      </w:sdtContent>
    </w:sdt>
    <w:sdt>
      <w:sdtPr>
        <w:rPr>
          <w:rFonts w:ascii="宋体" w:hAnsi="宋体" w:cs="宋体"/>
          <w:b w:val="0"/>
          <w:bCs w:val="0"/>
          <w:kern w:val="0"/>
          <w:szCs w:val="21"/>
        </w:rPr>
        <w:alias w:val="模块:公司控制的结构化主体情况"/>
        <w:tag w:val="_SEC_9484614c8eb4420fbc64d1a31f33de49"/>
        <w:id w:val="865722593"/>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6572259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pStyle w:val="3"/>
        <w:numPr>
          <w:ilvl w:val="0"/>
          <w:numId w:val="7"/>
        </w:numPr>
        <w:ind w:left="422" w:hanging="422" w:hangingChars="200"/>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865722596"/>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3"/>
              <w:numId w:val="20"/>
            </w:numPr>
            <w:ind w:left="420" w:hangingChars="200"/>
            <w:rPr>
              <w:szCs w:val="21"/>
            </w:rPr>
          </w:pPr>
          <w:r>
            <w:rPr>
              <w:szCs w:val="21"/>
            </w:rPr>
            <w:t>行业格局和趋势</w:t>
          </w:r>
        </w:p>
        <w:sdt>
          <w:sdtPr>
            <w:rPr>
              <w:rFonts w:hint="eastAsia" w:cs="Times New Roman"/>
              <w:kern w:val="2"/>
              <w:szCs w:val="21"/>
            </w:rPr>
            <w:alias w:val="是否适用：行业格局和趋势[双击切换]"/>
            <w:tag w:val="_GBC_da53e2a4423f4116b5d03ba76b630af9"/>
            <w:id w:val="865722594"/>
            <w:lock w:val="sdtLocked"/>
            <w:placeholder>
              <w:docPart w:val="GBC22222222222222222222222222222"/>
            </w:placeholder>
          </w:sdtPr>
          <w:sdtEndPr>
            <w:rPr>
              <w:rFonts w:hint="eastAsia" w:cs="Times New Roman"/>
              <w:kern w:val="2"/>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865722595"/>
            <w:lock w:val="sdtLocked"/>
            <w:placeholder>
              <w:docPart w:val="GBC22222222222222222222222222222"/>
            </w:placeholder>
          </w:sdtPr>
          <w:sdtEndPr>
            <w:rPr>
              <w:rFonts w:hint="eastAsia"/>
              <w:szCs w:val="21"/>
            </w:rPr>
          </w:sdtEndPr>
          <w:sdtContent>
            <w:p>
              <w:pPr>
                <w:ind w:firstLine="424" w:firstLineChars="202"/>
                <w:rPr>
                  <w:szCs w:val="21"/>
                </w:rPr>
              </w:pPr>
              <w:r>
                <w:rPr>
                  <w:rFonts w:hint="eastAsia"/>
                  <w:szCs w:val="21"/>
                </w:rPr>
                <w:t>详见本报告“第三节</w:t>
              </w:r>
              <w:r>
                <w:rPr>
                  <w:szCs w:val="21"/>
                </w:rPr>
                <w:t xml:space="preserve"> </w:t>
              </w:r>
              <w:r>
                <w:rPr>
                  <w:rFonts w:hint="eastAsia"/>
                  <w:szCs w:val="21"/>
                </w:rPr>
                <w:t>管理层</w:t>
              </w:r>
              <w:r>
                <w:rPr>
                  <w:szCs w:val="21"/>
                </w:rPr>
                <w:t>讨论与分析”</w:t>
              </w:r>
              <w:r>
                <w:rPr>
                  <w:rFonts w:hint="eastAsia"/>
                  <w:szCs w:val="21"/>
                </w:rPr>
                <w:t>之</w:t>
              </w:r>
              <w:r>
                <w:rPr>
                  <w:szCs w:val="21"/>
                </w:rPr>
                <w:t>“</w:t>
              </w:r>
              <w:r>
                <w:rPr>
                  <w:rFonts w:hint="eastAsia"/>
                </w:rPr>
                <w:t>五、报告期内主要经营情况</w:t>
              </w:r>
              <w:r>
                <w:rPr>
                  <w:szCs w:val="21"/>
                </w:rPr>
                <w:t>（四）行业经营性信息分析”</w:t>
              </w:r>
              <w:r>
                <w:rPr>
                  <w:rFonts w:hint="eastAsia"/>
                  <w:szCs w:val="21"/>
                </w:rPr>
                <w:t>的相关内容。</w:t>
              </w:r>
            </w:p>
          </w:sdtContent>
        </w:sdt>
        <w:p>
          <w:pPr>
            <w:rPr>
              <w:szCs w:val="21"/>
            </w:rPr>
          </w:pPr>
        </w:p>
      </w:sdtContent>
    </w:sdt>
    <w:sdt>
      <w:sdtPr>
        <w:rPr>
          <w:rFonts w:ascii="宋体" w:hAnsi="宋体" w:cs="宋体"/>
          <w:b w:val="0"/>
          <w:bCs w:val="0"/>
          <w:kern w:val="0"/>
          <w:szCs w:val="21"/>
        </w:rPr>
        <w:alias w:val="模块:公司发展战略"/>
        <w:tag w:val="_SEC_ddbac632a621498c889e331b6e21fcc6"/>
        <w:id w:val="865722599"/>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3"/>
              <w:numId w:val="20"/>
            </w:numPr>
            <w:ind w:left="420" w:hangingChars="200"/>
            <w:rPr>
              <w:szCs w:val="21"/>
            </w:rPr>
          </w:pPr>
          <w:r>
            <w:rPr>
              <w:szCs w:val="21"/>
            </w:rPr>
            <w:t>公司发展战略</w:t>
          </w:r>
        </w:p>
        <w:sdt>
          <w:sdtPr>
            <w:rPr>
              <w:rFonts w:hint="eastAsia" w:cs="Times New Roman"/>
              <w:kern w:val="2"/>
              <w:szCs w:val="21"/>
            </w:rPr>
            <w:alias w:val="是否适用：公司发展战略[双击切换]"/>
            <w:tag w:val="_GBC_5cdf4718a6044c1fbf76e22df729f9b7"/>
            <w:id w:val="865722597"/>
            <w:lock w:val="sdtLocked"/>
            <w:placeholder>
              <w:docPart w:val="GBC22222222222222222222222222222"/>
            </w:placeholder>
          </w:sdtPr>
          <w:sdtEndPr>
            <w:rPr>
              <w:rFonts w:hint="eastAsia" w:cs="Times New Roman"/>
              <w:kern w:val="2"/>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865722598"/>
            <w:lock w:val="sdtLocked"/>
            <w:placeholder>
              <w:docPart w:val="GBC22222222222222222222222222222"/>
            </w:placeholder>
          </w:sdtPr>
          <w:sdtEndPr>
            <w:rPr>
              <w:rFonts w:hint="eastAsia"/>
              <w:szCs w:val="21"/>
            </w:rPr>
          </w:sdtEndPr>
          <w:sdtContent>
            <w:p>
              <w:pPr>
                <w:spacing w:line="400" w:lineRule="exact"/>
                <w:ind w:firstLine="424" w:firstLineChars="202"/>
                <w:rPr>
                  <w:szCs w:val="21"/>
                </w:rPr>
              </w:pPr>
              <w:r>
                <w:rPr>
                  <w:rFonts w:hint="eastAsia"/>
                  <w:szCs w:val="21"/>
                </w:rPr>
                <w:t>公司坚定聚焦主业的发展战略，专注中药日化，秉持“传承、健康、时尚”的产品理念，加快日化和药业的深度融合，将两面针打造成中药理念下的大健康产业技术领先型企业，致力改善和提高消费者生活品质。</w:t>
              </w:r>
            </w:p>
          </w:sdtContent>
        </w:sdt>
        <w:p>
          <w:pPr>
            <w:rPr>
              <w:szCs w:val="21"/>
            </w:rPr>
          </w:pPr>
        </w:p>
      </w:sdtContent>
    </w:sdt>
    <w:sdt>
      <w:sdtPr>
        <w:rPr>
          <w:rFonts w:ascii="宋体" w:hAnsi="宋体" w:cs="宋体"/>
          <w:b w:val="0"/>
          <w:bCs w:val="0"/>
          <w:kern w:val="0"/>
          <w:szCs w:val="21"/>
        </w:rPr>
        <w:alias w:val="模块:经营计划"/>
        <w:tag w:val="_SEC_e5dfae5745e046e6a8ba223752a1dccc"/>
        <w:id w:val="865722602"/>
        <w:lock w:val="sdtLocked"/>
        <w:placeholder>
          <w:docPart w:val="GBC22222222222222222222222222222"/>
        </w:placeholder>
      </w:sdtPr>
      <w:sdtEndPr>
        <w:rPr>
          <w:rFonts w:ascii="Times New Roman" w:hAnsi="Times New Roman" w:cs="Times New Roman"/>
          <w:b w:val="0"/>
          <w:bCs w:val="0"/>
          <w:kern w:val="0"/>
          <w:szCs w:val="21"/>
        </w:rPr>
      </w:sdtEndPr>
      <w:sdtContent>
        <w:p>
          <w:pPr>
            <w:pStyle w:val="4"/>
            <w:numPr>
              <w:ilvl w:val="3"/>
              <w:numId w:val="20"/>
            </w:numPr>
            <w:ind w:left="420" w:hangingChars="200"/>
            <w:rPr>
              <w:szCs w:val="21"/>
            </w:rPr>
          </w:pPr>
          <w:r>
            <w:rPr>
              <w:szCs w:val="21"/>
            </w:rPr>
            <w:t>经营计划</w:t>
          </w:r>
        </w:p>
        <w:sdt>
          <w:sdtPr>
            <w:rPr>
              <w:rFonts w:hint="eastAsia" w:cs="Times New Roman"/>
              <w:kern w:val="2"/>
              <w:szCs w:val="21"/>
            </w:rPr>
            <w:alias w:val="是否适用：经营计划[双击切换]"/>
            <w:tag w:val="_GBC_871dbf3fc5a0422cadcc3452003278de"/>
            <w:id w:val="865722600"/>
            <w:lock w:val="sdtLocked"/>
            <w:placeholder>
              <w:docPart w:val="GBC22222222222222222222222222222"/>
            </w:placeholder>
          </w:sdtPr>
          <w:sdtEndPr>
            <w:rPr>
              <w:rFonts w:hint="eastAsia" w:cs="Times New Roman"/>
              <w:kern w:val="2"/>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865722601"/>
            <w:lock w:val="sdtLocked"/>
            <w:placeholder>
              <w:docPart w:val="GBC22222222222222222222222222222"/>
            </w:placeholder>
          </w:sdtPr>
          <w:sdtEndPr>
            <w:rPr>
              <w:rFonts w:hint="default" w:ascii="Times New Roman" w:hAnsi="Times New Roman" w:cs="Times New Roman"/>
              <w:szCs w:val="21"/>
            </w:rPr>
          </w:sdtEndPr>
          <w:sdtContent>
            <w:p>
              <w:pPr>
                <w:spacing w:line="400" w:lineRule="exact"/>
                <w:ind w:firstLine="420" w:firstLineChars="200"/>
                <w:rPr>
                  <w:rFonts w:ascii="Times New Roman" w:hAnsi="Times New Roman" w:cs="Times New Roman"/>
                  <w:szCs w:val="21"/>
                </w:rPr>
              </w:pPr>
              <w:r>
                <w:rPr>
                  <w:rFonts w:ascii="Times New Roman" w:cs="Times New Roman"/>
                  <w:szCs w:val="21"/>
                </w:rPr>
                <w:t>2022年，公司将以“稳利润、保增长”为工作方针，推进各项工作。</w:t>
              </w:r>
              <w:r>
                <w:rPr>
                  <w:rFonts w:hint="eastAsia" w:ascii="Times New Roman" w:cs="Times New Roman"/>
                  <w:szCs w:val="21"/>
                </w:rPr>
                <w:t>日化板块以产品创新引领，以科学的产品策略和灵活的市场策略助力销售，线下渠道要加快拓展和下沉，线上渠道要继续优化网络运营，提高流量转化，推动产品销量和品牌影响力提升。药业板块要积极调整产品结构和营销方式，精耕终端市场，布局连锁渠道，挖掘新的利润增长点，进一步深度融合日化与药业板块，形成合力，协同发展。</w:t>
              </w:r>
            </w:p>
          </w:sdtContent>
        </w:sdt>
        <w:p>
          <w:pPr>
            <w:rPr>
              <w:rFonts w:ascii="Times New Roman" w:hAnsi="Times New Roman" w:cs="Times New Roman"/>
              <w:szCs w:val="21"/>
            </w:rPr>
          </w:pPr>
        </w:p>
      </w:sdtContent>
    </w:sdt>
    <w:sdt>
      <w:sdtPr>
        <w:rPr>
          <w:rFonts w:ascii="宋体" w:hAnsi="宋体" w:cs="宋体"/>
          <w:b w:val="0"/>
          <w:bCs w:val="0"/>
          <w:kern w:val="0"/>
          <w:szCs w:val="21"/>
        </w:rPr>
        <w:alias w:val="模块:可能面对的风险"/>
        <w:tag w:val="_SEC_22da638766f04cb497f13857cff3dfee"/>
        <w:id w:val="865722605"/>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3"/>
              <w:numId w:val="20"/>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86572260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865722604"/>
            <w:lock w:val="sdtLocked"/>
            <w:placeholder>
              <w:docPart w:val="GBC22222222222222222222222222222"/>
            </w:placeholder>
          </w:sdtPr>
          <w:sdtEndPr>
            <w:rPr>
              <w:rFonts w:hint="eastAsia"/>
              <w:color w:val="FF0000"/>
              <w:szCs w:val="21"/>
            </w:rPr>
          </w:sdtEndPr>
          <w:sdtContent>
            <w:p>
              <w:pPr>
                <w:spacing w:line="400" w:lineRule="exact"/>
                <w:ind w:firstLine="420" w:firstLineChars="200"/>
              </w:pPr>
              <w:r>
                <w:rPr>
                  <w:rFonts w:hint="eastAsia"/>
                </w:rPr>
                <w:t>1、市场竞争加剧的风险</w:t>
              </w:r>
            </w:p>
            <w:p>
              <w:pPr>
                <w:spacing w:line="400" w:lineRule="exact"/>
                <w:ind w:firstLine="420" w:firstLineChars="200"/>
                <w:rPr>
                  <w:rFonts w:ascii="Times New Roman" w:hAnsi="Times New Roman" w:cs="Times New Roman"/>
                </w:rPr>
              </w:pPr>
              <w:r>
                <w:rPr>
                  <w:rFonts w:ascii="Times New Roman" w:cs="Times New Roman"/>
                </w:rPr>
                <w:t>中国日化产业已经进入成熟期，市场细分程度高，跨行业投资者不断进入，竞争十分激烈。进口产品受国家关税降低的影响市场份额不断增加，加上地域劣势、单纯牙膏市场容量有限等客观现实，导致公司日化产业竞争压力不断增大。公司要积极发挥自身的研发优势、质量优势和品牌优势，精准定位，提高市场竞争力。</w:t>
              </w:r>
            </w:p>
            <w:p>
              <w:pPr>
                <w:spacing w:line="400" w:lineRule="exact"/>
                <w:ind w:firstLine="420" w:firstLineChars="200"/>
                <w:rPr>
                  <w:rFonts w:ascii="Times New Roman" w:hAnsi="Times New Roman" w:cs="Times New Roman"/>
                </w:rPr>
              </w:pPr>
              <w:r>
                <w:rPr>
                  <w:rFonts w:ascii="Times New Roman" w:hAnsi="Times New Roman" w:cs="Times New Roman"/>
                </w:rPr>
                <w:t>2</w:t>
              </w:r>
              <w:r>
                <w:rPr>
                  <w:rFonts w:ascii="Times New Roman" w:cs="Times New Roman"/>
                </w:rPr>
                <w:t>、渠道结构变革的风险</w:t>
              </w:r>
            </w:p>
            <w:p>
              <w:pPr>
                <w:spacing w:line="400" w:lineRule="exact"/>
                <w:ind w:firstLine="420" w:firstLineChars="200"/>
                <w:rPr>
                  <w:rFonts w:ascii="Times New Roman" w:hAnsi="Times New Roman" w:cs="Times New Roman"/>
                </w:rPr>
              </w:pPr>
              <w:r>
                <w:rPr>
                  <w:rFonts w:ascii="Times New Roman" w:cs="Times New Roman"/>
                </w:rPr>
                <w:t>互联网时代背景下，快速消费品的渠道结构发生了巨大变革，线上渠道的占比保持高位增长，新兴电商社区平台给传统线下渠道带来一定冲击。公司积极顺应新的渠道变革，在巩固原有的经销商和直供渠道的基础上，大力开拓新兴渠道。但是由于公司参与新兴渠道较迟，可投入资源不足，想要抓住渠道变革带来的机遇也存在风险。</w:t>
              </w:r>
            </w:p>
            <w:p>
              <w:pPr>
                <w:spacing w:line="400" w:lineRule="exact"/>
                <w:ind w:firstLine="420" w:firstLineChars="200"/>
                <w:rPr>
                  <w:rFonts w:ascii="Times New Roman" w:hAnsi="Times New Roman" w:cs="Times New Roman"/>
                </w:rPr>
              </w:pPr>
              <w:r>
                <w:rPr>
                  <w:rFonts w:ascii="Times New Roman" w:hAnsi="Times New Roman" w:cs="Times New Roman"/>
                </w:rPr>
                <w:t>3</w:t>
              </w:r>
              <w:r>
                <w:rPr>
                  <w:rFonts w:ascii="Times New Roman" w:cs="Times New Roman"/>
                </w:rPr>
                <w:t>、新冠疫情带来的不确定性风险</w:t>
              </w:r>
            </w:p>
            <w:p>
              <w:pPr>
                <w:tabs>
                  <w:tab w:val="left" w:pos="7655"/>
                </w:tabs>
                <w:spacing w:line="400" w:lineRule="exact"/>
                <w:ind w:firstLine="420" w:firstLineChars="200"/>
                <w:rPr>
                  <w:rFonts w:ascii="Times New Roman" w:hAnsi="Times New Roman" w:cs="Times New Roman"/>
                </w:rPr>
              </w:pPr>
              <w:r>
                <w:rPr>
                  <w:rFonts w:ascii="Times New Roman" w:cs="Times New Roman"/>
                </w:rPr>
                <w:t>报告期内，新冠疫情仍有区域性爆发。子公司江苏实业公司受到旅游行业、酒店行业市场低迷的持续影响。随着疫情防控的常态化，公司加快推进各项业务的转型升级和产品的结构调整，不断提高抗风险能力。</w:t>
              </w:r>
            </w:p>
            <w:p>
              <w:pPr>
                <w:tabs>
                  <w:tab w:val="left" w:pos="7655"/>
                </w:tabs>
                <w:spacing w:line="400" w:lineRule="exact"/>
                <w:ind w:firstLine="420" w:firstLineChars="200"/>
              </w:pPr>
              <w:r>
                <w:rPr>
                  <w:rFonts w:ascii="Times New Roman" w:hAnsi="Times New Roman" w:cs="Times New Roman"/>
                </w:rPr>
                <w:t>4</w:t>
              </w:r>
              <w:r>
                <w:rPr>
                  <w:rFonts w:ascii="Times New Roman" w:cs="Times New Roman"/>
                </w:rPr>
                <w:t>、大宗原材料价格持续上涨的风险</w:t>
              </w:r>
            </w:p>
            <w:p>
              <w:pPr>
                <w:tabs>
                  <w:tab w:val="left" w:pos="7655"/>
                </w:tabs>
                <w:spacing w:line="400" w:lineRule="exact"/>
                <w:ind w:firstLine="420" w:firstLineChars="200"/>
              </w:pPr>
              <w:r>
                <w:rPr>
                  <w:rFonts w:hint="eastAsia"/>
                </w:rPr>
                <w:t>受外部诸多因素影响，大宗原材料价格持续上涨，造成公司采购成本的增加，对公司毛利造成不利影响。公司积极优化原材料采购政策，优化工艺，管控成本，力争稳定毛利。</w:t>
              </w:r>
            </w:p>
            <w:p>
              <w:pPr>
                <w:rPr>
                  <w:color w:val="FF0000"/>
                  <w:szCs w:val="21"/>
                </w:rPr>
              </w:pPr>
            </w:p>
          </w:sdtContent>
        </w:sdt>
        <w:p>
          <w:pPr>
            <w:rPr>
              <w:szCs w:val="21"/>
            </w:rPr>
          </w:pPr>
        </w:p>
      </w:sdtContent>
    </w:sdt>
    <w:sdt>
      <w:sdtPr>
        <w:rPr>
          <w:rFonts w:ascii="宋体" w:hAnsi="宋体" w:cs="宋体"/>
          <w:b w:val="0"/>
          <w:bCs w:val="0"/>
          <w:kern w:val="0"/>
          <w:szCs w:val="21"/>
        </w:rPr>
        <w:alias w:val="模块:其他"/>
        <w:tag w:val="_SEC_449f92267bc945658d04ffaf693010b1"/>
        <w:id w:val="865722607"/>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3"/>
              <w:numId w:val="20"/>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86572260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Cambria" w:hAnsi="Cambria" w:cs="宋体"/>
          <w:b w:val="0"/>
          <w:bCs w:val="0"/>
          <w:kern w:val="0"/>
          <w:szCs w:val="24"/>
        </w:rPr>
        <w:alias w:val="模块:公司因不适用准则规定国家秘密、商业秘密等或特殊原因，未按准则披露的情况和原因说明"/>
        <w:tag w:val="_SEC_14765587b8824a0d969811c87d3f8cd6"/>
        <w:id w:val="865722609"/>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7"/>
            </w:numPr>
            <w:rPr>
              <w:rFonts w:ascii="Cambria" w:hAnsi="Cambria"/>
            </w:rPr>
          </w:pPr>
          <w:r>
            <w:rPr>
              <w:rFonts w:hint="eastAsia" w:ascii="Cambria" w:hAnsi="Cambr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865722608"/>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2"/>
        <w:numPr>
          <w:ilvl w:val="0"/>
          <w:numId w:val="2"/>
        </w:numPr>
        <w:spacing w:before="0" w:after="0"/>
        <w:rPr>
          <w:bCs w:val="0"/>
        </w:rPr>
      </w:pPr>
      <w:bookmarkStart w:id="42" w:name="_Toc409437610"/>
      <w:bookmarkStart w:id="43" w:name="_Toc437440716"/>
      <w:bookmarkStart w:id="44" w:name="_Toc89790251"/>
      <w:r>
        <w:rPr>
          <w:bCs w:val="0"/>
        </w:rPr>
        <w:t>公司治理</w:t>
      </w:r>
      <w:bookmarkEnd w:id="42"/>
      <w:bookmarkEnd w:id="43"/>
      <w:bookmarkEnd w:id="44"/>
    </w:p>
    <w:sdt>
      <w:sdtPr>
        <w:rPr>
          <w:rFonts w:ascii="宋体" w:hAnsi="宋体" w:cs="宋体"/>
          <w:b w:val="0"/>
          <w:bCs w:val="0"/>
          <w:kern w:val="0"/>
          <w:szCs w:val="24"/>
        </w:rPr>
        <w:alias w:val="模块:公司治理相关情况说明"/>
        <w:tag w:val="_SEC_0164dfaf2ef04d3a93f24cb4cdc06581"/>
        <w:id w:val="865722613"/>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21"/>
            </w:numPr>
          </w:pPr>
          <w:r>
            <w:t>公司治理相关情况说明</w:t>
          </w:r>
        </w:p>
        <w:sdt>
          <w:sdtPr>
            <w:rPr>
              <w:rFonts w:hint="eastAsia"/>
              <w:szCs w:val="21"/>
            </w:rPr>
            <w:alias w:val="是否适用：公司治理相关情况说明[双击切换]"/>
            <w:tag w:val="_GBC_fcded3e74c5842408b5da723b3a757fa"/>
            <w:id w:val="86572261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1"/>
            </w:rPr>
            <w:alias w:val="公司治理相关情况说明"/>
            <w:tag w:val="_GBC_b4d29a30dc2b4ea6b942196a3b52c2d0"/>
            <w:id w:val="865722611"/>
            <w:lock w:val="sdtLocked"/>
            <w:placeholder>
              <w:docPart w:val="GBC22222222222222222222222222222"/>
            </w:placeholder>
          </w:sdtPr>
          <w:sdtEndPr>
            <w:rPr>
              <w:rFonts w:ascii="宋体" w:hAnsi="宋体" w:cs="宋体"/>
              <w:b w:val="0"/>
              <w:bCs w:val="0"/>
              <w:kern w:val="0"/>
              <w:szCs w:val="21"/>
            </w:rPr>
          </w:sdtEndPr>
          <w:sdtContent>
            <w:p>
              <w:pPr>
                <w:pStyle w:val="4"/>
                <w:spacing w:before="0" w:after="0" w:line="400" w:lineRule="exact"/>
                <w:ind w:firstLine="424" w:firstLineChars="202"/>
                <w:rPr>
                  <w:rFonts w:asciiTheme="minorEastAsia" w:hAnsiTheme="minorEastAsia" w:eastAsiaTheme="minorEastAsia"/>
                  <w:b w:val="0"/>
                  <w:bCs w:val="0"/>
                  <w:kern w:val="0"/>
                  <w:szCs w:val="21"/>
                </w:rPr>
              </w:pPr>
              <w:r>
                <w:rPr>
                  <w:rFonts w:asciiTheme="minorEastAsia" w:hAnsiTheme="minorEastAsia" w:eastAsiaTheme="minorEastAsia"/>
                  <w:b w:val="0"/>
                  <w:bCs w:val="0"/>
                  <w:kern w:val="0"/>
                  <w:szCs w:val="21"/>
                </w:rPr>
                <w:t>报告期内，公司按照《公司法》《证券法》《上市公司治理准则》和中国证监会、上交所有关规范性文件的要求开展公司治理工作。公司已建立了较为完善的公司治理结构和公司治理制度，公司权力机构、决策机构、监督机构和经营管理层之间权责明确，运作规范。</w:t>
              </w:r>
            </w:p>
            <w:p>
              <w:pPr>
                <w:pStyle w:val="5"/>
                <w:spacing w:before="0" w:after="0" w:line="400" w:lineRule="exact"/>
                <w:ind w:firstLine="424" w:firstLineChars="201"/>
                <w:rPr>
                  <w:szCs w:val="21"/>
                </w:rPr>
              </w:pPr>
              <w:r>
                <w:rPr>
                  <w:szCs w:val="21"/>
                </w:rPr>
                <w:t>1．关于股东与股东大会</w:t>
              </w:r>
            </w:p>
            <w:p>
              <w:pPr>
                <w:spacing w:line="400" w:lineRule="exact"/>
                <w:ind w:firstLine="420" w:firstLineChars="200"/>
                <w:rPr>
                  <w:rFonts w:cs="Times New Roman" w:asciiTheme="minorEastAsia" w:hAnsiTheme="minorEastAsia" w:eastAsiaTheme="minorEastAsia"/>
                  <w:szCs w:val="21"/>
                </w:rPr>
              </w:pPr>
              <w:r>
                <w:rPr>
                  <w:rFonts w:cs="Times New Roman" w:asciiTheme="minorEastAsia" w:hAnsiTheme="minorEastAsia" w:eastAsiaTheme="minorEastAsia"/>
                  <w:szCs w:val="21"/>
                </w:rPr>
                <w:t>公司根据《公司法》《上海证券交易所股票上市规则》及公司制定的《股东大会议事规则》召集、召开股东大会。公司平等对待所有股东，特别是中小股东与大股东享有平等的地位，能充分行使自己的权利。按照证监会的相关规定，公</w:t>
              </w:r>
              <w:r>
                <w:rPr>
                  <w:rFonts w:ascii="Times New Roman" w:cs="Times New Roman" w:hAnsiTheme="minorEastAsia" w:eastAsiaTheme="minorEastAsia"/>
                  <w:szCs w:val="21"/>
                </w:rPr>
                <w:t>司</w:t>
              </w:r>
              <w:r>
                <w:rPr>
                  <w:rFonts w:ascii="Times New Roman" w:hAnsi="Times New Roman" w:cs="Times New Roman" w:eastAsiaTheme="minorEastAsia"/>
                  <w:szCs w:val="21"/>
                </w:rPr>
                <w:t>2021</w:t>
              </w:r>
              <w:r>
                <w:rPr>
                  <w:rFonts w:ascii="Times New Roman" w:cs="Times New Roman" w:hAnsiTheme="minorEastAsia" w:eastAsiaTheme="minorEastAsia"/>
                  <w:szCs w:val="21"/>
                </w:rPr>
                <w:t>年召开</w:t>
              </w:r>
              <w:r>
                <w:rPr>
                  <w:rFonts w:ascii="Times New Roman" w:hAnsi="Times New Roman" w:cs="Times New Roman" w:eastAsiaTheme="minorEastAsia"/>
                  <w:szCs w:val="21"/>
                </w:rPr>
                <w:t>2</w:t>
              </w:r>
              <w:r>
                <w:rPr>
                  <w:rFonts w:ascii="Times New Roman" w:cs="Times New Roman" w:hAnsiTheme="minorEastAsia" w:eastAsiaTheme="minorEastAsia"/>
                  <w:szCs w:val="21"/>
                </w:rPr>
                <w:t>次股</w:t>
              </w:r>
              <w:r>
                <w:rPr>
                  <w:rFonts w:cs="Times New Roman" w:asciiTheme="minorEastAsia" w:hAnsiTheme="minorEastAsia" w:eastAsiaTheme="minorEastAsia"/>
                  <w:szCs w:val="21"/>
                </w:rPr>
                <w:t>东大会，均提供了现场投票和网络投票的渠道，保证广大中小股东能充分行使投票权。</w:t>
              </w:r>
            </w:p>
            <w:p>
              <w:pPr>
                <w:pStyle w:val="5"/>
                <w:spacing w:before="0" w:after="0" w:line="400" w:lineRule="exact"/>
                <w:ind w:firstLine="424" w:firstLineChars="201"/>
                <w:rPr>
                  <w:szCs w:val="21"/>
                </w:rPr>
              </w:pPr>
              <w:r>
                <w:rPr>
                  <w:szCs w:val="21"/>
                </w:rPr>
                <w:t>2．关于控股股东与上市公司的关系</w:t>
              </w:r>
            </w:p>
            <w:p>
              <w:pPr>
                <w:spacing w:line="400" w:lineRule="exact"/>
                <w:ind w:firstLine="420" w:firstLineChars="200"/>
                <w:rPr>
                  <w:rFonts w:cs="Times New Roman" w:asciiTheme="minorEastAsia" w:hAnsiTheme="minorEastAsia" w:eastAsiaTheme="minorEastAsia"/>
                  <w:szCs w:val="21"/>
                </w:rPr>
              </w:pPr>
              <w:r>
                <w:rPr>
                  <w:rFonts w:cs="Times New Roman" w:asciiTheme="minorEastAsia" w:hAnsiTheme="minorEastAsia" w:eastAsiaTheme="minorEastAsia"/>
                  <w:szCs w:val="21"/>
                </w:rPr>
                <w:t>公司控股股东行为规范，依法行使出资人权利，没有超越股东大会直接或间接干预公司的经营决策的情形。报告期内，公司与控股股东在其余人员、资产、机构、业务、财务等方面均保持独立，具有完整的业务体系和直接面向市场独立经营的能力，独立组织生产销售和经营规划，均按《公司章程》和有关法律法规的规定由股东大会、董事会依法做出重大决策，与控股股东不存在同业竞争的情况，也不存在控股股东干预公司决策和经营的情况，未发生大股东占用上市公司资金和资产的情况。公司已建立防止控股股东及其附属企业占用上市公司资金、侵害上市公司利益的长效机制。</w:t>
              </w:r>
            </w:p>
            <w:p>
              <w:pPr>
                <w:spacing w:line="400" w:lineRule="exact"/>
                <w:ind w:firstLine="422" w:firstLineChars="200"/>
                <w:rPr>
                  <w:b/>
                  <w:szCs w:val="21"/>
                </w:rPr>
              </w:pPr>
              <w:r>
                <w:rPr>
                  <w:b/>
                  <w:szCs w:val="21"/>
                </w:rPr>
                <w:t>3．关于董事与董事会</w:t>
              </w:r>
            </w:p>
            <w:p>
              <w:pPr>
                <w:pStyle w:val="33"/>
                <w:spacing w:before="0" w:beforeAutospacing="0" w:after="0" w:afterAutospacing="0" w:line="400" w:lineRule="exact"/>
                <w:ind w:firstLine="420" w:firstLineChars="200"/>
                <w:rPr>
                  <w:rFonts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公司董事会职责清晰，全体董事（包括独立董事）均能认真、负责地履行职责。董事会的召集、召开程序符合《公司法》《公司章程》以及《董事会议事规则》等相关法律法规的规定。各董事的任职符合《公司法》《证券法》等相关法律法规对董事任职资格的要求。各董事任职期间勤勉尽责，能积极参加公司董事会会议并认真履行职责，严格维护公司和全体股东的合法权益。公司董事的选举严格按照《公司法》《公司章程》等相关规定的程序进行，各位董事能够以认真、负责的态度出席董事会，并熟悉有关法律法规，能充分行使和履行作为董事的权利、义务和责任。2014年，为提高公司治理水平、规范公司董事会审计委员会的运作，根据《公司法》《证券法》及《上海证券交易所上市公司董事会审计委员会运作指引》等有关法律法规，公司董事会对《公司审计委员会议事规则》作了全面修订，进一步加强下属专门委员会的规范运作。2</w:t>
              </w:r>
              <w:r>
                <w:rPr>
                  <w:rFonts w:hint="eastAsia" w:cs="Times New Roman" w:asciiTheme="minorEastAsia" w:hAnsiTheme="minorEastAsia" w:eastAsiaTheme="minorEastAsia"/>
                  <w:kern w:val="2"/>
                  <w:sz w:val="21"/>
                  <w:szCs w:val="21"/>
                </w:rPr>
                <w:t>021</w:t>
              </w:r>
              <w:r>
                <w:rPr>
                  <w:rFonts w:cs="Times New Roman" w:asciiTheme="minorEastAsia" w:hAnsiTheme="minorEastAsia" w:eastAsiaTheme="minorEastAsia"/>
                  <w:kern w:val="2"/>
                  <w:sz w:val="21"/>
                  <w:szCs w:val="21"/>
                </w:rPr>
                <w:t>年公司审计委员会召开多次会议，对公</w:t>
              </w:r>
              <w:r>
                <w:rPr>
                  <w:rFonts w:ascii="Times New Roman" w:cs="Times New Roman" w:hAnsiTheme="minorEastAsia" w:eastAsiaTheme="minorEastAsia"/>
                  <w:kern w:val="2"/>
                  <w:sz w:val="21"/>
                  <w:szCs w:val="21"/>
                </w:rPr>
                <w:t>司</w:t>
              </w:r>
              <w:r>
                <w:rPr>
                  <w:rFonts w:ascii="Times New Roman" w:hAnsi="Times New Roman" w:cs="Times New Roman" w:eastAsiaTheme="minorEastAsia"/>
                  <w:kern w:val="2"/>
                  <w:sz w:val="21"/>
                  <w:szCs w:val="21"/>
                </w:rPr>
                <w:t>2020</w:t>
              </w:r>
              <w:r>
                <w:rPr>
                  <w:rFonts w:ascii="Times New Roman" w:cs="Times New Roman" w:hAnsiTheme="minorEastAsia" w:eastAsiaTheme="minorEastAsia"/>
                  <w:kern w:val="2"/>
                  <w:sz w:val="21"/>
                  <w:szCs w:val="21"/>
                </w:rPr>
                <w:t>年度报告审计</w:t>
              </w:r>
              <w:r>
                <w:rPr>
                  <w:rFonts w:cs="Times New Roman" w:asciiTheme="minorEastAsia" w:hAnsiTheme="minorEastAsia" w:eastAsiaTheme="minorEastAsia"/>
                  <w:kern w:val="2"/>
                  <w:sz w:val="21"/>
                  <w:szCs w:val="21"/>
                </w:rPr>
                <w:t xml:space="preserve">工作和内部控制工作进行了指导、监督和检查。 </w:t>
              </w:r>
            </w:p>
            <w:p>
              <w:pPr>
                <w:pStyle w:val="5"/>
                <w:spacing w:before="0" w:after="0" w:line="400" w:lineRule="exact"/>
                <w:ind w:firstLine="424" w:firstLineChars="201"/>
                <w:rPr>
                  <w:szCs w:val="21"/>
                </w:rPr>
              </w:pPr>
              <w:r>
                <w:rPr>
                  <w:szCs w:val="21"/>
                </w:rPr>
                <w:t>4．关于监事与监事会</w:t>
              </w:r>
            </w:p>
            <w:p>
              <w:pPr>
                <w:spacing w:line="400" w:lineRule="exact"/>
                <w:ind w:firstLine="420" w:firstLineChars="200"/>
                <w:rPr>
                  <w:rFonts w:cs="Times New Roman" w:asciiTheme="minorEastAsia" w:hAnsiTheme="minorEastAsia" w:eastAsiaTheme="minorEastAsia"/>
                  <w:szCs w:val="21"/>
                </w:rPr>
              </w:pPr>
              <w:r>
                <w:rPr>
                  <w:rFonts w:cs="Times New Roman" w:asciiTheme="minorEastAsia" w:hAnsiTheme="minorEastAsia" w:eastAsiaTheme="minorEastAsia"/>
                  <w:szCs w:val="21"/>
                </w:rPr>
                <w:t>公司监事会职责清晰，全体监事能够认真、负责地履行职责。监事会的召集、召开程序符合《公司法》《公司章程》以及《监事会议事规则》等相关法律法规的规定。各监事的任职符合《公司法》《证券法》等相关法律法规对监事任职资格的要求。公司监事的选举严格按照《公司法》《公司章程》等相关规定的程序进行。各监事任职期间勤勉尽责，能积极参加公司监事会会议并能认真履行职责，维护了公司和全体股东的合法权益。各位监事能认真履行自己的职责，能本着为股东负责的态度，独立有效地对公司董事会以及董事、经理和其他高级管理人员履行职责的合法、合规性进行监督和检查，对公司重大事项进行检查。</w:t>
              </w:r>
            </w:p>
            <w:p>
              <w:pPr>
                <w:pStyle w:val="5"/>
                <w:spacing w:before="0" w:after="0" w:line="400" w:lineRule="exact"/>
                <w:ind w:firstLine="424" w:firstLineChars="201"/>
                <w:rPr>
                  <w:szCs w:val="21"/>
                </w:rPr>
              </w:pPr>
              <w:r>
                <w:rPr>
                  <w:szCs w:val="21"/>
                </w:rPr>
                <w:t>5．关于绩效评估和激励约束机制</w:t>
              </w:r>
            </w:p>
            <w:p>
              <w:pPr>
                <w:spacing w:line="400" w:lineRule="exact"/>
                <w:ind w:firstLine="420" w:firstLineChars="200"/>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公司中层管理人员竞争上岗，全部实行绩效考核，薪酬及任免与责任业绩挂钩，</w:t>
              </w:r>
              <w:r>
                <w:rPr>
                  <w:rFonts w:cs="Times New Roman" w:asciiTheme="minorEastAsia" w:hAnsiTheme="minorEastAsia" w:eastAsiaTheme="minorEastAsia"/>
                  <w:szCs w:val="21"/>
                </w:rPr>
                <w:t>高级管理人员按《公司章程》规定的任职条件和选聘程序选聘，由董事会聘任。</w:t>
              </w:r>
            </w:p>
            <w:p>
              <w:pPr>
                <w:pStyle w:val="5"/>
                <w:spacing w:before="0" w:after="0" w:line="400" w:lineRule="exact"/>
                <w:ind w:firstLine="424" w:firstLineChars="201"/>
                <w:rPr>
                  <w:szCs w:val="21"/>
                </w:rPr>
              </w:pPr>
              <w:r>
                <w:rPr>
                  <w:szCs w:val="21"/>
                </w:rPr>
                <w:t>6．关于信息披露与透明度</w:t>
              </w:r>
            </w:p>
            <w:p>
              <w:pPr>
                <w:spacing w:line="400" w:lineRule="exact"/>
                <w:ind w:firstLine="420" w:firstLineChars="200"/>
                <w:rPr>
                  <w:rFonts w:cs="Times New Roman" w:asciiTheme="minorEastAsia" w:hAnsiTheme="minorEastAsia" w:eastAsiaTheme="minorEastAsia"/>
                  <w:szCs w:val="21"/>
                </w:rPr>
              </w:pPr>
              <w:r>
                <w:rPr>
                  <w:rFonts w:ascii="Times New Roman" w:hAnsi="Times New Roman" w:cs="Times New Roman" w:eastAsiaTheme="minorEastAsia"/>
                  <w:szCs w:val="21"/>
                </w:rPr>
                <w:t>2021</w:t>
              </w:r>
              <w:r>
                <w:rPr>
                  <w:rFonts w:ascii="Times New Roman" w:cs="Times New Roman" w:hAnsiTheme="minorEastAsia" w:eastAsiaTheme="minorEastAsia"/>
                  <w:szCs w:val="21"/>
                </w:rPr>
                <w:t>年</w:t>
              </w:r>
              <w:r>
                <w:rPr>
                  <w:rFonts w:cs="Times New Roman" w:asciiTheme="minorEastAsia" w:hAnsiTheme="minorEastAsia" w:eastAsiaTheme="minorEastAsia"/>
                  <w:szCs w:val="21"/>
                </w:rPr>
                <w:t>，公司按照法律、法规和中国证监会、上交所及公司有关制度的规定，真实、准确、完整、及时地披露相关信息，确保所有股东、投资者享有平等的机会获得信息。公司指定董事会秘书负责信息披露工作、接待股东来访和咨询，指定《上海证券报》《中国证券报》《证券日报》为公司法定信息披露的报纸；公司严格按照有关法律法规的要求，真实、准确、完整、及时地披露有关信息，并确保所有股东有平等的机会获得信息。</w:t>
              </w:r>
            </w:p>
            <w:p>
              <w:pPr>
                <w:pStyle w:val="5"/>
                <w:spacing w:before="0" w:after="0" w:line="400" w:lineRule="exact"/>
                <w:ind w:firstLine="424" w:firstLineChars="201"/>
                <w:rPr>
                  <w:szCs w:val="21"/>
                </w:rPr>
              </w:pPr>
              <w:r>
                <w:rPr>
                  <w:szCs w:val="21"/>
                </w:rPr>
                <w:t>7．关于利益相关者</w:t>
              </w:r>
            </w:p>
            <w:p>
              <w:pPr>
                <w:pStyle w:val="33"/>
                <w:spacing w:before="0" w:beforeAutospacing="0" w:after="0" w:afterAutospacing="0" w:line="400" w:lineRule="exact"/>
                <w:ind w:firstLine="420" w:firstLineChars="20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公司充分尊重和维护利益相关者的合法权益，努力实现股东、员工、社会等各方利益的协调平衡，共同推动公司持续、健康地发展。</w:t>
              </w:r>
            </w:p>
            <w:p>
              <w:pPr>
                <w:pStyle w:val="5"/>
                <w:spacing w:before="0" w:after="0" w:line="400" w:lineRule="exact"/>
                <w:ind w:firstLine="424" w:firstLineChars="201"/>
                <w:rPr>
                  <w:szCs w:val="21"/>
                </w:rPr>
              </w:pPr>
              <w:r>
                <w:rPr>
                  <w:szCs w:val="21"/>
                </w:rPr>
                <w:t>8．关于投资者关系管理工作</w:t>
              </w:r>
            </w:p>
            <w:p>
              <w:pPr>
                <w:spacing w:line="400" w:lineRule="exact"/>
                <w:ind w:firstLine="420" w:firstLineChars="200"/>
                <w:rPr>
                  <w:rFonts w:cs="Times New Roman" w:asciiTheme="minorEastAsia" w:hAnsiTheme="minorEastAsia" w:eastAsiaTheme="minorEastAsia"/>
                  <w:szCs w:val="21"/>
                </w:rPr>
              </w:pPr>
              <w:r>
                <w:rPr>
                  <w:rFonts w:cs="Times New Roman" w:asciiTheme="minorEastAsia" w:hAnsiTheme="minorEastAsia" w:eastAsiaTheme="minorEastAsia"/>
                  <w:szCs w:val="21"/>
                </w:rPr>
                <w:t>公司一贯重视投资者关系管理工作，除认真做好信息披露外，通过电话咨询、接待投资者来访、上</w:t>
              </w:r>
              <w:r>
                <w:rPr>
                  <w:rFonts w:ascii="Times New Roman" w:cs="Times New Roman" w:hAnsiTheme="minorEastAsia" w:eastAsiaTheme="minorEastAsia"/>
                  <w:szCs w:val="21"/>
                </w:rPr>
                <w:t>证</w:t>
              </w:r>
              <w:r>
                <w:rPr>
                  <w:rFonts w:ascii="Times New Roman" w:hAnsi="Times New Roman" w:cs="Times New Roman" w:eastAsiaTheme="minorEastAsia"/>
                  <w:szCs w:val="21"/>
                </w:rPr>
                <w:t>e</w:t>
              </w:r>
              <w:r>
                <w:rPr>
                  <w:rFonts w:ascii="Times New Roman" w:cs="Times New Roman" w:hAnsiTheme="minorEastAsia" w:eastAsiaTheme="minorEastAsia"/>
                  <w:szCs w:val="21"/>
                </w:rPr>
                <w:t>互</w:t>
              </w:r>
              <w:r>
                <w:rPr>
                  <w:rFonts w:cs="Times New Roman" w:asciiTheme="minorEastAsia" w:hAnsiTheme="minorEastAsia" w:eastAsiaTheme="minorEastAsia"/>
                  <w:szCs w:val="21"/>
                </w:rPr>
                <w:t>动平台等方式，在不违反保密规定的前提下认真负责解答股东的询问、投资者调研以及接受媒体的采访，在公平披露的前提下，充分保证投资者的知情权。本年度，制定了《投资者关系管理办法》，进一步完善了投资者关系管理工作。</w:t>
              </w:r>
            </w:p>
            <w:p>
              <w:pPr>
                <w:pStyle w:val="4"/>
                <w:spacing w:before="0" w:after="0" w:line="400" w:lineRule="exact"/>
                <w:ind w:firstLine="424" w:firstLineChars="201"/>
                <w:rPr>
                  <w:rFonts w:asciiTheme="minorEastAsia" w:hAnsiTheme="minorEastAsia" w:eastAsiaTheme="minorEastAsia"/>
                  <w:szCs w:val="21"/>
                </w:rPr>
              </w:pPr>
              <w:r>
                <w:rPr>
                  <w:rFonts w:asciiTheme="minorEastAsia" w:hAnsiTheme="minorEastAsia" w:eastAsiaTheme="minorEastAsia"/>
                  <w:szCs w:val="21"/>
                </w:rPr>
                <w:t>9．内幕知情人登记管理等相关情况</w:t>
              </w:r>
            </w:p>
            <w:p>
              <w:pPr>
                <w:spacing w:line="400" w:lineRule="exact"/>
                <w:ind w:firstLine="420" w:firstLineChars="200"/>
                <w:rPr>
                  <w:rFonts w:cs="Times New Roman" w:asciiTheme="minorEastAsia" w:hAnsiTheme="minorEastAsia" w:eastAsiaTheme="minorEastAsia"/>
                  <w:szCs w:val="21"/>
                </w:rPr>
              </w:pPr>
              <w:r>
                <w:rPr>
                  <w:rFonts w:cs="Times New Roman" w:asciiTheme="minorEastAsia" w:hAnsiTheme="minorEastAsia" w:eastAsiaTheme="minorEastAsia"/>
                  <w:szCs w:val="21"/>
                </w:rPr>
                <w:t>公司</w:t>
              </w:r>
              <w:r>
                <w:rPr>
                  <w:rFonts w:hint="eastAsia" w:cs="Times New Roman" w:asciiTheme="minorEastAsia" w:hAnsiTheme="minorEastAsia" w:eastAsiaTheme="minorEastAsia"/>
                  <w:szCs w:val="21"/>
                </w:rPr>
                <w:t>修</w:t>
              </w:r>
              <w:r>
                <w:rPr>
                  <w:rFonts w:cs="Times New Roman" w:asciiTheme="minorEastAsia" w:hAnsiTheme="minorEastAsia" w:eastAsiaTheme="minorEastAsia"/>
                  <w:szCs w:val="21"/>
                </w:rPr>
                <w:t>订了《内幕信息知情人登记管理制度》。按照有关要求，公司明确董事长为公司加强内幕信息管理和内幕交易防控工作的主要责任人，指定董事会秘书负责办理公司内幕信息知情人的登记入档事宜，公司董事会办公室是公司信息披露机构，协助董事会秘书具体负责公司内幕信息知情人登记管理日常工作。报告期内，公司严格按照制度规定做好内幕信息知情人登记备案工作，公司及相关人员没有因内幕信息知情人登记管理制度执行不力或涉嫌内幕交易被监管部门采取监管措施和行政处罚情况。</w:t>
              </w:r>
            </w:p>
            <w:p>
              <w:pPr>
                <w:rPr>
                  <w:szCs w:val="21"/>
                </w:rPr>
              </w:pPr>
            </w:p>
          </w:sdtContent>
        </w:sdt>
        <w:p>
          <w:pPr>
            <w:rPr>
              <w:szCs w:val="21"/>
            </w:rPr>
          </w:pPr>
        </w:p>
        <w:p>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86572261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ascii="宋体" w:hAnsi="宋体" w:cs="宋体"/>
          <w:b w:val="0"/>
          <w:bCs w:val="0"/>
          <w:kern w:val="0"/>
          <w:szCs w:val="24"/>
        </w:rPr>
        <w:alias w:val="模块:公司就其与控股股东在业务、人员、资产、机构、财务等方面存在的..."/>
        <w:tag w:val="_SEC_688f9e7a19b8440896b6ff6f165a1948"/>
        <w:id w:val="865722617"/>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21"/>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865722614"/>
            <w:lock w:val="sdtLocked"/>
            <w:placeholder>
              <w:docPart w:val="GBC22222222222222222222222222222"/>
            </w:placeholder>
          </w:sdtPr>
          <w:sdtEndPr>
            <w:rPr>
              <w:rFonts w:hint="eastAsia"/>
              <w:szCs w:val="21"/>
            </w:rPr>
          </w:sdtEndPr>
          <w:sdtContent>
            <w:p>
              <w:pPr>
                <w:rPr>
                  <w:color w:val="C0504D" w:themeColor="accent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865722616"/>
            <w:lock w:val="sdtLocked"/>
            <w:placeholder>
              <w:docPart w:val="GBC22222222222222222222222222222"/>
            </w:placeholder>
          </w:sdtPr>
          <w:sdtEndPr>
            <w:rPr>
              <w:rFonts w:hint="eastAsia"/>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ascii="宋体" w:hAnsi="宋体" w:cs="宋体"/>
          <w:b w:val="0"/>
          <w:bCs w:val="0"/>
          <w:kern w:val="0"/>
          <w:szCs w:val="24"/>
        </w:rPr>
        <w:alias w:val="模块:股东大会情况简介会议届次召开日期决议刊登的指定网站的查询索..."/>
        <w:tag w:val="_SEC_af05829cba9b45f78c11b18af8edc52f"/>
        <w:id w:val="865722625"/>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21"/>
            </w:numPr>
          </w:pPr>
          <w:r>
            <w:t>股东大会情况简介</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135"/>
            <w:gridCol w:w="1702"/>
            <w:gridCol w:w="1416"/>
            <w:gridCol w:w="3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ascii="Times New Roman" w:hAnsi="Times New Roman" w:cs="Times New Roman"/>
                </w:rPr>
                <w:tag w:val="_PLD_ca305564151a412a8452996542c336c8"/>
                <w:id w:val="865722618"/>
                <w:lock w:val="sdtLocked"/>
              </w:sdtPr>
              <w:sdtEndPr>
                <w:rPr>
                  <w:rFonts w:ascii="Times New Roman" w:hAnsi="Times New Roman" w:cs="Times New Roman"/>
                </w:rPr>
              </w:sdtEndPr>
              <w:sdtContent>
                <w:tc>
                  <w:tcPr>
                    <w:tcW w:w="765" w:type="pct"/>
                    <w:vAlign w:val="center"/>
                  </w:tcPr>
                  <w:p>
                    <w:pPr>
                      <w:widowControl w:val="0"/>
                      <w:jc w:val="center"/>
                      <w:rPr>
                        <w:rFonts w:ascii="Times New Roman" w:hAnsi="Times New Roman" w:cs="Times New Roman"/>
                        <w:szCs w:val="21"/>
                      </w:rPr>
                    </w:pPr>
                    <w:r>
                      <w:rPr>
                        <w:rFonts w:ascii="Times New Roman" w:cs="Times New Roman"/>
                        <w:szCs w:val="21"/>
                      </w:rPr>
                      <w:t>会议届次</w:t>
                    </w:r>
                  </w:p>
                </w:tc>
              </w:sdtContent>
            </w:sdt>
            <w:sdt>
              <w:sdtPr>
                <w:rPr>
                  <w:rFonts w:ascii="Times New Roman" w:hAnsi="Times New Roman" w:cs="Times New Roman"/>
                </w:rPr>
                <w:tag w:val="_PLD_339c8451b8064684a85c81b08813156b"/>
                <w:id w:val="865722619"/>
                <w:lock w:val="sdtLocked"/>
              </w:sdtPr>
              <w:sdtEndPr>
                <w:rPr>
                  <w:rFonts w:ascii="Times New Roman" w:hAnsi="Times New Roman" w:cs="Times New Roman"/>
                </w:rPr>
              </w:sdtEndPr>
              <w:sdtContent>
                <w:tc>
                  <w:tcPr>
                    <w:tcW w:w="627" w:type="pct"/>
                    <w:vAlign w:val="center"/>
                  </w:tcPr>
                  <w:p>
                    <w:pPr>
                      <w:widowControl w:val="0"/>
                      <w:jc w:val="center"/>
                      <w:rPr>
                        <w:rFonts w:ascii="Times New Roman" w:hAnsi="Times New Roman" w:cs="Times New Roman"/>
                        <w:szCs w:val="21"/>
                      </w:rPr>
                    </w:pPr>
                    <w:r>
                      <w:rPr>
                        <w:rFonts w:ascii="Times New Roman" w:cs="Times New Roman"/>
                        <w:szCs w:val="21"/>
                      </w:rPr>
                      <w:t>召开日期</w:t>
                    </w:r>
                  </w:p>
                </w:tc>
              </w:sdtContent>
            </w:sdt>
            <w:sdt>
              <w:sdtPr>
                <w:rPr>
                  <w:rFonts w:ascii="Times New Roman" w:hAnsi="Times New Roman" w:cs="Times New Roman"/>
                </w:rPr>
                <w:tag w:val="_PLD_7b97e84dc8f648a0b4bd3bbd757797d1"/>
                <w:id w:val="865722620"/>
                <w:lock w:val="sdtLocked"/>
              </w:sdtPr>
              <w:sdtEndPr>
                <w:rPr>
                  <w:rFonts w:ascii="Times New Roman" w:hAnsi="Times New Roman" w:cs="Times New Roman"/>
                </w:rPr>
              </w:sdtEndPr>
              <w:sdtContent>
                <w:tc>
                  <w:tcPr>
                    <w:tcW w:w="940" w:type="pct"/>
                    <w:vAlign w:val="center"/>
                  </w:tcPr>
                  <w:p>
                    <w:pPr>
                      <w:widowControl w:val="0"/>
                      <w:jc w:val="center"/>
                      <w:rPr>
                        <w:rFonts w:ascii="Times New Roman" w:hAnsi="Times New Roman" w:cs="Times New Roman"/>
                        <w:szCs w:val="21"/>
                      </w:rPr>
                    </w:pPr>
                    <w:r>
                      <w:rPr>
                        <w:rFonts w:ascii="Times New Roman" w:cs="Times New Roman"/>
                        <w:szCs w:val="21"/>
                      </w:rPr>
                      <w:t>决议刊登的指定网站的查询索引</w:t>
                    </w:r>
                  </w:p>
                </w:tc>
              </w:sdtContent>
            </w:sdt>
            <w:sdt>
              <w:sdtPr>
                <w:rPr>
                  <w:rFonts w:ascii="Times New Roman" w:hAnsi="Times New Roman" w:cs="Times New Roman"/>
                </w:rPr>
                <w:tag w:val="_PLD_e175ad3c6edc4dc8a87f046a04fe2d07"/>
                <w:id w:val="865722621"/>
                <w:lock w:val="sdtLocked"/>
              </w:sdtPr>
              <w:sdtEndPr>
                <w:rPr>
                  <w:rFonts w:ascii="Times New Roman" w:hAnsi="Times New Roman" w:cs="Times New Roman"/>
                </w:rPr>
              </w:sdtEndPr>
              <w:sdtContent>
                <w:tc>
                  <w:tcPr>
                    <w:tcW w:w="782" w:type="pct"/>
                    <w:vAlign w:val="center"/>
                  </w:tcPr>
                  <w:p>
                    <w:pPr>
                      <w:widowControl w:val="0"/>
                      <w:jc w:val="center"/>
                      <w:rPr>
                        <w:rFonts w:ascii="Times New Roman" w:hAnsi="Times New Roman" w:cs="Times New Roman"/>
                        <w:szCs w:val="21"/>
                      </w:rPr>
                    </w:pPr>
                    <w:r>
                      <w:rPr>
                        <w:rFonts w:ascii="Times New Roman" w:cs="Times New Roman"/>
                        <w:szCs w:val="21"/>
                      </w:rPr>
                      <w:t>决议刊登的披露日期</w:t>
                    </w:r>
                  </w:p>
                </w:tc>
              </w:sdtContent>
            </w:sdt>
            <w:sdt>
              <w:sdtPr>
                <w:rPr>
                  <w:rFonts w:ascii="Times New Roman" w:hAnsi="Times New Roman" w:cs="Times New Roman"/>
                </w:rPr>
                <w:tag w:val="_PLD_23fd9aa41f9444b4a6b91c96589bb344"/>
                <w:id w:val="865722622"/>
                <w:lock w:val="sdtLocked"/>
              </w:sdtPr>
              <w:sdtEndPr>
                <w:rPr>
                  <w:rFonts w:ascii="Times New Roman" w:hAnsi="Times New Roman" w:cs="Times New Roman"/>
                </w:rPr>
              </w:sdtEndPr>
              <w:sdtContent>
                <w:tc>
                  <w:tcPr>
                    <w:tcW w:w="1885" w:type="pct"/>
                    <w:vAlign w:val="center"/>
                  </w:tcPr>
                  <w:p>
                    <w:pPr>
                      <w:widowControl w:val="0"/>
                      <w:jc w:val="center"/>
                      <w:rPr>
                        <w:rFonts w:ascii="Times New Roman" w:hAnsi="Times New Roman" w:cs="Times New Roman"/>
                      </w:rPr>
                    </w:pPr>
                    <w:r>
                      <w:rPr>
                        <w:rFonts w:ascii="Times New Roman" w:cs="Times New Roman"/>
                      </w:rPr>
                      <w:t>会议决议</w:t>
                    </w:r>
                  </w:p>
                </w:tc>
              </w:sdtContent>
            </w:sdt>
          </w:tr>
          <w:sdt>
            <w:sdtPr>
              <w:rPr>
                <w:rFonts w:ascii="Times New Roman" w:hAnsi="Times New Roman" w:cs="Times New Roman" w:eastAsiaTheme="minorEastAsia"/>
                <w:kern w:val="2"/>
                <w:szCs w:val="21"/>
              </w:rPr>
              <w:alias w:val="股东大会情况"/>
              <w:tag w:val="_TUP_f464ecce01e34e8aacd508c84a88313d"/>
              <w:id w:val="865722623"/>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65" w:type="pct"/>
                    <w:vAlign w:val="center"/>
                  </w:tcPr>
                  <w:p>
                    <w:pPr>
                      <w:widowControl w:val="0"/>
                      <w:jc w:val="both"/>
                      <w:rPr>
                        <w:rFonts w:ascii="Times New Roman" w:hAnsi="Times New Roman" w:cs="Times New Roman"/>
                        <w:szCs w:val="21"/>
                      </w:rPr>
                    </w:pPr>
                    <w:r>
                      <w:rPr>
                        <w:rFonts w:ascii="Times New Roman" w:hAnsi="Times New Roman" w:cs="Times New Roman" w:eastAsiaTheme="minorEastAsia"/>
                        <w:kern w:val="2"/>
                        <w:szCs w:val="21"/>
                      </w:rPr>
                      <w:t>2020</w:t>
                    </w:r>
                    <w:r>
                      <w:rPr>
                        <w:rFonts w:ascii="Times New Roman" w:cs="Times New Roman" w:hAnsiTheme="minorHAnsi" w:eastAsiaTheme="minorEastAsia"/>
                        <w:kern w:val="2"/>
                        <w:szCs w:val="21"/>
                      </w:rPr>
                      <w:t>年年度股东大会</w:t>
                    </w:r>
                  </w:p>
                </w:tc>
                <w:tc>
                  <w:tcPr>
                    <w:tcW w:w="627" w:type="pct"/>
                    <w:vAlign w:val="center"/>
                  </w:tcPr>
                  <w:p>
                    <w:pPr>
                      <w:widowControl w:val="0"/>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6</w:t>
                    </w:r>
                    <w:r>
                      <w:rPr>
                        <w:rFonts w:ascii="Times New Roman" w:cs="Times New Roman"/>
                        <w:szCs w:val="21"/>
                      </w:rPr>
                      <w:t>月</w:t>
                    </w:r>
                    <w:r>
                      <w:rPr>
                        <w:rFonts w:ascii="Times New Roman" w:hAnsi="Times New Roman" w:cs="Times New Roman"/>
                        <w:szCs w:val="21"/>
                      </w:rPr>
                      <w:t>29</w:t>
                    </w:r>
                    <w:r>
                      <w:rPr>
                        <w:rFonts w:ascii="Times New Roman" w:cs="Times New Roman"/>
                        <w:szCs w:val="21"/>
                      </w:rPr>
                      <w:t>日</w:t>
                    </w:r>
                  </w:p>
                </w:tc>
                <w:tc>
                  <w:tcPr>
                    <w:tcW w:w="940" w:type="pct"/>
                    <w:vAlign w:val="center"/>
                  </w:tcPr>
                  <w:p>
                    <w:pPr>
                      <w:widowControl w:val="0"/>
                      <w:jc w:val="both"/>
                      <w:rPr>
                        <w:rFonts w:ascii="Times New Roman" w:hAnsi="Times New Roman" w:cs="Times New Roman"/>
                        <w:szCs w:val="21"/>
                      </w:rPr>
                    </w:pPr>
                    <w:r>
                      <w:rPr>
                        <w:rFonts w:ascii="Times New Roman" w:hAnsi="Times New Roman" w:cs="Times New Roman"/>
                        <w:szCs w:val="21"/>
                      </w:rPr>
                      <w:t>www.sse.com.cn</w:t>
                    </w:r>
                  </w:p>
                </w:tc>
                <w:tc>
                  <w:tcPr>
                    <w:tcW w:w="782" w:type="pct"/>
                    <w:vAlign w:val="center"/>
                  </w:tcPr>
                  <w:p>
                    <w:pPr>
                      <w:widowControl w:val="0"/>
                      <w:jc w:val="center"/>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6</w:t>
                    </w:r>
                    <w:r>
                      <w:rPr>
                        <w:rFonts w:ascii="Times New Roman" w:cs="Times New Roman"/>
                        <w:szCs w:val="21"/>
                      </w:rPr>
                      <w:t>月</w:t>
                    </w:r>
                    <w:r>
                      <w:rPr>
                        <w:rFonts w:ascii="Times New Roman" w:hAnsi="Times New Roman" w:cs="Times New Roman"/>
                        <w:szCs w:val="21"/>
                      </w:rPr>
                      <w:t>30</w:t>
                    </w:r>
                    <w:r>
                      <w:rPr>
                        <w:rFonts w:ascii="Times New Roman" w:cs="Times New Roman"/>
                        <w:szCs w:val="21"/>
                      </w:rPr>
                      <w:t>日</w:t>
                    </w:r>
                  </w:p>
                </w:tc>
                <w:tc>
                  <w:tcPr>
                    <w:tcW w:w="1885" w:type="pct"/>
                    <w:vAlign w:val="center"/>
                  </w:tcPr>
                  <w:p>
                    <w:pPr>
                      <w:widowControl w:val="0"/>
                      <w:jc w:val="both"/>
                      <w:rPr>
                        <w:rFonts w:ascii="Times New Roman" w:hAnsi="Times New Roman" w:cs="Times New Roman"/>
                        <w:szCs w:val="21"/>
                      </w:rPr>
                    </w:pPr>
                    <w:r>
                      <w:rPr>
                        <w:rFonts w:ascii="Times New Roman" w:cs="Times New Roman"/>
                        <w:szCs w:val="21"/>
                      </w:rPr>
                      <w:t>审议通过以下议案：</w:t>
                    </w:r>
                  </w:p>
                  <w:p>
                    <w:pPr>
                      <w:widowControl w:val="0"/>
                      <w:jc w:val="both"/>
                      <w:rPr>
                        <w:rFonts w:ascii="Times New Roman" w:hAnsi="Times New Roman" w:cs="Times New Roman"/>
                        <w:szCs w:val="21"/>
                      </w:rPr>
                    </w:pPr>
                    <w:r>
                      <w:rPr>
                        <w:rFonts w:ascii="Times New Roman" w:hAnsi="Times New Roman" w:cs="Times New Roman"/>
                        <w:szCs w:val="21"/>
                      </w:rPr>
                      <w:t>1、《2020年度董事会工作报告》</w:t>
                    </w:r>
                  </w:p>
                  <w:p>
                    <w:pPr>
                      <w:widowControl w:val="0"/>
                      <w:jc w:val="both"/>
                      <w:rPr>
                        <w:rFonts w:ascii="Times New Roman" w:hAnsi="Times New Roman" w:cs="Times New Roman"/>
                        <w:szCs w:val="21"/>
                      </w:rPr>
                    </w:pPr>
                    <w:r>
                      <w:rPr>
                        <w:rFonts w:ascii="Times New Roman" w:hAnsi="Times New Roman" w:cs="Times New Roman"/>
                        <w:szCs w:val="21"/>
                      </w:rPr>
                      <w:t>2、《2020年度监事会工作报告》</w:t>
                    </w:r>
                  </w:p>
                  <w:p>
                    <w:pPr>
                      <w:widowControl w:val="0"/>
                      <w:jc w:val="both"/>
                      <w:rPr>
                        <w:rFonts w:ascii="Times New Roman" w:hAnsi="Times New Roman" w:cs="Times New Roman"/>
                        <w:szCs w:val="21"/>
                      </w:rPr>
                    </w:pPr>
                    <w:r>
                      <w:rPr>
                        <w:rFonts w:ascii="Times New Roman" w:hAnsi="Times New Roman" w:cs="Times New Roman"/>
                        <w:szCs w:val="21"/>
                      </w:rPr>
                      <w:t>3、《2020年度财务决算报告》</w:t>
                    </w:r>
                  </w:p>
                  <w:p>
                    <w:pPr>
                      <w:widowControl w:val="0"/>
                      <w:jc w:val="both"/>
                      <w:rPr>
                        <w:rFonts w:ascii="Times New Roman" w:hAnsi="Times New Roman" w:cs="Times New Roman"/>
                        <w:szCs w:val="21"/>
                      </w:rPr>
                    </w:pPr>
                    <w:r>
                      <w:rPr>
                        <w:rFonts w:ascii="Times New Roman" w:hAnsi="Times New Roman" w:cs="Times New Roman"/>
                        <w:szCs w:val="21"/>
                      </w:rPr>
                      <w:t>4、《2020年年度报告（全文及摘要）》</w:t>
                    </w:r>
                  </w:p>
                  <w:p>
                    <w:pPr>
                      <w:widowControl w:val="0"/>
                      <w:jc w:val="left"/>
                      <w:rPr>
                        <w:rFonts w:ascii="Times New Roman" w:hAnsi="Times New Roman" w:cs="Times New Roman"/>
                        <w:szCs w:val="21"/>
                      </w:rPr>
                    </w:pPr>
                    <w:r>
                      <w:rPr>
                        <w:rFonts w:ascii="Times New Roman" w:hAnsi="Times New Roman" w:cs="Times New Roman"/>
                        <w:szCs w:val="21"/>
                      </w:rPr>
                      <w:t>5、《2020年度利润分配预案》</w:t>
                    </w:r>
                  </w:p>
                  <w:p>
                    <w:pPr>
                      <w:widowControl w:val="0"/>
                      <w:jc w:val="both"/>
                      <w:rPr>
                        <w:rFonts w:ascii="Times New Roman" w:hAnsi="Times New Roman" w:cs="Times New Roman"/>
                        <w:szCs w:val="21"/>
                      </w:rPr>
                    </w:pPr>
                    <w:r>
                      <w:rPr>
                        <w:rFonts w:ascii="Times New Roman" w:hAnsi="Times New Roman" w:cs="Times New Roman"/>
                        <w:szCs w:val="21"/>
                      </w:rPr>
                      <w:t>6、《关于授权管理层贷款的议案》</w:t>
                    </w:r>
                  </w:p>
                  <w:p>
                    <w:pPr>
                      <w:widowControl w:val="0"/>
                      <w:jc w:val="both"/>
                      <w:rPr>
                        <w:rFonts w:ascii="Times New Roman" w:hAnsi="Times New Roman" w:cs="Times New Roman"/>
                        <w:szCs w:val="21"/>
                      </w:rPr>
                    </w:pPr>
                    <w:r>
                      <w:rPr>
                        <w:rFonts w:ascii="Times New Roman" w:hAnsi="Times New Roman" w:cs="Times New Roman"/>
                        <w:szCs w:val="21"/>
                      </w:rPr>
                      <w:t>7、《关于修订公司章程的议案》</w:t>
                    </w:r>
                  </w:p>
                </w:tc>
              </w:tr>
            </w:sdtContent>
          </w:sdt>
          <w:sdt>
            <w:sdtPr>
              <w:rPr>
                <w:rFonts w:ascii="Times New Roman" w:hAnsi="Times New Roman" w:cs="Times New Roman" w:eastAsiaTheme="minorEastAsia"/>
                <w:kern w:val="2"/>
                <w:szCs w:val="21"/>
              </w:rPr>
              <w:alias w:val="股东大会情况"/>
              <w:tag w:val="_TUP_f464ecce01e34e8aacd508c84a88313d"/>
              <w:id w:val="86572262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65" w:type="pct"/>
                    <w:vAlign w:val="center"/>
                  </w:tcPr>
                  <w:p>
                    <w:pPr>
                      <w:widowControl w:val="0"/>
                      <w:jc w:val="both"/>
                      <w:rPr>
                        <w:rFonts w:ascii="Times New Roman" w:hAnsi="Times New Roman" w:cs="Times New Roman"/>
                        <w:szCs w:val="21"/>
                      </w:rPr>
                    </w:pPr>
                    <w:r>
                      <w:rPr>
                        <w:rFonts w:ascii="Times New Roman" w:hAnsi="Times New Roman" w:cs="Times New Roman" w:eastAsiaTheme="minorEastAsia"/>
                        <w:kern w:val="2"/>
                        <w:szCs w:val="21"/>
                      </w:rPr>
                      <w:t>2021</w:t>
                    </w:r>
                    <w:r>
                      <w:rPr>
                        <w:rFonts w:ascii="Times New Roman" w:cs="Times New Roman" w:hAnsiTheme="minorHAnsi" w:eastAsiaTheme="minorEastAsia"/>
                        <w:kern w:val="2"/>
                        <w:szCs w:val="21"/>
                      </w:rPr>
                      <w:t>年第一次临时股东大会</w:t>
                    </w:r>
                  </w:p>
                </w:tc>
                <w:tc>
                  <w:tcPr>
                    <w:tcW w:w="627" w:type="pct"/>
                    <w:vAlign w:val="center"/>
                  </w:tcPr>
                  <w:p>
                    <w:pPr>
                      <w:widowControl w:val="0"/>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7</w:t>
                    </w:r>
                    <w:r>
                      <w:rPr>
                        <w:rFonts w:ascii="Times New Roman" w:cs="Times New Roman"/>
                        <w:szCs w:val="21"/>
                      </w:rPr>
                      <w:t>月</w:t>
                    </w:r>
                    <w:r>
                      <w:rPr>
                        <w:rFonts w:ascii="Times New Roman" w:hAnsi="Times New Roman" w:cs="Times New Roman"/>
                        <w:szCs w:val="21"/>
                      </w:rPr>
                      <w:t>16</w:t>
                    </w:r>
                    <w:r>
                      <w:rPr>
                        <w:rFonts w:ascii="Times New Roman" w:cs="Times New Roman"/>
                        <w:szCs w:val="21"/>
                      </w:rPr>
                      <w:t>日</w:t>
                    </w:r>
                  </w:p>
                </w:tc>
                <w:tc>
                  <w:tcPr>
                    <w:tcW w:w="940" w:type="pct"/>
                    <w:vAlign w:val="center"/>
                  </w:tcPr>
                  <w:p>
                    <w:pPr>
                      <w:widowControl w:val="0"/>
                      <w:jc w:val="both"/>
                      <w:rPr>
                        <w:rFonts w:ascii="Times New Roman" w:hAnsi="Times New Roman" w:cs="Times New Roman"/>
                        <w:szCs w:val="21"/>
                      </w:rPr>
                    </w:pPr>
                    <w:r>
                      <w:rPr>
                        <w:rFonts w:ascii="Times New Roman" w:hAnsi="Times New Roman" w:cs="Times New Roman"/>
                        <w:szCs w:val="21"/>
                      </w:rPr>
                      <w:t>www.sse.com.cn</w:t>
                    </w:r>
                  </w:p>
                </w:tc>
                <w:tc>
                  <w:tcPr>
                    <w:tcW w:w="782" w:type="pct"/>
                    <w:vAlign w:val="center"/>
                  </w:tcPr>
                  <w:p>
                    <w:pPr>
                      <w:widowControl w:val="0"/>
                      <w:jc w:val="center"/>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7</w:t>
                    </w:r>
                    <w:r>
                      <w:rPr>
                        <w:rFonts w:ascii="Times New Roman" w:cs="Times New Roman"/>
                        <w:szCs w:val="21"/>
                      </w:rPr>
                      <w:t>月</w:t>
                    </w:r>
                    <w:r>
                      <w:rPr>
                        <w:rFonts w:ascii="Times New Roman" w:hAnsi="Times New Roman" w:cs="Times New Roman"/>
                        <w:szCs w:val="21"/>
                      </w:rPr>
                      <w:t>17</w:t>
                    </w:r>
                    <w:r>
                      <w:rPr>
                        <w:rFonts w:ascii="Times New Roman" w:cs="Times New Roman"/>
                        <w:szCs w:val="21"/>
                      </w:rPr>
                      <w:t>日</w:t>
                    </w:r>
                  </w:p>
                </w:tc>
                <w:tc>
                  <w:tcPr>
                    <w:tcW w:w="1885" w:type="pct"/>
                    <w:vAlign w:val="center"/>
                  </w:tcPr>
                  <w:p>
                    <w:pPr>
                      <w:widowControl w:val="0"/>
                      <w:jc w:val="both"/>
                      <w:rPr>
                        <w:rFonts w:ascii="Times New Roman" w:hAnsi="Times New Roman" w:cs="Times New Roman"/>
                        <w:szCs w:val="21"/>
                      </w:rPr>
                    </w:pPr>
                    <w:r>
                      <w:rPr>
                        <w:rFonts w:ascii="Times New Roman" w:cs="Times New Roman"/>
                        <w:szCs w:val="21"/>
                      </w:rPr>
                      <w:t>审议通过以下议案：</w:t>
                    </w:r>
                  </w:p>
                  <w:p>
                    <w:pPr>
                      <w:widowControl w:val="0"/>
                      <w:jc w:val="left"/>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、《关于聘请永拓会计师事务所（特殊普通合伙）为公司</w:t>
                    </w:r>
                    <w:r>
                      <w:rPr>
                        <w:rFonts w:ascii="Times New Roman" w:hAnsi="Times New Roman" w:cs="Times New Roman"/>
                        <w:szCs w:val="21"/>
                      </w:rPr>
                      <w:t>2021</w:t>
                    </w:r>
                    <w:r>
                      <w:rPr>
                        <w:rFonts w:ascii="Times New Roman" w:cs="Times New Roman"/>
                        <w:szCs w:val="21"/>
                      </w:rPr>
                      <w:t>年度财务报表及内部控制审计机构的议案》</w:t>
                    </w:r>
                    <w:r>
                      <w:rPr>
                        <w:rFonts w:ascii="Times New Roman" w:hAnsi="Times New Roman" w:cs="Times New Roman"/>
                        <w:szCs w:val="21"/>
                      </w:rPr>
                      <w:t xml:space="preserve">                                 2</w:t>
                    </w:r>
                    <w:r>
                      <w:rPr>
                        <w:rFonts w:ascii="Times New Roman" w:cs="Times New Roman"/>
                        <w:szCs w:val="21"/>
                      </w:rPr>
                      <w:t>、《关于选举公司第八届董事会非独立董事的议案》</w:t>
                    </w:r>
                    <w:r>
                      <w:rPr>
                        <w:rFonts w:ascii="Times New Roman" w:hAnsi="Times New Roman" w:cs="Times New Roman"/>
                        <w:szCs w:val="21"/>
                      </w:rPr>
                      <w:t xml:space="preserve">                                     3</w:t>
                    </w:r>
                    <w:r>
                      <w:rPr>
                        <w:rFonts w:ascii="Times New Roman" w:cs="Times New Roman"/>
                        <w:szCs w:val="21"/>
                      </w:rPr>
                      <w:t>、《关于选举公司第八届董事会独立董事的议案》</w:t>
                    </w:r>
                    <w:r>
                      <w:rPr>
                        <w:rFonts w:ascii="Times New Roman" w:hAnsi="Times New Roman" w:cs="Times New Roman"/>
                        <w:szCs w:val="21"/>
                      </w:rPr>
                      <w:t xml:space="preserve">                                        4</w:t>
                    </w:r>
                    <w:r>
                      <w:rPr>
                        <w:rFonts w:ascii="Times New Roman" w:cs="Times New Roman"/>
                        <w:szCs w:val="21"/>
                      </w:rPr>
                      <w:t>、《关于选举公司第八届监事会监事的议案》</w:t>
                    </w:r>
                    <w:r>
                      <w:rPr>
                        <w:rFonts w:ascii="Times New Roman" w:hAnsi="Times New Roman" w:cs="Times New Roman"/>
                        <w:szCs w:val="21"/>
                      </w:rPr>
                      <w:t xml:space="preserve">                              </w:t>
                    </w:r>
                  </w:p>
                </w:tc>
              </w:tr>
            </w:sdtContent>
          </w:sdt>
        </w:tbl>
        <w:p/>
      </w:sdtContent>
    </w:sdt>
    <w:sdt>
      <w:sdtPr>
        <w:rPr>
          <w:rFonts w:hint="eastAsia"/>
          <w:b/>
        </w:rPr>
        <w:alias w:val="模块:表决权恢复的优先股股东请求召开临时股东大会 "/>
        <w:tag w:val="_SEC_003224e3799f4defba565ac26b82f20e"/>
        <w:id w:val="865722627"/>
        <w:lock w:val="sdtLocked"/>
        <w:placeholder>
          <w:docPart w:val="GBC22222222222222222222222222222"/>
        </w:placeholder>
      </w:sdtPr>
      <w:sdtEndPr>
        <w:rPr>
          <w:rFonts w:hint="eastAsia"/>
          <w:b w:val="0"/>
          <w:color w:val="333399"/>
        </w:rPr>
      </w:sdtEndPr>
      <w:sdtContent>
        <w:p>
          <w:pPr>
            <w:rPr>
              <w:bCs/>
            </w:rPr>
          </w:pPr>
          <w:bookmarkStart w:id="45" w:name="_Hlk89178901"/>
          <w:bookmarkStart w:id="46" w:name="_Hlk41294309"/>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865722626"/>
            <w:lock w:val="sdtLocked"/>
            <w:placeholder>
              <w:docPart w:val="GBC22222222222222222222222222222"/>
            </w:placeholder>
          </w:sdtPr>
          <w:sdtContent>
            <w:p>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45"/>
    <w:bookmarkEnd w:id="46"/>
    <w:p>
      <w:pPr>
        <w:rPr>
          <w:szCs w:val="21"/>
        </w:rPr>
      </w:pPr>
    </w:p>
    <w:sdt>
      <w:sdtPr>
        <w:rPr>
          <w:szCs w:val="21"/>
        </w:rPr>
        <w:alias w:val="模块:股东大会情况说明  "/>
        <w:tag w:val="_SEC_7cd092daeff04a9f9d7112f4a233db29"/>
        <w:id w:val="865722629"/>
        <w:lock w:val="sdtLocked"/>
        <w:placeholder>
          <w:docPart w:val="GBC22222222222222222222222222222"/>
        </w:placeholder>
      </w:sdtPr>
      <w:sdtEndPr>
        <w:rPr>
          <w:szCs w:val="21"/>
        </w:rPr>
      </w:sdtEndPr>
      <w:sdtContent>
        <w:p>
          <w:pPr>
            <w:rPr>
              <w:szCs w:val="21"/>
            </w:rPr>
          </w:pPr>
          <w:r>
            <w:rPr>
              <w:szCs w:val="21"/>
            </w:rPr>
            <w:t>股东大会情况说明</w:t>
          </w:r>
        </w:p>
        <w:sdt>
          <w:sdtPr>
            <w:rPr>
              <w:szCs w:val="21"/>
            </w:rPr>
            <w:alias w:val="是否适用：股东大会情况说明[双击切换]"/>
            <w:tag w:val="_GBC_417d33555ab14709b5640c8830ff5a67"/>
            <w:id w:val="86572262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rPr>
          <w:szCs w:val="21"/>
        </w:rPr>
        <w:sectPr>
          <w:pgSz w:w="11906" w:h="16838"/>
          <w:pgMar w:top="1525" w:right="1276" w:bottom="1440" w:left="1797" w:header="855" w:footer="992" w:gutter="0"/>
          <w:cols w:space="425" w:num="1"/>
          <w:docGrid w:linePitch="312" w:charSpace="0"/>
        </w:sectPr>
      </w:pPr>
    </w:p>
    <w:p>
      <w:pPr>
        <w:pStyle w:val="3"/>
        <w:numPr>
          <w:ilvl w:val="0"/>
          <w:numId w:val="21"/>
        </w:numPr>
        <w:ind w:left="450" w:hanging="450"/>
      </w:pPr>
      <w:r>
        <w:t>董事、监事和高级管理人员的情况</w:t>
      </w:r>
    </w:p>
    <w:p>
      <w:pPr>
        <w:pStyle w:val="4"/>
        <w:numPr>
          <w:ilvl w:val="0"/>
          <w:numId w:val="22"/>
        </w:numPr>
        <w:ind w:left="0" w:firstLine="0"/>
      </w:pPr>
      <w:r>
        <w:rPr>
          <w:rFonts w:hint="eastAsia"/>
        </w:rPr>
        <w:t xml:space="preserve"> </w:t>
      </w:r>
      <w:r>
        <w:t>现任及报告期内离任董事</w:t>
      </w:r>
      <w:r>
        <w:rPr>
          <w:rFonts w:hint="eastAsia"/>
        </w:rPr>
        <w:t>、监事和</w:t>
      </w:r>
      <w:r>
        <w:t>高级管理人员持股变动及报酬情况</w:t>
      </w:r>
    </w:p>
    <w:sdt>
      <w:sdtPr>
        <w:rPr>
          <w:b/>
          <w:bCs/>
          <w:sz w:val="24"/>
          <w:szCs w:val="21"/>
        </w:rPr>
        <w:alias w:val="模块:现任及报告期内离任董事、监事和高级管理人员持股变动及报酬情况"/>
        <w:tag w:val="_SEC_4509c61a676b4e7992f75f7d5016736a"/>
        <w:id w:val="865722664"/>
        <w:lock w:val="sdtLocked"/>
        <w:placeholder>
          <w:docPart w:val="GBC22222222222222222222222222222"/>
        </w:placeholder>
      </w:sdtPr>
      <w:sdtEndPr>
        <w:rPr>
          <w:b w:val="0"/>
          <w:bCs w:val="0"/>
          <w:sz w:val="21"/>
          <w:szCs w:val="21"/>
        </w:rPr>
      </w:sdtEndPr>
      <w:sdtContent>
        <w:sdt>
          <w:sdtPr>
            <w:alias w:val="是否适用：董事、监事和高级管理人员持股变动[双击切换]"/>
            <w:tag w:val="_GBC_336639f5f1254c87a3d81a366e432afd"/>
            <w:id w:val="865722630"/>
            <w:lock w:val="sdtLocked"/>
            <w:placeholder>
              <w:docPart w:val="GBC22222222222222222222222222222"/>
            </w:placeholder>
          </w:sdtPr>
          <w:sdtContent>
            <w:p>
              <w:bookmarkStart w:id="47" w:name="_Hlk89179934"/>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86572263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szCs w:val="21"/>
              </w:rPr>
            </w:sdtEndPr>
            <w:sdtContent>
              <w:r>
                <w:rPr>
                  <w:rFonts w:hint="eastAsia"/>
                  <w:szCs w:val="21"/>
                </w:rPr>
                <w:t>股</w:t>
              </w:r>
            </w:sdtContent>
          </w:sdt>
        </w:p>
        <w:tbl>
          <w:tblPr>
            <w:tblStyle w:val="38"/>
            <w:tblW w:w="14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559"/>
            <w:gridCol w:w="709"/>
            <w:gridCol w:w="700"/>
            <w:gridCol w:w="1266"/>
            <w:gridCol w:w="1266"/>
            <w:gridCol w:w="1135"/>
            <w:gridCol w:w="1122"/>
            <w:gridCol w:w="1327"/>
            <w:gridCol w:w="1138"/>
            <w:gridCol w:w="1379"/>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sdt>
              <w:sdtPr>
                <w:rPr>
                  <w:rFonts w:ascii="Times New Roman" w:hAnsi="Times New Roman" w:cs="Times New Roman"/>
                </w:rPr>
                <w:tag w:val="_PLD_3e935958e5b542f38f53ca8a2618690d"/>
                <w:id w:val="865722632"/>
                <w:lock w:val="sdtLocked"/>
              </w:sdtPr>
              <w:sdtEndPr>
                <w:rPr>
                  <w:rFonts w:ascii="Times New Roman" w:hAnsi="Times New Roman" w:cs="Times New Roman"/>
                </w:rPr>
              </w:sdtEndPr>
              <w:sdtContent>
                <w:tc>
                  <w:tcPr>
                    <w:tcW w:w="1101" w:type="dxa"/>
                    <w:vAlign w:val="center"/>
                  </w:tcPr>
                  <w:p>
                    <w:pPr>
                      <w:widowControl w:val="0"/>
                      <w:jc w:val="center"/>
                      <w:rPr>
                        <w:rFonts w:ascii="Times New Roman" w:hAnsi="Times New Roman" w:cs="Times New Roman"/>
                        <w:szCs w:val="21"/>
                      </w:rPr>
                    </w:pPr>
                    <w:r>
                      <w:rPr>
                        <w:rFonts w:ascii="Times New Roman" w:cs="Times New Roman"/>
                        <w:szCs w:val="21"/>
                      </w:rPr>
                      <w:t>姓名</w:t>
                    </w:r>
                  </w:p>
                </w:tc>
              </w:sdtContent>
            </w:sdt>
            <w:sdt>
              <w:sdtPr>
                <w:rPr>
                  <w:rFonts w:ascii="Times New Roman" w:hAnsi="Times New Roman" w:cs="Times New Roman"/>
                </w:rPr>
                <w:tag w:val="_PLD_5ecaa59058dd4312acb6ebb4d88eb6c8"/>
                <w:id w:val="865722633"/>
                <w:lock w:val="sdtLocked"/>
              </w:sdtPr>
              <w:sdtEndPr>
                <w:rPr>
                  <w:rFonts w:ascii="Times New Roman" w:hAnsi="Times New Roman" w:cs="Times New Roman"/>
                </w:rPr>
              </w:sdtEndPr>
              <w:sdtContent>
                <w:tc>
                  <w:tcPr>
                    <w:tcW w:w="1559" w:type="dxa"/>
                    <w:vAlign w:val="center"/>
                  </w:tcPr>
                  <w:p>
                    <w:pPr>
                      <w:widowControl w:val="0"/>
                      <w:jc w:val="center"/>
                      <w:rPr>
                        <w:rFonts w:ascii="Times New Roman" w:hAnsi="Times New Roman" w:cs="Times New Roman"/>
                        <w:szCs w:val="21"/>
                      </w:rPr>
                    </w:pPr>
                    <w:r>
                      <w:rPr>
                        <w:rFonts w:ascii="Times New Roman" w:cs="Times New Roman"/>
                        <w:szCs w:val="21"/>
                      </w:rPr>
                      <w:t>职务</w:t>
                    </w:r>
                    <w:r>
                      <w:rPr>
                        <w:rFonts w:ascii="Times New Roman" w:hAnsi="Times New Roman" w:cs="Times New Roman"/>
                        <w:szCs w:val="21"/>
                      </w:rPr>
                      <w:t>(</w:t>
                    </w:r>
                    <w:r>
                      <w:rPr>
                        <w:rFonts w:ascii="Times New Roman" w:cs="Times New Roman"/>
                        <w:szCs w:val="21"/>
                      </w:rPr>
                      <w:t>注</w:t>
                    </w:r>
                    <w:r>
                      <w:rPr>
                        <w:rFonts w:ascii="Times New Roman" w:hAnsi="Times New Roman" w:cs="Times New Roman"/>
                        <w:szCs w:val="21"/>
                      </w:rPr>
                      <w:t>)</w:t>
                    </w:r>
                  </w:p>
                </w:tc>
              </w:sdtContent>
            </w:sdt>
            <w:sdt>
              <w:sdtPr>
                <w:rPr>
                  <w:rFonts w:ascii="Times New Roman" w:hAnsi="Times New Roman" w:cs="Times New Roman"/>
                </w:rPr>
                <w:tag w:val="_PLD_f907f9c5cdf94b2ba9e217c0aaaf2c60"/>
                <w:id w:val="865722634"/>
                <w:lock w:val="sdtLocked"/>
              </w:sdtPr>
              <w:sdtEndPr>
                <w:rPr>
                  <w:rFonts w:ascii="Times New Roman" w:hAnsi="Times New Roman" w:cs="Times New Roman"/>
                </w:rPr>
              </w:sdtEndPr>
              <w:sdtContent>
                <w:tc>
                  <w:tcPr>
                    <w:tcW w:w="709" w:type="dxa"/>
                    <w:vAlign w:val="center"/>
                  </w:tcPr>
                  <w:p>
                    <w:pPr>
                      <w:widowControl w:val="0"/>
                      <w:jc w:val="center"/>
                      <w:rPr>
                        <w:rFonts w:ascii="Times New Roman" w:hAnsi="Times New Roman" w:cs="Times New Roman"/>
                        <w:szCs w:val="21"/>
                      </w:rPr>
                    </w:pPr>
                    <w:r>
                      <w:rPr>
                        <w:rFonts w:ascii="Times New Roman" w:cs="Times New Roman"/>
                        <w:szCs w:val="21"/>
                      </w:rPr>
                      <w:t>性别</w:t>
                    </w:r>
                  </w:p>
                </w:tc>
              </w:sdtContent>
            </w:sdt>
            <w:sdt>
              <w:sdtPr>
                <w:rPr>
                  <w:rFonts w:ascii="Times New Roman" w:hAnsi="Times New Roman" w:cs="Times New Roman"/>
                </w:rPr>
                <w:tag w:val="_PLD_9b2689bca35f4a3ebc7adf135b295bd6"/>
                <w:id w:val="865722635"/>
                <w:lock w:val="sdtLocked"/>
              </w:sdtPr>
              <w:sdtEndPr>
                <w:rPr>
                  <w:rFonts w:ascii="Times New Roman" w:hAnsi="Times New Roman" w:cs="Times New Roman"/>
                </w:rPr>
              </w:sdtEndPr>
              <w:sdtContent>
                <w:tc>
                  <w:tcPr>
                    <w:tcW w:w="700" w:type="dxa"/>
                    <w:vAlign w:val="center"/>
                  </w:tcPr>
                  <w:p>
                    <w:pPr>
                      <w:widowControl w:val="0"/>
                      <w:jc w:val="center"/>
                      <w:rPr>
                        <w:rFonts w:ascii="Times New Roman" w:hAnsi="Times New Roman" w:cs="Times New Roman"/>
                        <w:szCs w:val="21"/>
                      </w:rPr>
                    </w:pPr>
                    <w:r>
                      <w:rPr>
                        <w:rFonts w:ascii="Times New Roman" w:cs="Times New Roman"/>
                        <w:szCs w:val="21"/>
                      </w:rPr>
                      <w:t>年龄</w:t>
                    </w:r>
                  </w:p>
                </w:tc>
              </w:sdtContent>
            </w:sdt>
            <w:sdt>
              <w:sdtPr>
                <w:rPr>
                  <w:rFonts w:ascii="Times New Roman" w:hAnsi="Times New Roman" w:cs="Times New Roman"/>
                </w:rPr>
                <w:tag w:val="_PLD_3844eb481c79444fba199a9d3c3b8bf7"/>
                <w:id w:val="865722636"/>
                <w:lock w:val="sdtLocked"/>
              </w:sdtPr>
              <w:sdtEndPr>
                <w:rPr>
                  <w:rFonts w:ascii="Times New Roman" w:hAnsi="Times New Roman" w:cs="Times New Roman"/>
                </w:rPr>
              </w:sdtEndPr>
              <w:sdtContent>
                <w:tc>
                  <w:tcPr>
                    <w:tcW w:w="1266" w:type="dxa"/>
                    <w:vAlign w:val="center"/>
                  </w:tcPr>
                  <w:p>
                    <w:pPr>
                      <w:widowControl w:val="0"/>
                      <w:jc w:val="center"/>
                      <w:rPr>
                        <w:rFonts w:ascii="Times New Roman" w:hAnsi="Times New Roman" w:cs="Times New Roman"/>
                        <w:szCs w:val="21"/>
                      </w:rPr>
                    </w:pPr>
                    <w:r>
                      <w:rPr>
                        <w:rFonts w:ascii="Times New Roman" w:cs="Times New Roman"/>
                        <w:szCs w:val="21"/>
                      </w:rPr>
                      <w:t>任期起始日期</w:t>
                    </w:r>
                  </w:p>
                </w:tc>
              </w:sdtContent>
            </w:sdt>
            <w:sdt>
              <w:sdtPr>
                <w:rPr>
                  <w:rFonts w:ascii="Times New Roman" w:hAnsi="Times New Roman" w:cs="Times New Roman"/>
                </w:rPr>
                <w:tag w:val="_PLD_94806df607544b4b97b389da94daaf66"/>
                <w:id w:val="865722637"/>
                <w:lock w:val="sdtLocked"/>
              </w:sdtPr>
              <w:sdtEndPr>
                <w:rPr>
                  <w:rFonts w:ascii="Times New Roman" w:hAnsi="Times New Roman" w:cs="Times New Roman"/>
                </w:rPr>
              </w:sdtEndPr>
              <w:sdtContent>
                <w:tc>
                  <w:tcPr>
                    <w:tcW w:w="1266" w:type="dxa"/>
                    <w:vAlign w:val="center"/>
                  </w:tcPr>
                  <w:p>
                    <w:pPr>
                      <w:widowControl w:val="0"/>
                      <w:jc w:val="center"/>
                      <w:rPr>
                        <w:rFonts w:ascii="Times New Roman" w:hAnsi="Times New Roman" w:cs="Times New Roman"/>
                        <w:szCs w:val="21"/>
                      </w:rPr>
                    </w:pPr>
                    <w:r>
                      <w:rPr>
                        <w:rFonts w:ascii="Times New Roman" w:cs="Times New Roman"/>
                        <w:szCs w:val="21"/>
                      </w:rPr>
                      <w:t>任期终止日期</w:t>
                    </w:r>
                  </w:p>
                </w:tc>
              </w:sdtContent>
            </w:sdt>
            <w:sdt>
              <w:sdtPr>
                <w:rPr>
                  <w:rFonts w:ascii="Times New Roman" w:hAnsi="Times New Roman" w:cs="Times New Roman"/>
                </w:rPr>
                <w:tag w:val="_PLD_5e35d588fd7f4cb3af49fcbd9e313ac2"/>
                <w:id w:val="865722638"/>
                <w:lock w:val="sdtLocked"/>
              </w:sdtPr>
              <w:sdtEndPr>
                <w:rPr>
                  <w:rFonts w:ascii="Times New Roman" w:hAnsi="Times New Roman" w:cs="Times New Roman"/>
                </w:rPr>
              </w:sdtEndPr>
              <w:sdtContent>
                <w:tc>
                  <w:tcPr>
                    <w:tcW w:w="1135" w:type="dxa"/>
                    <w:vAlign w:val="center"/>
                  </w:tcPr>
                  <w:p>
                    <w:pPr>
                      <w:widowControl w:val="0"/>
                      <w:jc w:val="center"/>
                      <w:rPr>
                        <w:rFonts w:ascii="Times New Roman" w:hAnsi="Times New Roman" w:cs="Times New Roman"/>
                        <w:szCs w:val="21"/>
                      </w:rPr>
                    </w:pPr>
                    <w:r>
                      <w:rPr>
                        <w:rFonts w:ascii="Times New Roman" w:cs="Times New Roman"/>
                        <w:szCs w:val="21"/>
                      </w:rPr>
                      <w:t>年初持股数</w:t>
                    </w:r>
                  </w:p>
                </w:tc>
              </w:sdtContent>
            </w:sdt>
            <w:sdt>
              <w:sdtPr>
                <w:rPr>
                  <w:rFonts w:ascii="Times New Roman" w:hAnsi="Times New Roman" w:cs="Times New Roman"/>
                </w:rPr>
                <w:tag w:val="_PLD_af0cabd7e3f44b95b26464bc652333c2"/>
                <w:id w:val="865722639"/>
                <w:lock w:val="sdtLocked"/>
              </w:sdtPr>
              <w:sdtEndPr>
                <w:rPr>
                  <w:rFonts w:ascii="Times New Roman" w:hAnsi="Times New Roman" w:cs="Times New Roman"/>
                </w:rPr>
              </w:sdtEndPr>
              <w:sdtContent>
                <w:tc>
                  <w:tcPr>
                    <w:tcW w:w="1122" w:type="dxa"/>
                    <w:vAlign w:val="center"/>
                  </w:tcPr>
                  <w:p>
                    <w:pPr>
                      <w:widowControl w:val="0"/>
                      <w:jc w:val="center"/>
                      <w:rPr>
                        <w:rFonts w:ascii="Times New Roman" w:hAnsi="Times New Roman" w:cs="Times New Roman"/>
                        <w:szCs w:val="21"/>
                      </w:rPr>
                    </w:pPr>
                    <w:r>
                      <w:rPr>
                        <w:rFonts w:ascii="Times New Roman" w:cs="Times New Roman"/>
                        <w:szCs w:val="21"/>
                      </w:rPr>
                      <w:t>年末持股数</w:t>
                    </w:r>
                  </w:p>
                </w:tc>
              </w:sdtContent>
            </w:sdt>
            <w:sdt>
              <w:sdtPr>
                <w:rPr>
                  <w:rFonts w:ascii="Times New Roman" w:hAnsi="Times New Roman" w:cs="Times New Roman"/>
                </w:rPr>
                <w:tag w:val="_PLD_0b9453da77b34ba68718efe69463399a"/>
                <w:id w:val="865722640"/>
                <w:lock w:val="sdtLocked"/>
              </w:sdtPr>
              <w:sdtEndPr>
                <w:rPr>
                  <w:rFonts w:ascii="Times New Roman" w:hAnsi="Times New Roman" w:cs="Times New Roman"/>
                </w:rPr>
              </w:sdtEndPr>
              <w:sdtContent>
                <w:tc>
                  <w:tcPr>
                    <w:tcW w:w="1327" w:type="dxa"/>
                    <w:vAlign w:val="center"/>
                  </w:tcPr>
                  <w:p>
                    <w:pPr>
                      <w:widowControl w:val="0"/>
                      <w:jc w:val="center"/>
                      <w:rPr>
                        <w:rFonts w:ascii="Times New Roman" w:hAnsi="Times New Roman" w:cs="Times New Roman"/>
                        <w:szCs w:val="21"/>
                      </w:rPr>
                    </w:pPr>
                    <w:r>
                      <w:rPr>
                        <w:rFonts w:ascii="Times New Roman" w:cs="Times New Roman"/>
                        <w:szCs w:val="21"/>
                      </w:rPr>
                      <w:t>年度内股份增减变动量</w:t>
                    </w:r>
                  </w:p>
                </w:tc>
              </w:sdtContent>
            </w:sdt>
            <w:sdt>
              <w:sdtPr>
                <w:rPr>
                  <w:rFonts w:ascii="Times New Roman" w:hAnsi="Times New Roman" w:cs="Times New Roman"/>
                </w:rPr>
                <w:tag w:val="_PLD_32c045d1529e42b7999b1f0c6b6e43a6"/>
                <w:id w:val="865722641"/>
                <w:lock w:val="sdtLocked"/>
              </w:sdtPr>
              <w:sdtEndPr>
                <w:rPr>
                  <w:rFonts w:ascii="Times New Roman" w:hAnsi="Times New Roman" w:cs="Times New Roman"/>
                </w:rPr>
              </w:sdtEndPr>
              <w:sdtContent>
                <w:tc>
                  <w:tcPr>
                    <w:tcW w:w="1138" w:type="dxa"/>
                    <w:vAlign w:val="center"/>
                  </w:tcPr>
                  <w:p>
                    <w:pPr>
                      <w:widowControl w:val="0"/>
                      <w:jc w:val="center"/>
                      <w:rPr>
                        <w:rFonts w:ascii="Times New Roman" w:hAnsi="Times New Roman" w:cs="Times New Roman"/>
                        <w:szCs w:val="21"/>
                      </w:rPr>
                    </w:pPr>
                    <w:r>
                      <w:rPr>
                        <w:rFonts w:ascii="Times New Roman" w:cs="Times New Roman"/>
                        <w:szCs w:val="21"/>
                      </w:rPr>
                      <w:t>增减变动原因</w:t>
                    </w:r>
                  </w:p>
                </w:tc>
              </w:sdtContent>
            </w:sdt>
            <w:sdt>
              <w:sdtPr>
                <w:rPr>
                  <w:rFonts w:ascii="Times New Roman" w:hAnsi="Times New Roman" w:cs="Times New Roman"/>
                </w:rPr>
                <w:tag w:val="_PLD_09536647069c4489b48834060518f161"/>
                <w:id w:val="865722643"/>
                <w:lock w:val="sdtLocked"/>
              </w:sdtPr>
              <w:sdtEndPr>
                <w:rPr>
                  <w:rFonts w:ascii="Times New Roman" w:hAnsi="Times New Roman" w:cs="Times New Roman"/>
                </w:rPr>
              </w:sdtEndPr>
              <w:sdtContent>
                <w:tc>
                  <w:tcPr>
                    <w:tcW w:w="1379" w:type="dxa"/>
                  </w:tcPr>
                  <w:p>
                    <w:pPr>
                      <w:widowControl w:val="0"/>
                      <w:jc w:val="center"/>
                      <w:rPr>
                        <w:rFonts w:ascii="Times New Roman" w:hAnsi="Times New Roman" w:cs="Times New Roman"/>
                        <w:szCs w:val="21"/>
                      </w:rPr>
                    </w:pPr>
                    <w:r>
                      <w:rPr>
                        <w:rFonts w:ascii="Times New Roman" w:cs="Times New Roman"/>
                        <w:szCs w:val="21"/>
                      </w:rPr>
                      <w:t>报告期内从公司获得的税前报酬总额（</w:t>
                    </w:r>
                    <w:sdt>
                      <w:sdtPr>
                        <w:rPr>
                          <w:rFonts w:ascii="Times New Roman" w:hAnsi="Times New Roman" w:cs="Times New Roman"/>
                          <w:szCs w:val="21"/>
                        </w:rPr>
                        <w:alias w:val="单位：报告期内从公司获得的税前报酬总额"/>
                        <w:tag w:val="_GBC_c9d92b58218143f3affe68ae40871394"/>
                        <w:id w:val="865722642"/>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ascii="Times New Roman" w:hAnsi="Times New Roman" w:cs="Times New Roman"/>
                          <w:szCs w:val="21"/>
                        </w:rPr>
                      </w:sdtEndPr>
                      <w:sdtContent>
                        <w:r>
                          <w:rPr>
                            <w:rFonts w:ascii="Times New Roman" w:cs="Times New Roman"/>
                            <w:szCs w:val="21"/>
                          </w:rPr>
                          <w:t>万元</w:t>
                        </w:r>
                      </w:sdtContent>
                    </w:sdt>
                    <w:r>
                      <w:rPr>
                        <w:rFonts w:ascii="Times New Roman" w:cs="Times New Roman"/>
                        <w:szCs w:val="21"/>
                      </w:rPr>
                      <w:t>）</w:t>
                    </w:r>
                  </w:p>
                </w:tc>
              </w:sdtContent>
            </w:sdt>
            <w:sdt>
              <w:sdtPr>
                <w:rPr>
                  <w:rFonts w:ascii="Times New Roman" w:hAnsi="Times New Roman" w:cs="Times New Roman"/>
                </w:rPr>
                <w:tag w:val="_PLD_67216ec8c81445dcb8db4f1a03416887"/>
                <w:id w:val="865722644"/>
                <w:lock w:val="sdtLocked"/>
              </w:sdtPr>
              <w:sdtEndPr>
                <w:rPr>
                  <w:rFonts w:ascii="Times New Roman" w:hAnsi="Times New Roman" w:cs="Times New Roman"/>
                </w:rPr>
              </w:sdtEndPr>
              <w:sdtContent>
                <w:tc>
                  <w:tcPr>
                    <w:tcW w:w="1394" w:type="dxa"/>
                  </w:tcPr>
                  <w:p>
                    <w:pPr>
                      <w:widowControl w:val="0"/>
                      <w:jc w:val="center"/>
                      <w:rPr>
                        <w:rFonts w:ascii="Times New Roman" w:hAnsi="Times New Roman" w:cs="Times New Roman"/>
                        <w:szCs w:val="21"/>
                      </w:rPr>
                    </w:pPr>
                    <w:r>
                      <w:rPr>
                        <w:rFonts w:ascii="Times New Roman" w:cs="Times New Roman"/>
                        <w:szCs w:val="21"/>
                      </w:rPr>
                      <w:t>是否在公司关联方获取报酬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林钻煌</w:t>
                </w:r>
              </w:p>
            </w:tc>
            <w:tc>
              <w:tcPr>
                <w:tcW w:w="1559" w:type="dxa"/>
                <w:vAlign w:val="center"/>
              </w:tcPr>
              <w:p>
                <w:pPr>
                  <w:widowControl w:val="0"/>
                  <w:jc w:val="center"/>
                  <w:rPr>
                    <w:rFonts w:ascii="Times New Roman" w:hAnsi="Times New Roman" w:cs="Times New Roman"/>
                    <w:szCs w:val="21"/>
                  </w:rPr>
                </w:pPr>
                <w:r>
                  <w:rPr>
                    <w:rStyle w:val="70"/>
                    <w:rFonts w:ascii="Times New Roman" w:cs="Times New Roman"/>
                  </w:rPr>
                  <w:t>董事长</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56</w:t>
                </w:r>
              </w:p>
            </w:tc>
            <w:tc>
              <w:tcPr>
                <w:tcW w:w="1266" w:type="dxa"/>
              </w:tcPr>
              <w:p>
                <w:pPr>
                  <w:widowControl w:val="0"/>
                  <w:jc w:val="center"/>
                  <w:rPr>
                    <w:rFonts w:ascii="Times New Roman" w:hAnsi="Times New Roman" w:cs="Times New Roman"/>
                    <w:szCs w:val="21"/>
                  </w:rPr>
                </w:pPr>
                <w:r>
                  <w:rPr>
                    <w:rFonts w:ascii="Times New Roman" w:hAnsi="Times New Roman" w:cs="Times New Roman"/>
                  </w:rPr>
                  <w:t>2021-07-16</w:t>
                </w:r>
              </w:p>
            </w:tc>
            <w:tc>
              <w:tcPr>
                <w:tcW w:w="1266" w:type="dxa"/>
              </w:tcPr>
              <w:p>
                <w:pPr>
                  <w:widowControl w:val="0"/>
                  <w:jc w:val="center"/>
                  <w:rPr>
                    <w:rFonts w:ascii="Times New Roman" w:hAnsi="Times New Roman" w:cs="Times New Roman"/>
                    <w:szCs w:val="21"/>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36,680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36,680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 w:val="24"/>
                  </w:rPr>
                </w:pPr>
                <w:r>
                  <w:rPr>
                    <w:rFonts w:ascii="Times New Roman" w:hAnsi="Times New Roman" w:cs="Times New Roman"/>
                  </w:rPr>
                  <w:t>39.24</w:t>
                </w:r>
              </w:p>
            </w:tc>
            <w:sdt>
              <w:sdtPr>
                <w:rPr>
                  <w:rFonts w:ascii="Times New Roman" w:hAnsi="Times New Roman" w:cs="Times New Roman"/>
                  <w:szCs w:val="21"/>
                </w:rPr>
                <w:alias w:val="董事、监事、高级管理人员是否在公司关联方获取报酬"/>
                <w:tag w:val="_GBC_1fc30a06011d4603820ff653031666f0"/>
                <w:id w:val="865722645"/>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吴</w:t>
                </w:r>
                <w:r>
                  <w:rPr>
                    <w:rFonts w:hint="eastAsia" w:ascii="Times New Roman" w:cs="Times New Roman"/>
                    <w:lang w:val="en-US" w:eastAsia="zh-CN"/>
                  </w:rPr>
                  <w:t xml:space="preserve"> </w:t>
                </w:r>
                <w:r>
                  <w:rPr>
                    <w:rFonts w:ascii="Times New Roman" w:hAnsi="Times New Roman" w:cs="Times New Roman"/>
                  </w:rPr>
                  <w:t> </w:t>
                </w:r>
                <w:r>
                  <w:rPr>
                    <w:rFonts w:ascii="Times New Roman" w:cs="Times New Roman"/>
                  </w:rPr>
                  <w:t>堃</w:t>
                </w:r>
              </w:p>
            </w:tc>
            <w:tc>
              <w:tcPr>
                <w:tcW w:w="1559" w:type="dxa"/>
                <w:vAlign w:val="center"/>
              </w:tcPr>
              <w:p>
                <w:pPr>
                  <w:widowControl w:val="0"/>
                  <w:jc w:val="center"/>
                  <w:rPr>
                    <w:rFonts w:ascii="Times New Roman" w:hAnsi="Times New Roman" w:cs="Times New Roman"/>
                    <w:szCs w:val="21"/>
                  </w:rPr>
                </w:pPr>
                <w:r>
                  <w:rPr>
                    <w:rFonts w:ascii="Times New Roman" w:cs="Times New Roman"/>
                  </w:rPr>
                  <w:t>董事、总裁</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57</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36,587</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36,587</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 w:val="24"/>
                  </w:rPr>
                </w:pPr>
                <w:r>
                  <w:rPr>
                    <w:rFonts w:ascii="Times New Roman" w:hAnsi="Times New Roman" w:cs="Times New Roman"/>
                  </w:rPr>
                  <w:t>38.81</w:t>
                </w:r>
              </w:p>
            </w:tc>
            <w:sdt>
              <w:sdtPr>
                <w:rPr>
                  <w:rFonts w:ascii="Times New Roman" w:hAnsi="Times New Roman" w:cs="Times New Roman"/>
                  <w:szCs w:val="21"/>
                </w:rPr>
                <w:alias w:val="董事、监事、高级管理人员是否在公司关联方获取报酬"/>
                <w:tag w:val="_GBC_1fc30a06011d4603820ff653031666f0"/>
                <w:id w:val="865722646"/>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王为民</w:t>
                </w:r>
              </w:p>
            </w:tc>
            <w:tc>
              <w:tcPr>
                <w:tcW w:w="1559" w:type="dxa"/>
                <w:vAlign w:val="center"/>
              </w:tcPr>
              <w:p>
                <w:pPr>
                  <w:widowControl w:val="0"/>
                  <w:jc w:val="center"/>
                  <w:rPr>
                    <w:rFonts w:ascii="Times New Roman" w:hAnsi="Times New Roman" w:cs="Times New Roman"/>
                    <w:szCs w:val="21"/>
                  </w:rPr>
                </w:pPr>
                <w:r>
                  <w:rPr>
                    <w:rFonts w:ascii="Times New Roman" w:cs="Times New Roman"/>
                  </w:rPr>
                  <w:t>董事、副总裁、财务总监</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55</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32,100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35,000</w:t>
                </w:r>
              </w:p>
            </w:tc>
            <w:tc>
              <w:tcPr>
                <w:tcW w:w="1327" w:type="dxa"/>
                <w:vAlign w:val="center"/>
              </w:tcPr>
              <w:p>
                <w:pPr>
                  <w:widowControl w:val="0"/>
                  <w:jc w:val="center"/>
                  <w:rPr>
                    <w:rFonts w:ascii="Times New Roman" w:hAnsi="Times New Roman" w:cs="Times New Roman"/>
                    <w:sz w:val="24"/>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 w:val="24"/>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 w:val="24"/>
                  </w:rPr>
                </w:pPr>
                <w:r>
                  <w:rPr>
                    <w:rFonts w:ascii="Times New Roman" w:hAnsi="Times New Roman" w:cs="Times New Roman"/>
                  </w:rPr>
                  <w:t>33.03</w:t>
                </w:r>
              </w:p>
            </w:tc>
            <w:sdt>
              <w:sdtPr>
                <w:rPr>
                  <w:rFonts w:ascii="Times New Roman" w:hAnsi="Times New Roman" w:cs="Times New Roman"/>
                  <w:szCs w:val="21"/>
                </w:rPr>
                <w:alias w:val="董事、监事、高级管理人员是否在公司关联方获取报酬"/>
                <w:tag w:val="_GBC_1fc30a06011d4603820ff653031666f0"/>
                <w:id w:val="865722647"/>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莫善军</w:t>
                </w:r>
              </w:p>
            </w:tc>
            <w:tc>
              <w:tcPr>
                <w:tcW w:w="1559" w:type="dxa"/>
                <w:vAlign w:val="center"/>
              </w:tcPr>
              <w:p>
                <w:pPr>
                  <w:widowControl w:val="0"/>
                  <w:jc w:val="center"/>
                  <w:rPr>
                    <w:rFonts w:ascii="Times New Roman" w:hAnsi="Times New Roman" w:cs="Times New Roman"/>
                    <w:szCs w:val="21"/>
                  </w:rPr>
                </w:pPr>
                <w:r>
                  <w:rPr>
                    <w:rFonts w:ascii="Times New Roman" w:cs="Times New Roman"/>
                  </w:rPr>
                  <w:t>董事、副总裁</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48</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5,000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5,000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 w:val="24"/>
                  </w:rPr>
                </w:pPr>
                <w:r>
                  <w:rPr>
                    <w:rFonts w:ascii="Times New Roman" w:hAnsi="Times New Roman" w:cs="Times New Roman"/>
                  </w:rPr>
                  <w:t>33.04</w:t>
                </w:r>
              </w:p>
            </w:tc>
            <w:sdt>
              <w:sdtPr>
                <w:rPr>
                  <w:rFonts w:ascii="Times New Roman" w:hAnsi="Times New Roman" w:cs="Times New Roman"/>
                  <w:szCs w:val="21"/>
                </w:rPr>
                <w:alias w:val="董事、监事、高级管理人员是否在公司关联方获取报酬"/>
                <w:tag w:val="_GBC_1fc30a06011d4603820ff653031666f0"/>
                <w:id w:val="865722648"/>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龚慧泉</w:t>
                </w:r>
              </w:p>
            </w:tc>
            <w:tc>
              <w:tcPr>
                <w:tcW w:w="1559" w:type="dxa"/>
                <w:vAlign w:val="center"/>
              </w:tcPr>
              <w:p>
                <w:pPr>
                  <w:widowControl w:val="0"/>
                  <w:jc w:val="center"/>
                  <w:rPr>
                    <w:rFonts w:ascii="Times New Roman" w:hAnsi="Times New Roman" w:cs="Times New Roman"/>
                    <w:szCs w:val="21"/>
                  </w:rPr>
                </w:pPr>
                <w:r>
                  <w:rPr>
                    <w:rFonts w:ascii="Times New Roman" w:cs="Times New Roman"/>
                  </w:rPr>
                  <w:t>董事</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51</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Cs w:val="21"/>
                  </w:rPr>
                </w:pPr>
                <w:r>
                  <w:rPr>
                    <w:rFonts w:ascii="Times New Roman" w:hAnsi="Times New Roman" w:cs="Times New Roman"/>
                    <w:szCs w:val="21"/>
                  </w:rPr>
                  <w:t>0</w:t>
                </w:r>
              </w:p>
            </w:tc>
            <w:sdt>
              <w:sdtPr>
                <w:rPr>
                  <w:rFonts w:ascii="Times New Roman" w:hAnsi="Times New Roman" w:cs="Times New Roman"/>
                  <w:szCs w:val="21"/>
                </w:rPr>
                <w:alias w:val="董事、监事、高级管理人员是否在公司关联方获取报酬"/>
                <w:tag w:val="_GBC_1fc30a06011d4603820ff653031666f0"/>
                <w:id w:val="865722649"/>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方</w:t>
                </w:r>
                <w:r>
                  <w:rPr>
                    <w:rFonts w:hint="eastAsia" w:ascii="Times New Roman" w:cs="Times New Roman"/>
                    <w:lang w:val="en-US" w:eastAsia="zh-CN"/>
                  </w:rPr>
                  <w:t xml:space="preserve"> </w:t>
                </w:r>
                <w:r>
                  <w:rPr>
                    <w:rFonts w:ascii="Times New Roman" w:hAnsi="Times New Roman" w:cs="Times New Roman"/>
                  </w:rPr>
                  <w:t> </w:t>
                </w:r>
                <w:r>
                  <w:rPr>
                    <w:rFonts w:ascii="Times New Roman" w:cs="Times New Roman"/>
                  </w:rPr>
                  <w:t>宇</w:t>
                </w:r>
              </w:p>
            </w:tc>
            <w:tc>
              <w:tcPr>
                <w:tcW w:w="1559" w:type="dxa"/>
                <w:vAlign w:val="center"/>
              </w:tcPr>
              <w:p>
                <w:pPr>
                  <w:widowControl w:val="0"/>
                  <w:jc w:val="center"/>
                  <w:rPr>
                    <w:rFonts w:ascii="Times New Roman" w:cs="Times New Roman"/>
                  </w:rPr>
                </w:pPr>
                <w:r>
                  <w:rPr>
                    <w:rFonts w:ascii="Times New Roman" w:cs="Times New Roman"/>
                  </w:rPr>
                  <w:t>职工董事</w:t>
                </w:r>
              </w:p>
              <w:p>
                <w:pPr>
                  <w:widowControl w:val="0"/>
                  <w:jc w:val="center"/>
                  <w:rPr>
                    <w:rFonts w:ascii="Times New Roman" w:hAnsi="Times New Roman" w:cs="Times New Roman"/>
                    <w:szCs w:val="21"/>
                  </w:rPr>
                </w:pPr>
                <w:r>
                  <w:rPr>
                    <w:rFonts w:ascii="Times New Roman" w:cs="Times New Roman"/>
                  </w:rPr>
                  <w:t>（离任）</w:t>
                </w:r>
              </w:p>
            </w:tc>
            <w:tc>
              <w:tcPr>
                <w:tcW w:w="709" w:type="dxa"/>
                <w:vAlign w:val="center"/>
              </w:tcPr>
              <w:p>
                <w:pPr>
                  <w:widowControl w:val="0"/>
                  <w:jc w:val="center"/>
                  <w:rPr>
                    <w:rFonts w:ascii="Times New Roman" w:hAnsi="Times New Roman" w:cs="Times New Roman"/>
                    <w:szCs w:val="21"/>
                  </w:rPr>
                </w:pPr>
                <w:r>
                  <w:rPr>
                    <w:rFonts w:ascii="Times New Roman" w:cs="Times New Roman"/>
                  </w:rPr>
                  <w:t>女</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43</w:t>
                </w:r>
              </w:p>
            </w:tc>
            <w:tc>
              <w:tcPr>
                <w:tcW w:w="1266" w:type="dxa"/>
                <w:vAlign w:val="center"/>
              </w:tcPr>
              <w:p>
                <w:pPr>
                  <w:widowControl w:val="0"/>
                  <w:jc w:val="center"/>
                  <w:rPr>
                    <w:rFonts w:ascii="Times New Roman" w:hAnsi="Times New Roman" w:cs="Times New Roman"/>
                    <w:sz w:val="24"/>
                  </w:rPr>
                </w:pPr>
                <w:r>
                  <w:rPr>
                    <w:rFonts w:ascii="Times New Roman" w:hAnsi="Times New Roman" w:cs="Times New Roman"/>
                  </w:rPr>
                  <w:t>2018-06-20</w:t>
                </w:r>
              </w:p>
            </w:tc>
            <w:tc>
              <w:tcPr>
                <w:tcW w:w="1266" w:type="dxa"/>
                <w:vAlign w:val="center"/>
              </w:tcPr>
              <w:p>
                <w:pPr>
                  <w:widowControl w:val="0"/>
                  <w:jc w:val="center"/>
                  <w:rPr>
                    <w:rFonts w:ascii="Times New Roman" w:hAnsi="Times New Roman" w:cs="Times New Roman"/>
                    <w:sz w:val="24"/>
                  </w:rPr>
                </w:pPr>
                <w:r>
                  <w:rPr>
                    <w:rFonts w:ascii="Times New Roman" w:hAnsi="Times New Roman" w:cs="Times New Roman"/>
                  </w:rPr>
                  <w:t>2021-06-19</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Cs w:val="21"/>
                  </w:rPr>
                </w:pPr>
                <w:r>
                  <w:rPr>
                    <w:rFonts w:ascii="Times New Roman" w:hAnsi="Times New Roman" w:cs="Times New Roman"/>
                    <w:szCs w:val="21"/>
                  </w:rPr>
                  <w:t>2.77</w:t>
                </w:r>
              </w:p>
            </w:tc>
            <w:sdt>
              <w:sdtPr>
                <w:rPr>
                  <w:rFonts w:ascii="Times New Roman" w:hAnsi="Times New Roman" w:cs="Times New Roman"/>
                  <w:szCs w:val="21"/>
                </w:rPr>
                <w:alias w:val="董事、监事、高级管理人员是否在公司关联方获取报酬"/>
                <w:tag w:val="_GBC_1fc30a06011d4603820ff653031666f0"/>
                <w:id w:val="865722650"/>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rPr>
                </w:pPr>
                <w:r>
                  <w:rPr>
                    <w:rFonts w:ascii="Times New Roman" w:cs="Times New Roman"/>
                  </w:rPr>
                  <w:t>唐</w:t>
                </w:r>
                <w:r>
                  <w:rPr>
                    <w:rFonts w:hint="eastAsia" w:ascii="Times New Roman" w:hAnsi="Times New Roman" w:cs="Times New Roman"/>
                    <w:lang w:val="en-US" w:eastAsia="zh-CN"/>
                  </w:rPr>
                  <w:t xml:space="preserve">  </w:t>
                </w:r>
                <w:r>
                  <w:rPr>
                    <w:rFonts w:ascii="Times New Roman" w:cs="Times New Roman"/>
                  </w:rPr>
                  <w:t>鹏</w:t>
                </w:r>
              </w:p>
            </w:tc>
            <w:tc>
              <w:tcPr>
                <w:tcW w:w="1559" w:type="dxa"/>
                <w:vAlign w:val="center"/>
              </w:tcPr>
              <w:p>
                <w:pPr>
                  <w:widowControl w:val="0"/>
                  <w:jc w:val="center"/>
                  <w:rPr>
                    <w:rFonts w:ascii="Times New Roman" w:hAnsi="Times New Roman" w:cs="Times New Roman"/>
                  </w:rPr>
                </w:pPr>
                <w:r>
                  <w:rPr>
                    <w:rFonts w:ascii="Times New Roman" w:cs="Times New Roman"/>
                  </w:rPr>
                  <w:t>职工董事</w:t>
                </w:r>
              </w:p>
            </w:tc>
            <w:tc>
              <w:tcPr>
                <w:tcW w:w="709" w:type="dxa"/>
                <w:vAlign w:val="center"/>
              </w:tcPr>
              <w:p>
                <w:pPr>
                  <w:widowControl w:val="0"/>
                  <w:jc w:val="center"/>
                  <w:rPr>
                    <w:rFonts w:ascii="Times New Roman" w:hAnsi="Times New Roman" w:cs="Times New Roman"/>
                  </w:rPr>
                </w:pPr>
                <w:r>
                  <w:rPr>
                    <w:rFonts w:ascii="Times New Roman" w:cs="Times New Roman"/>
                  </w:rPr>
                  <w:t>男</w:t>
                </w:r>
              </w:p>
            </w:tc>
            <w:tc>
              <w:tcPr>
                <w:tcW w:w="700" w:type="dxa"/>
                <w:vAlign w:val="center"/>
              </w:tcPr>
              <w:p>
                <w:pPr>
                  <w:widowControl w:val="0"/>
                  <w:jc w:val="center"/>
                  <w:rPr>
                    <w:rFonts w:ascii="Times New Roman" w:hAnsi="Times New Roman" w:cs="Times New Roman"/>
                  </w:rPr>
                </w:pPr>
                <w:r>
                  <w:rPr>
                    <w:rFonts w:ascii="Times New Roman" w:hAnsi="Times New Roman" w:cs="Times New Roman"/>
                  </w:rPr>
                  <w:t>45</w:t>
                </w:r>
              </w:p>
            </w:tc>
            <w:tc>
              <w:tcPr>
                <w:tcW w:w="1266" w:type="dxa"/>
                <w:vAlign w:val="center"/>
              </w:tcPr>
              <w:p>
                <w:pPr>
                  <w:widowControl w:val="0"/>
                  <w:jc w:val="center"/>
                  <w:rPr>
                    <w:rFonts w:ascii="Times New Roman" w:hAnsi="Times New Roman" w:cs="Times New Roman"/>
                    <w:sz w:val="24"/>
                  </w:rPr>
                </w:pPr>
                <w:r>
                  <w:rPr>
                    <w:rFonts w:ascii="Times New Roman" w:hAnsi="Times New Roman" w:cs="Times New Roman"/>
                  </w:rPr>
                  <w:t>2021-07-16</w:t>
                </w:r>
              </w:p>
            </w:tc>
            <w:tc>
              <w:tcPr>
                <w:tcW w:w="1266" w:type="dxa"/>
                <w:vAlign w:val="center"/>
              </w:tcPr>
              <w:p>
                <w:pPr>
                  <w:widowControl w:val="0"/>
                  <w:jc w:val="center"/>
                  <w:rPr>
                    <w:rFonts w:ascii="Times New Roman" w:hAnsi="Times New Roman" w:cs="Times New Roman"/>
                    <w:sz w:val="24"/>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 w:val="24"/>
                  </w:rPr>
                </w:pPr>
                <w:r>
                  <w:rPr>
                    <w:rFonts w:ascii="Times New Roman" w:hAnsi="Times New Roman" w:cs="Times New Roman"/>
                  </w:rPr>
                  <w:t>10,900</w:t>
                </w:r>
              </w:p>
            </w:tc>
            <w:tc>
              <w:tcPr>
                <w:tcW w:w="1122" w:type="dxa"/>
                <w:vAlign w:val="center"/>
              </w:tcPr>
              <w:p>
                <w:pPr>
                  <w:widowControl w:val="0"/>
                  <w:jc w:val="center"/>
                  <w:rPr>
                    <w:rFonts w:ascii="Times New Roman" w:hAnsi="Times New Roman" w:cs="Times New Roman"/>
                    <w:sz w:val="24"/>
                  </w:rPr>
                </w:pPr>
                <w:r>
                  <w:rPr>
                    <w:rFonts w:ascii="Times New Roman" w:hAnsi="Times New Roman" w:cs="Times New Roman"/>
                  </w:rPr>
                  <w:t>0</w:t>
                </w:r>
              </w:p>
            </w:tc>
            <w:tc>
              <w:tcPr>
                <w:tcW w:w="1327" w:type="dxa"/>
                <w:vAlign w:val="center"/>
              </w:tcPr>
              <w:p>
                <w:pPr>
                  <w:widowControl w:val="0"/>
                  <w:jc w:val="center"/>
                  <w:rPr>
                    <w:rFonts w:ascii="Times New Roman" w:hAnsi="Times New Roman" w:cs="Times New Roman"/>
                    <w:sz w:val="24"/>
                  </w:rPr>
                </w:pPr>
                <w:r>
                  <w:rPr>
                    <w:rFonts w:ascii="Times New Roman" w:hAnsi="Times New Roman" w:cs="Times New Roman"/>
                  </w:rPr>
                  <w:t>-10,900</w:t>
                </w:r>
              </w:p>
            </w:tc>
            <w:tc>
              <w:tcPr>
                <w:tcW w:w="1138" w:type="dxa"/>
                <w:vAlign w:val="center"/>
              </w:tcPr>
              <w:p>
                <w:pPr>
                  <w:widowControl w:val="0"/>
                  <w:jc w:val="center"/>
                  <w:rPr>
                    <w:rFonts w:ascii="Times New Roman" w:hAnsi="Times New Roman" w:cs="Times New Roman"/>
                    <w:szCs w:val="21"/>
                  </w:rPr>
                </w:pPr>
                <w:r>
                  <w:rPr>
                    <w:rFonts w:ascii="Times New Roman" w:cs="Times New Roman"/>
                    <w:szCs w:val="21"/>
                  </w:rPr>
                  <w:t>个人原因</w:t>
                </w:r>
              </w:p>
            </w:tc>
            <w:tc>
              <w:tcPr>
                <w:tcW w:w="1379" w:type="dxa"/>
                <w:vAlign w:val="center"/>
              </w:tcPr>
              <w:p>
                <w:pPr>
                  <w:widowControl w:val="0"/>
                  <w:jc w:val="center"/>
                  <w:rPr>
                    <w:rFonts w:ascii="Times New Roman" w:hAnsi="Times New Roman" w:cs="Times New Roman"/>
                    <w:szCs w:val="21"/>
                  </w:rPr>
                </w:pPr>
                <w:r>
                  <w:rPr>
                    <w:rFonts w:ascii="Times New Roman" w:hAnsi="Times New Roman" w:cs="Times New Roman"/>
                    <w:szCs w:val="21"/>
                  </w:rPr>
                  <w:t>13.40</w:t>
                </w:r>
              </w:p>
            </w:tc>
            <w:sdt>
              <w:sdtPr>
                <w:rPr>
                  <w:rFonts w:ascii="Times New Roman" w:hAnsi="Times New Roman" w:cs="Times New Roman"/>
                  <w:szCs w:val="21"/>
                </w:rPr>
                <w:alias w:val="董事、监事、高级管理人员是否在公司关联方获取报酬"/>
                <w:tag w:val="_GBC_1fc30a06011d4603820ff653031666f0"/>
                <w:id w:val="865722651"/>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张重义</w:t>
                </w:r>
              </w:p>
            </w:tc>
            <w:tc>
              <w:tcPr>
                <w:tcW w:w="1559" w:type="dxa"/>
                <w:vAlign w:val="center"/>
              </w:tcPr>
              <w:p>
                <w:pPr>
                  <w:widowControl w:val="0"/>
                  <w:jc w:val="center"/>
                  <w:rPr>
                    <w:rFonts w:ascii="Times New Roman" w:hAnsi="Times New Roman" w:cs="Times New Roman"/>
                    <w:szCs w:val="21"/>
                  </w:rPr>
                </w:pPr>
                <w:r>
                  <w:rPr>
                    <w:rFonts w:ascii="Times New Roman" w:cs="Times New Roman"/>
                  </w:rPr>
                  <w:t>独立董事</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58</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Cs w:val="21"/>
                  </w:rPr>
                </w:pPr>
                <w:r>
                  <w:rPr>
                    <w:rFonts w:ascii="Times New Roman" w:hAnsi="Times New Roman" w:cs="Times New Roman"/>
                    <w:szCs w:val="21"/>
                  </w:rPr>
                  <w:t>4.26</w:t>
                </w:r>
              </w:p>
            </w:tc>
            <w:sdt>
              <w:sdtPr>
                <w:rPr>
                  <w:rFonts w:ascii="Times New Roman" w:hAnsi="Times New Roman" w:cs="Times New Roman"/>
                  <w:szCs w:val="21"/>
                </w:rPr>
                <w:alias w:val="董事、监事、高级管理人员是否在公司关联方获取报酬"/>
                <w:tag w:val="_GBC_1fc30a06011d4603820ff653031666f0"/>
                <w:id w:val="865722652"/>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余</w:t>
                </w:r>
                <w:r>
                  <w:rPr>
                    <w:rFonts w:ascii="Times New Roman" w:hAnsi="Times New Roman" w:cs="Times New Roman"/>
                  </w:rPr>
                  <w:t xml:space="preserve">  </w:t>
                </w:r>
                <w:r>
                  <w:rPr>
                    <w:rFonts w:ascii="Times New Roman" w:cs="Times New Roman"/>
                  </w:rPr>
                  <w:t>兵</w:t>
                </w:r>
              </w:p>
            </w:tc>
            <w:tc>
              <w:tcPr>
                <w:tcW w:w="1559" w:type="dxa"/>
                <w:vAlign w:val="center"/>
              </w:tcPr>
              <w:p>
                <w:pPr>
                  <w:widowControl w:val="0"/>
                  <w:jc w:val="center"/>
                  <w:rPr>
                    <w:rFonts w:ascii="Times New Roman" w:hAnsi="Times New Roman" w:cs="Times New Roman"/>
                    <w:szCs w:val="21"/>
                  </w:rPr>
                </w:pPr>
                <w:r>
                  <w:rPr>
                    <w:rFonts w:ascii="Times New Roman" w:cs="Times New Roman"/>
                  </w:rPr>
                  <w:t>独立董事</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52</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Cs w:val="21"/>
                  </w:rPr>
                </w:pPr>
                <w:r>
                  <w:rPr>
                    <w:rFonts w:ascii="Times New Roman" w:hAnsi="Times New Roman" w:cs="Times New Roman"/>
                    <w:szCs w:val="21"/>
                  </w:rPr>
                  <w:t>4.26</w:t>
                </w:r>
              </w:p>
            </w:tc>
            <w:sdt>
              <w:sdtPr>
                <w:rPr>
                  <w:rFonts w:ascii="Times New Roman" w:hAnsi="Times New Roman" w:cs="Times New Roman"/>
                  <w:szCs w:val="21"/>
                </w:rPr>
                <w:alias w:val="董事、监事、高级管理人员是否在公司关联方获取报酬"/>
                <w:tag w:val="_GBC_1fc30a06011d4603820ff653031666f0"/>
                <w:id w:val="865722653"/>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魏</w:t>
                </w:r>
                <w:r>
                  <w:rPr>
                    <w:rFonts w:ascii="Times New Roman" w:hAnsi="Times New Roman" w:cs="Times New Roman"/>
                  </w:rPr>
                  <w:t> </w:t>
                </w:r>
                <w:r>
                  <w:rPr>
                    <w:rFonts w:ascii="Times New Roman" w:cs="Times New Roman"/>
                  </w:rPr>
                  <w:t>佳</w:t>
                </w:r>
              </w:p>
            </w:tc>
            <w:tc>
              <w:tcPr>
                <w:tcW w:w="1559" w:type="dxa"/>
                <w:vAlign w:val="center"/>
              </w:tcPr>
              <w:p>
                <w:pPr>
                  <w:widowControl w:val="0"/>
                  <w:jc w:val="center"/>
                  <w:rPr>
                    <w:rFonts w:ascii="Times New Roman" w:hAnsi="Times New Roman" w:cs="Times New Roman"/>
                    <w:szCs w:val="21"/>
                  </w:rPr>
                </w:pPr>
                <w:r>
                  <w:rPr>
                    <w:rFonts w:ascii="Times New Roman" w:cs="Times New Roman"/>
                  </w:rPr>
                  <w:t>独立董事</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42</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Cs w:val="21"/>
                  </w:rPr>
                </w:pPr>
                <w:r>
                  <w:rPr>
                    <w:rFonts w:ascii="Times New Roman" w:hAnsi="Times New Roman" w:cs="Times New Roman"/>
                    <w:szCs w:val="21"/>
                  </w:rPr>
                  <w:t>4.26</w:t>
                </w:r>
              </w:p>
            </w:tc>
            <w:sdt>
              <w:sdtPr>
                <w:rPr>
                  <w:rFonts w:ascii="Times New Roman" w:hAnsi="Times New Roman" w:cs="Times New Roman"/>
                  <w:szCs w:val="21"/>
                </w:rPr>
                <w:alias w:val="董事、监事、高级管理人员是否在公司关联方获取报酬"/>
                <w:tag w:val="_GBC_1fc30a06011d4603820ff653031666f0"/>
                <w:id w:val="865722654"/>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牟</w:t>
                </w:r>
                <w:r>
                  <w:rPr>
                    <w:rFonts w:hint="eastAsia" w:ascii="Times New Roman" w:hAnsi="Times New Roman" w:cs="Times New Roman"/>
                    <w:lang w:val="en-US" w:eastAsia="zh-CN"/>
                  </w:rPr>
                  <w:t xml:space="preserve">  </w:t>
                </w:r>
                <w:r>
                  <w:rPr>
                    <w:rFonts w:ascii="Times New Roman" w:cs="Times New Roman"/>
                  </w:rPr>
                  <w:t>创</w:t>
                </w:r>
              </w:p>
            </w:tc>
            <w:tc>
              <w:tcPr>
                <w:tcW w:w="1559" w:type="dxa"/>
                <w:vAlign w:val="center"/>
              </w:tcPr>
              <w:p>
                <w:pPr>
                  <w:widowControl w:val="0"/>
                  <w:jc w:val="center"/>
                  <w:rPr>
                    <w:rFonts w:ascii="Times New Roman" w:hAnsi="Times New Roman" w:cs="Times New Roman"/>
                    <w:szCs w:val="21"/>
                  </w:rPr>
                </w:pPr>
                <w:r>
                  <w:rPr>
                    <w:rFonts w:ascii="Times New Roman" w:cs="Times New Roman"/>
                  </w:rPr>
                  <w:t>监事会主席</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51</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Cs w:val="21"/>
                  </w:rPr>
                </w:pPr>
                <w:r>
                  <w:rPr>
                    <w:rFonts w:ascii="Times New Roman" w:hAnsi="Times New Roman" w:cs="Times New Roman"/>
                    <w:szCs w:val="21"/>
                  </w:rPr>
                  <w:t>0</w:t>
                </w:r>
              </w:p>
            </w:tc>
            <w:sdt>
              <w:sdtPr>
                <w:rPr>
                  <w:rFonts w:ascii="Times New Roman" w:hAnsi="Times New Roman" w:cs="Times New Roman"/>
                  <w:szCs w:val="21"/>
                </w:rPr>
                <w:alias w:val="董事、监事、高级管理人员是否在公司关联方获取报酬"/>
                <w:tag w:val="_GBC_1fc30a06011d4603820ff653031666f0"/>
                <w:id w:val="865722655"/>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莫瑞珖</w:t>
                </w:r>
              </w:p>
            </w:tc>
            <w:tc>
              <w:tcPr>
                <w:tcW w:w="1559" w:type="dxa"/>
                <w:vAlign w:val="center"/>
              </w:tcPr>
              <w:p>
                <w:pPr>
                  <w:widowControl w:val="0"/>
                  <w:jc w:val="center"/>
                  <w:rPr>
                    <w:rFonts w:ascii="Times New Roman" w:hAnsi="Times New Roman" w:cs="Times New Roman"/>
                    <w:szCs w:val="21"/>
                  </w:rPr>
                </w:pPr>
                <w:r>
                  <w:rPr>
                    <w:rFonts w:ascii="Times New Roman" w:cs="Times New Roman"/>
                  </w:rPr>
                  <w:t>监事</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51</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14,700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14,700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Cs w:val="21"/>
                  </w:rPr>
                </w:pPr>
                <w:r>
                  <w:rPr>
                    <w:rFonts w:ascii="Times New Roman" w:hAnsi="Times New Roman" w:cs="Times New Roman"/>
                    <w:szCs w:val="21"/>
                  </w:rPr>
                  <w:t>32.13</w:t>
                </w:r>
              </w:p>
            </w:tc>
            <w:sdt>
              <w:sdtPr>
                <w:rPr>
                  <w:rFonts w:ascii="Times New Roman" w:hAnsi="Times New Roman" w:cs="Times New Roman"/>
                  <w:szCs w:val="21"/>
                </w:rPr>
                <w:alias w:val="董事、监事、高级管理人员是否在公司关联方获取报酬"/>
                <w:tag w:val="_GBC_1fc30a06011d4603820ff653031666f0"/>
                <w:id w:val="865722656"/>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雷</w:t>
                </w:r>
                <w:r>
                  <w:rPr>
                    <w:rFonts w:hint="eastAsia" w:ascii="Times New Roman" w:hAnsi="Times New Roman" w:cs="Times New Roman"/>
                    <w:lang w:val="en-US" w:eastAsia="zh-CN"/>
                  </w:rPr>
                  <w:t xml:space="preserve">  </w:t>
                </w:r>
                <w:r>
                  <w:rPr>
                    <w:rFonts w:ascii="Times New Roman" w:cs="Times New Roman"/>
                  </w:rPr>
                  <w:t>讯</w:t>
                </w:r>
              </w:p>
            </w:tc>
            <w:tc>
              <w:tcPr>
                <w:tcW w:w="1559" w:type="dxa"/>
                <w:vAlign w:val="center"/>
              </w:tcPr>
              <w:p>
                <w:pPr>
                  <w:widowControl w:val="0"/>
                  <w:jc w:val="center"/>
                  <w:rPr>
                    <w:rFonts w:ascii="Times New Roman" w:hAnsi="Times New Roman" w:cs="Times New Roman"/>
                    <w:szCs w:val="21"/>
                  </w:rPr>
                </w:pPr>
                <w:r>
                  <w:rPr>
                    <w:rFonts w:ascii="Times New Roman" w:cs="Times New Roman"/>
                  </w:rPr>
                  <w:t>职工监事</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55</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4,500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4,500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Cs w:val="21"/>
                  </w:rPr>
                </w:pPr>
                <w:r>
                  <w:rPr>
                    <w:rFonts w:ascii="Times New Roman" w:hAnsi="Times New Roman" w:cs="Times New Roman"/>
                    <w:szCs w:val="21"/>
                  </w:rPr>
                  <w:t>12.42</w:t>
                </w:r>
              </w:p>
            </w:tc>
            <w:sdt>
              <w:sdtPr>
                <w:rPr>
                  <w:rFonts w:ascii="Times New Roman" w:hAnsi="Times New Roman" w:cs="Times New Roman"/>
                  <w:szCs w:val="21"/>
                </w:rPr>
                <w:alias w:val="董事、监事、高级管理人员是否在公司关联方获取报酬"/>
                <w:tag w:val="_GBC_1fc30a06011d4603820ff653031666f0"/>
                <w:id w:val="865722657"/>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叶建平</w:t>
                </w:r>
              </w:p>
            </w:tc>
            <w:tc>
              <w:tcPr>
                <w:tcW w:w="1559" w:type="dxa"/>
                <w:vAlign w:val="center"/>
              </w:tcPr>
              <w:p>
                <w:pPr>
                  <w:widowControl w:val="0"/>
                  <w:jc w:val="center"/>
                  <w:rPr>
                    <w:rFonts w:ascii="Times New Roman" w:hAnsi="Times New Roman" w:cs="Times New Roman"/>
                    <w:szCs w:val="21"/>
                  </w:rPr>
                </w:pPr>
                <w:r>
                  <w:rPr>
                    <w:rFonts w:ascii="Times New Roman" w:cs="Times New Roman"/>
                  </w:rPr>
                  <w:t>副总裁</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56</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4,500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4,500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 w:val="24"/>
                  </w:rPr>
                </w:pPr>
                <w:r>
                  <w:rPr>
                    <w:rFonts w:ascii="Times New Roman" w:hAnsi="Times New Roman" w:cs="Times New Roman"/>
                  </w:rPr>
                  <w:t>32.98</w:t>
                </w:r>
              </w:p>
            </w:tc>
            <w:sdt>
              <w:sdtPr>
                <w:rPr>
                  <w:rFonts w:ascii="Times New Roman" w:hAnsi="Times New Roman" w:cs="Times New Roman"/>
                  <w:szCs w:val="21"/>
                </w:rPr>
                <w:alias w:val="董事、监事、高级管理人员是否在公司关联方获取报酬"/>
                <w:tag w:val="_GBC_1fc30a06011d4603820ff653031666f0"/>
                <w:id w:val="865722658"/>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杨</w:t>
                </w:r>
                <w:r>
                  <w:rPr>
                    <w:rFonts w:hint="eastAsia" w:ascii="Times New Roman" w:hAnsi="Times New Roman" w:cs="Times New Roman"/>
                    <w:lang w:val="en-US" w:eastAsia="zh-CN"/>
                  </w:rPr>
                  <w:t xml:space="preserve">  </w:t>
                </w:r>
                <w:r>
                  <w:rPr>
                    <w:rFonts w:ascii="Times New Roman" w:cs="Times New Roman"/>
                  </w:rPr>
                  <w:t>玲</w:t>
                </w:r>
              </w:p>
            </w:tc>
            <w:tc>
              <w:tcPr>
                <w:tcW w:w="1559" w:type="dxa"/>
                <w:vAlign w:val="center"/>
              </w:tcPr>
              <w:p>
                <w:pPr>
                  <w:widowControl w:val="0"/>
                  <w:jc w:val="center"/>
                  <w:rPr>
                    <w:rFonts w:ascii="Times New Roman" w:hAnsi="Times New Roman" w:cs="Times New Roman"/>
                    <w:szCs w:val="21"/>
                  </w:rPr>
                </w:pPr>
                <w:r>
                  <w:rPr>
                    <w:rFonts w:ascii="Times New Roman" w:cs="Times New Roman"/>
                  </w:rPr>
                  <w:t>副总裁</w:t>
                </w:r>
              </w:p>
            </w:tc>
            <w:tc>
              <w:tcPr>
                <w:tcW w:w="709" w:type="dxa"/>
                <w:vAlign w:val="center"/>
              </w:tcPr>
              <w:p>
                <w:pPr>
                  <w:widowControl w:val="0"/>
                  <w:jc w:val="center"/>
                  <w:rPr>
                    <w:rFonts w:ascii="Times New Roman" w:hAnsi="Times New Roman" w:cs="Times New Roman"/>
                    <w:szCs w:val="21"/>
                  </w:rPr>
                </w:pPr>
                <w:r>
                  <w:rPr>
                    <w:rFonts w:ascii="Times New Roman" w:cs="Times New Roman"/>
                  </w:rPr>
                  <w:t>女</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47</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 w:val="24"/>
                  </w:rPr>
                </w:pPr>
                <w:r>
                  <w:rPr>
                    <w:rFonts w:ascii="Times New Roman" w:hAnsi="Times New Roman" w:cs="Times New Roman"/>
                  </w:rPr>
                  <w:t>30.71</w:t>
                </w:r>
              </w:p>
            </w:tc>
            <w:sdt>
              <w:sdtPr>
                <w:rPr>
                  <w:rFonts w:ascii="Times New Roman" w:hAnsi="Times New Roman" w:cs="Times New Roman"/>
                  <w:szCs w:val="21"/>
                </w:rPr>
                <w:alias w:val="董事、监事、高级管理人员是否在公司关联方获取报酬"/>
                <w:tag w:val="_GBC_1fc30a06011d4603820ff653031666f0"/>
                <w:id w:val="865722659"/>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widowControl w:val="0"/>
                  <w:jc w:val="center"/>
                  <w:rPr>
                    <w:rFonts w:ascii="Times New Roman" w:hAnsi="Times New Roman" w:cs="Times New Roman"/>
                    <w:szCs w:val="21"/>
                  </w:rPr>
                </w:pPr>
                <w:r>
                  <w:rPr>
                    <w:rFonts w:ascii="Times New Roman" w:cs="Times New Roman"/>
                  </w:rPr>
                  <w:t>韦元贤</w:t>
                </w:r>
              </w:p>
            </w:tc>
            <w:tc>
              <w:tcPr>
                <w:tcW w:w="1559" w:type="dxa"/>
                <w:vAlign w:val="center"/>
              </w:tcPr>
              <w:p>
                <w:pPr>
                  <w:widowControl w:val="0"/>
                  <w:jc w:val="center"/>
                  <w:rPr>
                    <w:rFonts w:ascii="Times New Roman" w:hAnsi="Times New Roman" w:cs="Times New Roman"/>
                    <w:szCs w:val="21"/>
                  </w:rPr>
                </w:pPr>
                <w:r>
                  <w:rPr>
                    <w:rStyle w:val="70"/>
                    <w:rFonts w:ascii="Times New Roman" w:cs="Times New Roman"/>
                  </w:rPr>
                  <w:t>董事会秘书</w:t>
                </w:r>
              </w:p>
            </w:tc>
            <w:tc>
              <w:tcPr>
                <w:tcW w:w="709" w:type="dxa"/>
                <w:vAlign w:val="center"/>
              </w:tcPr>
              <w:p>
                <w:pPr>
                  <w:widowControl w:val="0"/>
                  <w:jc w:val="center"/>
                  <w:rPr>
                    <w:rFonts w:ascii="Times New Roman" w:hAnsi="Times New Roman" w:cs="Times New Roman"/>
                    <w:szCs w:val="21"/>
                  </w:rPr>
                </w:pPr>
                <w:r>
                  <w:rPr>
                    <w:rFonts w:ascii="Times New Roman" w:cs="Times New Roman"/>
                  </w:rPr>
                  <w:t>男</w:t>
                </w:r>
              </w:p>
            </w:tc>
            <w:tc>
              <w:tcPr>
                <w:tcW w:w="700" w:type="dxa"/>
                <w:vAlign w:val="center"/>
              </w:tcPr>
              <w:p>
                <w:pPr>
                  <w:widowControl w:val="0"/>
                  <w:jc w:val="center"/>
                  <w:rPr>
                    <w:rFonts w:ascii="Times New Roman" w:hAnsi="Times New Roman" w:cs="Times New Roman"/>
                    <w:szCs w:val="21"/>
                  </w:rPr>
                </w:pPr>
                <w:r>
                  <w:rPr>
                    <w:rFonts w:ascii="Times New Roman" w:hAnsi="Times New Roman" w:cs="Times New Roman"/>
                  </w:rPr>
                  <w:t>49</w:t>
                </w:r>
              </w:p>
            </w:tc>
            <w:tc>
              <w:tcPr>
                <w:tcW w:w="1266" w:type="dxa"/>
              </w:tcPr>
              <w:p>
                <w:pPr>
                  <w:widowControl w:val="0"/>
                  <w:jc w:val="center"/>
                  <w:rPr>
                    <w:rFonts w:ascii="Times New Roman" w:hAnsi="Times New Roman" w:cs="Times New Roman"/>
                  </w:rPr>
                </w:pPr>
                <w:r>
                  <w:rPr>
                    <w:rFonts w:ascii="Times New Roman" w:hAnsi="Times New Roman" w:cs="Times New Roman"/>
                  </w:rPr>
                  <w:t>2021-07-16</w:t>
                </w:r>
              </w:p>
            </w:tc>
            <w:tc>
              <w:tcPr>
                <w:tcW w:w="1266" w:type="dxa"/>
              </w:tcPr>
              <w:p>
                <w:pPr>
                  <w:widowControl w:val="0"/>
                  <w:jc w:val="center"/>
                  <w:rPr>
                    <w:rFonts w:ascii="Times New Roman" w:hAnsi="Times New Roman" w:cs="Times New Roman"/>
                  </w:rPr>
                </w:pPr>
                <w:r>
                  <w:rPr>
                    <w:rFonts w:ascii="Times New Roman" w:hAnsi="Times New Roman" w:cs="Times New Roman"/>
                  </w:rPr>
                  <w:t>2024-07-15</w:t>
                </w:r>
              </w:p>
            </w:tc>
            <w:tc>
              <w:tcPr>
                <w:tcW w:w="1135"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22"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327" w:type="dxa"/>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1138" w:type="dxa"/>
                <w:vAlign w:val="center"/>
              </w:tcPr>
              <w:p>
                <w:pPr>
                  <w:widowControl w:val="0"/>
                  <w:jc w:val="center"/>
                  <w:rPr>
                    <w:rFonts w:ascii="Times New Roman" w:hAnsi="Times New Roman" w:cs="Times New Roman"/>
                    <w:szCs w:val="21"/>
                  </w:rPr>
                </w:pPr>
                <w:r>
                  <w:rPr>
                    <w:rFonts w:ascii="Times New Roman" w:hAnsi="Times New Roman" w:cs="Times New Roman"/>
                  </w:rPr>
                  <w:t>/</w:t>
                </w:r>
              </w:p>
            </w:tc>
            <w:tc>
              <w:tcPr>
                <w:tcW w:w="1379" w:type="dxa"/>
                <w:vAlign w:val="center"/>
              </w:tcPr>
              <w:p>
                <w:pPr>
                  <w:widowControl w:val="0"/>
                  <w:jc w:val="center"/>
                  <w:rPr>
                    <w:rFonts w:ascii="Times New Roman" w:hAnsi="Times New Roman" w:cs="Times New Roman"/>
                    <w:szCs w:val="21"/>
                  </w:rPr>
                </w:pPr>
                <w:r>
                  <w:rPr>
                    <w:rFonts w:ascii="Times New Roman" w:hAnsi="Times New Roman" w:cs="Times New Roman"/>
                    <w:szCs w:val="21"/>
                  </w:rPr>
                  <w:t>14.31</w:t>
                </w:r>
              </w:p>
            </w:tc>
            <w:sdt>
              <w:sdtPr>
                <w:rPr>
                  <w:rFonts w:ascii="Times New Roman" w:hAnsi="Times New Roman" w:cs="Times New Roman"/>
                  <w:szCs w:val="21"/>
                </w:rPr>
                <w:alias w:val="董事、监事、高级管理人员是否在公司关联方获取报酬"/>
                <w:tag w:val="_GBC_1fc30a06011d4603820ff653031666f0"/>
                <w:id w:val="865722660"/>
                <w:lock w:val="sdtLocked"/>
                <w:comboBox>
                  <w:listItem w:displayText="是" w:value="true"/>
                  <w:listItem w:displayText="否" w:value="false"/>
                </w:comboBox>
              </w:sdtPr>
              <w:sdtEndPr>
                <w:rPr>
                  <w:rFonts w:ascii="Times New Roman" w:hAnsi="Times New Roman" w:cs="Times New Roman"/>
                  <w:szCs w:val="21"/>
                </w:rPr>
              </w:sdtEndPr>
              <w:sdtContent>
                <w:tc>
                  <w:tcPr>
                    <w:tcW w:w="1394" w:type="dxa"/>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101" w:type="dxa"/>
                <w:tcBorders>
                  <w:bottom w:val="single" w:color="auto" w:sz="4" w:space="0"/>
                </w:tcBorders>
                <w:vAlign w:val="center"/>
              </w:tcPr>
              <w:p>
                <w:pPr>
                  <w:widowControl w:val="0"/>
                  <w:jc w:val="center"/>
                  <w:rPr>
                    <w:rFonts w:ascii="Times New Roman" w:hAnsi="Times New Roman" w:cs="Times New Roman"/>
                    <w:szCs w:val="21"/>
                  </w:rPr>
                </w:pPr>
                <w:r>
                  <w:rPr>
                    <w:rFonts w:ascii="Times New Roman" w:cs="Times New Roman"/>
                    <w:szCs w:val="21"/>
                  </w:rPr>
                  <w:t>合计</w:t>
                </w:r>
              </w:p>
            </w:tc>
            <w:tc>
              <w:tcPr>
                <w:tcW w:w="1559"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w:t>
                </w:r>
              </w:p>
            </w:tc>
            <w:tc>
              <w:tcPr>
                <w:tcW w:w="709"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w:t>
                </w:r>
              </w:p>
            </w:tc>
            <w:tc>
              <w:tcPr>
                <w:tcW w:w="700"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w:t>
                </w:r>
              </w:p>
            </w:tc>
            <w:tc>
              <w:tcPr>
                <w:tcW w:w="1266"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w:t>
                </w:r>
              </w:p>
            </w:tc>
            <w:tc>
              <w:tcPr>
                <w:tcW w:w="1266"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w:t>
                </w:r>
              </w:p>
            </w:tc>
            <w:tc>
              <w:tcPr>
                <w:tcW w:w="1135"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4</w:t>
                </w:r>
                <w:r>
                  <w:rPr>
                    <w:rFonts w:ascii="Times New Roman" w:hAnsi="Times New Roman" w:cs="Times New Roman"/>
                    <w:szCs w:val="21"/>
                  </w:rPr>
                  <w:t>4,</w:t>
                </w:r>
                <w:r>
                  <w:rPr>
                    <w:rFonts w:hint="eastAsia" w:ascii="Times New Roman" w:hAnsi="Times New Roman" w:cs="Times New Roman"/>
                    <w:szCs w:val="21"/>
                  </w:rPr>
                  <w:t>9</w:t>
                </w:r>
                <w:r>
                  <w:rPr>
                    <w:rFonts w:ascii="Times New Roman" w:hAnsi="Times New Roman" w:cs="Times New Roman"/>
                    <w:szCs w:val="21"/>
                  </w:rPr>
                  <w:t>67</w:t>
                </w:r>
              </w:p>
            </w:tc>
            <w:tc>
              <w:tcPr>
                <w:tcW w:w="1122"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13</w:t>
                </w:r>
                <w:r>
                  <w:rPr>
                    <w:rFonts w:hint="eastAsia" w:ascii="Times New Roman" w:hAnsi="Times New Roman" w:cs="Times New Roman"/>
                    <w:szCs w:val="21"/>
                  </w:rPr>
                  <w:t>6</w:t>
                </w:r>
                <w:r>
                  <w:rPr>
                    <w:rFonts w:ascii="Times New Roman" w:hAnsi="Times New Roman" w:cs="Times New Roman"/>
                    <w:szCs w:val="21"/>
                  </w:rPr>
                  <w:t>,</w:t>
                </w:r>
                <w:r>
                  <w:rPr>
                    <w:rFonts w:hint="eastAsia" w:ascii="Times New Roman" w:hAnsi="Times New Roman" w:cs="Times New Roman"/>
                    <w:szCs w:val="21"/>
                  </w:rPr>
                  <w:t>9</w:t>
                </w:r>
                <w:r>
                  <w:rPr>
                    <w:rFonts w:ascii="Times New Roman" w:hAnsi="Times New Roman" w:cs="Times New Roman"/>
                    <w:szCs w:val="21"/>
                  </w:rPr>
                  <w:t>67</w:t>
                </w:r>
              </w:p>
            </w:tc>
            <w:tc>
              <w:tcPr>
                <w:tcW w:w="1327"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-10,900</w:t>
                </w:r>
              </w:p>
            </w:tc>
            <w:tc>
              <w:tcPr>
                <w:tcW w:w="1138"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w:t>
                </w:r>
              </w:p>
            </w:tc>
            <w:tc>
              <w:tcPr>
                <w:tcW w:w="1379"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295.62</w:t>
                </w:r>
              </w:p>
            </w:tc>
            <w:tc>
              <w:tcPr>
                <w:tcW w:w="1394" w:type="dxa"/>
                <w:tcBorders>
                  <w:bottom w:val="single" w:color="auto" w:sz="4" w:space="0"/>
                </w:tcBorders>
              </w:tcPr>
              <w:p>
                <w:pPr>
                  <w:widowControl w:val="0"/>
                  <w:jc w:val="center"/>
                  <w:rPr>
                    <w:rFonts w:ascii="Times New Roman" w:hAnsi="Times New Roman" w:cs="Times New Roman"/>
                    <w:szCs w:val="21"/>
                  </w:rPr>
                </w:pPr>
                <w:r>
                  <w:rPr>
                    <w:rFonts w:ascii="Times New Roman" w:hAnsi="Times New Roman" w:cs="Times New Roman"/>
                    <w:szCs w:val="21"/>
                  </w:rPr>
                  <w:t>/</w:t>
                </w:r>
              </w:p>
            </w:tc>
          </w:tr>
        </w:tbl>
        <w:p>
          <w:pPr>
            <w:spacing w:beforeLines="50"/>
            <w:ind w:firstLine="420" w:firstLineChars="200"/>
            <w:rPr>
              <w:rFonts w:ascii="Times New Roman" w:hAnsi="Times New Roman" w:cs="Times New Roman"/>
            </w:rPr>
          </w:pPr>
          <w:r>
            <w:rPr>
              <w:rFonts w:ascii="Times New Roman" w:cs="Times New Roman"/>
            </w:rPr>
            <w:t>说明：唐鹏于</w:t>
          </w:r>
          <w:r>
            <w:rPr>
              <w:rFonts w:ascii="Times New Roman" w:hAnsi="Times New Roman" w:cs="Times New Roman"/>
            </w:rPr>
            <w:t>2021</w:t>
          </w:r>
          <w:r>
            <w:rPr>
              <w:rFonts w:ascii="Times New Roman" w:cs="Times New Roman"/>
            </w:rPr>
            <w:t>年</w:t>
          </w:r>
          <w:r>
            <w:rPr>
              <w:rFonts w:ascii="Times New Roman" w:hAnsi="Times New Roman" w:cs="Times New Roman"/>
            </w:rPr>
            <w:t>7</w:t>
          </w:r>
          <w:r>
            <w:rPr>
              <w:rFonts w:ascii="Times New Roman" w:cs="Times New Roman"/>
            </w:rPr>
            <w:t>月</w:t>
          </w:r>
          <w:r>
            <w:rPr>
              <w:rFonts w:ascii="Times New Roman" w:hAnsi="Times New Roman" w:cs="Times New Roman"/>
            </w:rPr>
            <w:t>16</w:t>
          </w:r>
          <w:r>
            <w:rPr>
              <w:rFonts w:ascii="Times New Roman" w:cs="Times New Roman"/>
            </w:rPr>
            <w:t>日起担任公司职工董事，自任职工董事起至年末期间未持有公司股份。</w:t>
          </w:r>
        </w:p>
        <w:p>
          <w:pPr>
            <w:rPr>
              <w:szCs w:val="21"/>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25b90cb0c248978acb54a7f361f6a2"/>
                <w:id w:val="865722661"/>
                <w:lock w:val="sdtLocked"/>
              </w:sdtPr>
              <w:sdtContent>
                <w:tc>
                  <w:tcPr>
                    <w:tcW w:w="1242" w:type="dxa"/>
                    <w:vAlign w:val="center"/>
                  </w:tcPr>
                  <w:p>
                    <w:pPr>
                      <w:widowControl w:val="0"/>
                      <w:jc w:val="center"/>
                      <w:rPr>
                        <w:szCs w:val="21"/>
                      </w:rPr>
                    </w:pPr>
                    <w:r>
                      <w:rPr>
                        <w:rFonts w:hint="eastAsia"/>
                        <w:szCs w:val="21"/>
                      </w:rPr>
                      <w:t>姓名</w:t>
                    </w:r>
                  </w:p>
                </w:tc>
              </w:sdtContent>
            </w:sdt>
            <w:sdt>
              <w:sdtPr>
                <w:tag w:val="_PLD_61b466aae87d4dac813a38c2c8e6a492"/>
                <w:id w:val="865722662"/>
                <w:lock w:val="sdtLocked"/>
              </w:sdtPr>
              <w:sdtContent>
                <w:tc>
                  <w:tcPr>
                    <w:tcW w:w="12847" w:type="dxa"/>
                    <w:vAlign w:val="center"/>
                  </w:tcPr>
                  <w:p>
                    <w:pPr>
                      <w:widowControl w:val="0"/>
                      <w:jc w:val="center"/>
                      <w:rPr>
                        <w:szCs w:val="21"/>
                      </w:rPr>
                    </w:pPr>
                    <w:r>
                      <w:rPr>
                        <w:szCs w:val="21"/>
                      </w:rPr>
                      <w:t>主要工作经历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林钻煌</w:t>
                </w:r>
              </w:p>
            </w:tc>
            <w:tc>
              <w:tcPr>
                <w:tcW w:w="12847" w:type="dxa"/>
                <w:vAlign w:val="center"/>
              </w:tcPr>
              <w:p>
                <w:pPr>
                  <w:widowControl w:val="0"/>
                  <w:jc w:val="both"/>
                  <w:rPr>
                    <w:szCs w:val="21"/>
                  </w:rPr>
                </w:pPr>
                <w:r>
                  <w:t>博士，高级工程师。曾任公司董事、总裁、广西两面针亿康药业股份有限公司的董事长。现任公司党委书记、董事长，兼任安徽两面针·芳草日化有限公司董事长、两面针（江苏）实业有限公司董事长。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吴</w:t>
                </w:r>
                <w:r>
                  <w:rPr>
                    <w:rFonts w:hint="eastAsia"/>
                    <w:szCs w:val="21"/>
                    <w:lang w:val="en-US" w:eastAsia="zh-CN"/>
                  </w:rPr>
                  <w:t xml:space="preserve">  </w:t>
                </w:r>
                <w:r>
                  <w:rPr>
                    <w:szCs w:val="21"/>
                  </w:rPr>
                  <w:t>堃</w:t>
                </w:r>
              </w:p>
            </w:tc>
            <w:tc>
              <w:tcPr>
                <w:tcW w:w="12847" w:type="dxa"/>
                <w:vAlign w:val="center"/>
              </w:tcPr>
              <w:p>
                <w:pPr>
                  <w:widowControl w:val="0"/>
                  <w:jc w:val="both"/>
                  <w:rPr>
                    <w:szCs w:val="21"/>
                  </w:rPr>
                </w:pPr>
                <w:r>
                  <w:t>博士，高级经济师</w:t>
                </w:r>
                <w:r>
                  <w:rPr>
                    <w:rFonts w:hint="eastAsia"/>
                  </w:rPr>
                  <w:t>，高级职业经理人</w:t>
                </w:r>
                <w:r>
                  <w:t>。曾任公司董事、副总裁，安徽两面针·芳草日化有限公司董事长、两面针（江苏）实业有限公司董事长、盐城捷康三氯蔗糖制造有限公司董事长、柳州两面针房地产开发有限公司董事长。现任公司</w:t>
                </w:r>
                <w:r>
                  <w:rPr>
                    <w:rFonts w:hint="eastAsia"/>
                  </w:rPr>
                  <w:t>党委副书记、</w:t>
                </w:r>
                <w:r>
                  <w:t>董事、总裁。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王为民</w:t>
                </w:r>
              </w:p>
            </w:tc>
            <w:tc>
              <w:tcPr>
                <w:tcW w:w="12847" w:type="dxa"/>
                <w:vAlign w:val="center"/>
              </w:tcPr>
              <w:p>
                <w:pPr>
                  <w:widowControl w:val="0"/>
                  <w:jc w:val="both"/>
                  <w:rPr>
                    <w:szCs w:val="21"/>
                  </w:rPr>
                </w:pPr>
                <w:r>
                  <w:t>本科，会计师。曾任公司董事、副总裁、董事会秘书，柳州两面针房地产开发有限公司董事长、盐城捷康三氯蔗糖制造有限公司董事长。现任公司董事、副总裁、财务总监。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莫善军</w:t>
                </w:r>
              </w:p>
            </w:tc>
            <w:tc>
              <w:tcPr>
                <w:tcW w:w="12847" w:type="dxa"/>
                <w:vAlign w:val="center"/>
              </w:tcPr>
              <w:p>
                <w:pPr>
                  <w:widowControl w:val="0"/>
                  <w:jc w:val="both"/>
                  <w:rPr>
                    <w:szCs w:val="21"/>
                  </w:rPr>
                </w:pPr>
                <w:r>
                  <w:t>研究生，会计师。曾任公司董事、副总裁、董事会秘书、财务总监。现任公司董事、副总裁、广西两面针亿康药业股份有限公司的董事长。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龚慧泉</w:t>
                </w:r>
              </w:p>
            </w:tc>
            <w:tc>
              <w:tcPr>
                <w:tcW w:w="12847" w:type="dxa"/>
                <w:vAlign w:val="center"/>
              </w:tcPr>
              <w:p>
                <w:pPr>
                  <w:widowControl w:val="0"/>
                  <w:jc w:val="both"/>
                  <w:rPr>
                    <w:szCs w:val="21"/>
                  </w:rPr>
                </w:pPr>
                <w:r>
                  <w:t>研究生，经济师。现任公司董事，广西柳州市产业投资发展集团有限公司</w:t>
                </w:r>
                <w:r>
                  <w:rPr>
                    <w:rFonts w:hint="eastAsia"/>
                  </w:rPr>
                  <w:t>党委委员、董事、</w:t>
                </w:r>
                <w:r>
                  <w:t>副总经理，柳州市元成金属制品有限公司执行董事，柳州桂中海迅物流股份有限公司副董事长。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rFonts w:hint="eastAsia"/>
                    <w:szCs w:val="21"/>
                  </w:rPr>
                  <w:t>唐</w:t>
                </w:r>
                <w:r>
                  <w:rPr>
                    <w:rFonts w:hint="eastAsia"/>
                    <w:szCs w:val="21"/>
                    <w:lang w:val="en-US" w:eastAsia="zh-CN"/>
                  </w:rPr>
                  <w:t xml:space="preserve">  </w:t>
                </w:r>
                <w:r>
                  <w:rPr>
                    <w:rFonts w:hint="eastAsia"/>
                    <w:szCs w:val="21"/>
                  </w:rPr>
                  <w:t>鹏</w:t>
                </w:r>
              </w:p>
            </w:tc>
            <w:tc>
              <w:tcPr>
                <w:tcW w:w="12847" w:type="dxa"/>
                <w:vAlign w:val="center"/>
              </w:tcPr>
              <w:p>
                <w:pPr>
                  <w:widowControl w:val="0"/>
                  <w:jc w:val="both"/>
                  <w:rPr>
                    <w:szCs w:val="21"/>
                  </w:rPr>
                </w:pPr>
                <w:r>
                  <w:rPr>
                    <w:rFonts w:hint="eastAsia"/>
                    <w:szCs w:val="21"/>
                  </w:rPr>
                  <w:t>大专，助理工程师。曾任公司督察审计部副部长、计划财务部副部长、日化部行政人事部经理、战略规划部副部长，柳州两面针纸业有限公司企管部副部长。现任公司职工董事、战略规划部部长、洗化业务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张重义</w:t>
                </w:r>
              </w:p>
            </w:tc>
            <w:tc>
              <w:tcPr>
                <w:tcW w:w="12847" w:type="dxa"/>
                <w:vAlign w:val="center"/>
              </w:tcPr>
              <w:p>
                <w:pPr>
                  <w:widowControl w:val="0"/>
                  <w:jc w:val="both"/>
                  <w:rPr>
                    <w:szCs w:val="21"/>
                  </w:rPr>
                </w:pPr>
                <w:r>
                  <w:rPr>
                    <w:rFonts w:hint="eastAsia"/>
                  </w:rPr>
                  <w:t>博士，福建农林大学农学院教授，博士生导师，福建省“闽江学者”特聘教授，现任国家中药材产业技术体系福州综合试验站站长，兼任中国自然资源学会天然药物资源专业委员会副主任委员、中国生态学会中药资源生态学专业委员会副主任委员和国家药品监督管理局药品评审中心外聘专家等。现任公司独立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余</w:t>
                </w:r>
                <w:r>
                  <w:rPr>
                    <w:rFonts w:hint="eastAsia"/>
                    <w:szCs w:val="21"/>
                    <w:lang w:val="en-US" w:eastAsia="zh-CN"/>
                  </w:rPr>
                  <w:t xml:space="preserve">  </w:t>
                </w:r>
                <w:r>
                  <w:rPr>
                    <w:szCs w:val="21"/>
                  </w:rPr>
                  <w:t>兵</w:t>
                </w:r>
              </w:p>
            </w:tc>
            <w:tc>
              <w:tcPr>
                <w:tcW w:w="12847" w:type="dxa"/>
                <w:vAlign w:val="center"/>
              </w:tcPr>
              <w:p>
                <w:pPr>
                  <w:widowControl w:val="0"/>
                  <w:jc w:val="both"/>
                  <w:rPr>
                    <w:szCs w:val="21"/>
                  </w:rPr>
                </w:pPr>
                <w:r>
                  <w:t>本科，注册会计师。曾任中磊会计师事务所广西分所高级经理，大信会计师事务所广西分所高级经理，现任本公司独立董事，中兴华会计师事务所（特殊普通合伙）广西分所副所长。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魏</w:t>
                </w:r>
                <w:r>
                  <w:rPr>
                    <w:rFonts w:hint="eastAsia"/>
                    <w:szCs w:val="21"/>
                    <w:lang w:val="en-US" w:eastAsia="zh-CN"/>
                  </w:rPr>
                  <w:t xml:space="preserve">  </w:t>
                </w:r>
                <w:r>
                  <w:rPr>
                    <w:szCs w:val="21"/>
                  </w:rPr>
                  <w:t>佳</w:t>
                </w:r>
              </w:p>
            </w:tc>
            <w:tc>
              <w:tcPr>
                <w:tcW w:w="12847" w:type="dxa"/>
                <w:vAlign w:val="center"/>
              </w:tcPr>
              <w:p>
                <w:pPr>
                  <w:widowControl w:val="0"/>
                  <w:jc w:val="both"/>
                  <w:rPr>
                    <w:szCs w:val="21"/>
                  </w:rPr>
                </w:pPr>
                <w:r>
                  <w:t>法学博士后，法学教授、执业律师。现任本公司独立董事，广西财经学院教授，广西桂盈律师事务所律师，广西经济法学研究会副会长，广西建筑法学研究会副会长。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牟</w:t>
                </w:r>
                <w:r>
                  <w:rPr>
                    <w:rFonts w:hint="eastAsia"/>
                    <w:szCs w:val="21"/>
                    <w:lang w:val="en-US" w:eastAsia="zh-CN"/>
                  </w:rPr>
                  <w:t xml:space="preserve">  </w:t>
                </w:r>
                <w:r>
                  <w:rPr>
                    <w:szCs w:val="21"/>
                  </w:rPr>
                  <w:t>创</w:t>
                </w:r>
              </w:p>
            </w:tc>
            <w:tc>
              <w:tcPr>
                <w:tcW w:w="12847" w:type="dxa"/>
                <w:vAlign w:val="center"/>
              </w:tcPr>
              <w:p>
                <w:pPr>
                  <w:widowControl w:val="0"/>
                  <w:jc w:val="both"/>
                  <w:rPr>
                    <w:szCs w:val="21"/>
                  </w:rPr>
                </w:pPr>
                <w:r>
                  <w:t>硕士研究生，高级经济师</w:t>
                </w:r>
                <w:r>
                  <w:rPr>
                    <w:rFonts w:hint="eastAsia"/>
                  </w:rPr>
                  <w:t>。</w:t>
                </w:r>
                <w:r>
                  <w:t>曾任柳州市阳和工业新区管理委员会副主任、党工委委员。现任本公司监事会主席，广西柳州市产业投资发展集团有限公司</w:t>
                </w:r>
                <w:r>
                  <w:rPr>
                    <w:rFonts w:hint="eastAsia"/>
                  </w:rPr>
                  <w:t>党委委员、董事、</w:t>
                </w:r>
                <w:r>
                  <w:t>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莫瑞珖</w:t>
                </w:r>
              </w:p>
            </w:tc>
            <w:tc>
              <w:tcPr>
                <w:tcW w:w="12847" w:type="dxa"/>
                <w:vAlign w:val="center"/>
              </w:tcPr>
              <w:p>
                <w:pPr>
                  <w:widowControl w:val="0"/>
                  <w:jc w:val="both"/>
                  <w:rPr>
                    <w:szCs w:val="21"/>
                  </w:rPr>
                </w:pPr>
                <w:r>
                  <w:rPr>
                    <w:rFonts w:hint="eastAsia"/>
                  </w:rPr>
                  <w:t>研究生，工程师、经济师。</w:t>
                </w:r>
                <w:r>
                  <w:t>曾任公司战略规划部项目主办、经理助理、副部长、公司战略规划部部长。现任公司监事</w:t>
                </w:r>
                <w:r>
                  <w:rPr>
                    <w:rFonts w:hint="eastAsia"/>
                  </w:rPr>
                  <w:t>、市场部部长。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雷</w:t>
                </w:r>
                <w:r>
                  <w:rPr>
                    <w:rFonts w:hint="eastAsia"/>
                    <w:szCs w:val="21"/>
                    <w:lang w:val="en-US" w:eastAsia="zh-CN"/>
                  </w:rPr>
                  <w:t xml:space="preserve">  </w:t>
                </w:r>
                <w:r>
                  <w:rPr>
                    <w:szCs w:val="21"/>
                  </w:rPr>
                  <w:t>讯</w:t>
                </w:r>
              </w:p>
            </w:tc>
            <w:tc>
              <w:tcPr>
                <w:tcW w:w="12847" w:type="dxa"/>
                <w:vAlign w:val="center"/>
              </w:tcPr>
              <w:p>
                <w:pPr>
                  <w:widowControl w:val="0"/>
                  <w:jc w:val="both"/>
                  <w:rPr>
                    <w:szCs w:val="21"/>
                  </w:rPr>
                </w:pPr>
                <w:r>
                  <w:rPr>
                    <w:rFonts w:hint="eastAsia"/>
                  </w:rPr>
                  <w:t>本科，助理工程师。</w:t>
                </w:r>
                <w:r>
                  <w:t>曾任公司总裁助理，战略规划部总监助理、经理，安徽两面针·芳草日化有限公司总经理。现任公司职工监事、工会副主席。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叶建平</w:t>
                </w:r>
              </w:p>
            </w:tc>
            <w:tc>
              <w:tcPr>
                <w:tcW w:w="12847" w:type="dxa"/>
                <w:vAlign w:val="center"/>
              </w:tcPr>
              <w:p>
                <w:pPr>
                  <w:widowControl w:val="0"/>
                  <w:jc w:val="both"/>
                  <w:rPr>
                    <w:szCs w:val="21"/>
                  </w:rPr>
                </w:pPr>
                <w:r>
                  <w:rPr>
                    <w:rFonts w:hint="eastAsia"/>
                  </w:rPr>
                  <w:t>本科，</w:t>
                </w:r>
                <w:r>
                  <w:t>工程师，经济师。曾任公司助理总裁，柳州惠好卫生用品有限公司总经理，口腔事业部总经理。现任公司副总裁、柳州两面针纸品有限公司董事长、柳州两面针纸业有限公司董事长、柳州惠好卫生用品有限公司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杨</w:t>
                </w:r>
                <w:r>
                  <w:rPr>
                    <w:rFonts w:hint="eastAsia"/>
                    <w:szCs w:val="21"/>
                    <w:lang w:val="en-US" w:eastAsia="zh-CN"/>
                  </w:rPr>
                  <w:t xml:space="preserve">  </w:t>
                </w:r>
                <w:r>
                  <w:rPr>
                    <w:szCs w:val="21"/>
                  </w:rPr>
                  <w:t>玲</w:t>
                </w:r>
              </w:p>
            </w:tc>
            <w:tc>
              <w:tcPr>
                <w:tcW w:w="12847" w:type="dxa"/>
                <w:vAlign w:val="center"/>
              </w:tcPr>
              <w:p>
                <w:pPr>
                  <w:widowControl w:val="0"/>
                  <w:jc w:val="both"/>
                  <w:rPr>
                    <w:szCs w:val="21"/>
                  </w:rPr>
                </w:pPr>
                <w:r>
                  <w:rPr>
                    <w:rFonts w:hint="eastAsia"/>
                  </w:rPr>
                  <w:t>本科</w:t>
                </w:r>
                <w:r>
                  <w:t>，助理记者、高级企业文化师。曾任柳州日报社记者、编辑，两面针公司办公室副主任、董事会办公室主任、党委委员、纪检监察室主任、党委工作部部长、纪委副书记、企业文化建设办公室主任、房开公司副总经理，柳州农工商有限责任公司党委副书记、纪委书记。现任公司副总裁</w:t>
                </w:r>
                <w:r>
                  <w:rPr>
                    <w:rFonts w:hint="eastAsia"/>
                  </w:rPr>
                  <w:t>，兼任柳州两面针进出口贸易有限公司执行董事。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tabs>
                    <w:tab w:val="left" w:pos="734"/>
                  </w:tabs>
                  <w:jc w:val="center"/>
                  <w:rPr>
                    <w:szCs w:val="21"/>
                  </w:rPr>
                </w:pPr>
                <w:r>
                  <w:rPr>
                    <w:szCs w:val="21"/>
                  </w:rPr>
                  <w:t>韦元贤</w:t>
                </w:r>
              </w:p>
            </w:tc>
            <w:tc>
              <w:tcPr>
                <w:tcW w:w="12847" w:type="dxa"/>
              </w:tcPr>
              <w:p>
                <w:pPr>
                  <w:widowControl w:val="0"/>
                  <w:jc w:val="both"/>
                  <w:rPr>
                    <w:szCs w:val="21"/>
                  </w:rPr>
                </w:pPr>
                <w:r>
                  <w:t>本科，工程师、审计师，持有国家法律职业资格证书、上海证券交易所董事会秘书资格证书。曾任公司技术员，销售业务员，法务主管，督察审计部副部长、部长，公司证券事务代表。现任公司董事会秘书。</w:t>
                </w:r>
              </w:p>
            </w:tc>
          </w:tr>
        </w:tbl>
        <w:p/>
        <w:p>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86572266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47"/>
    <w:p>
      <w:pPr>
        <w:rPr>
          <w:szCs w:val="21"/>
        </w:rPr>
      </w:pPr>
    </w:p>
    <w:p>
      <w:pPr>
        <w:rPr>
          <w:szCs w:val="21"/>
        </w:rPr>
        <w:sectPr>
          <w:pgSz w:w="16838" w:h="11906" w:orient="landscape"/>
          <w:pgMar w:top="1797" w:right="1525" w:bottom="1276" w:left="1440" w:header="855" w:footer="992" w:gutter="0"/>
          <w:cols w:space="425" w:num="1"/>
          <w:docGrid w:linePitch="312" w:charSpace="0"/>
        </w:sectPr>
      </w:pPr>
    </w:p>
    <w:p>
      <w:pPr>
        <w:pStyle w:val="4"/>
        <w:numPr>
          <w:ilvl w:val="0"/>
          <w:numId w:val="22"/>
        </w:numPr>
        <w:ind w:left="0" w:firstLine="0"/>
      </w:pPr>
      <w:r>
        <w:rPr>
          <w:rFonts w:hint="eastAsia"/>
        </w:rPr>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865722678"/>
        <w:lock w:val="sdtLocked"/>
        <w:placeholder>
          <w:docPart w:val="GBC22222222222222222222222222222"/>
        </w:placeholder>
      </w:sdtPr>
      <w:sdtEndPr>
        <w:rPr>
          <w:rFonts w:ascii="宋体" w:hAnsi="宋体" w:cs="宋体"/>
          <w:b w:val="0"/>
          <w:bCs w:val="0"/>
          <w:kern w:val="0"/>
          <w:szCs w:val="21"/>
        </w:rPr>
      </w:sdtEndPr>
      <w:sdtContent>
        <w:p>
          <w:pPr>
            <w:pStyle w:val="55"/>
            <w:numPr>
              <w:ilvl w:val="0"/>
              <w:numId w:val="23"/>
            </w:numPr>
            <w:ind w:firstLineChars="0"/>
            <w:rPr>
              <w:b/>
              <w:bCs/>
            </w:rPr>
          </w:pPr>
          <w:r>
            <w:rPr>
              <w:b/>
              <w:bCs/>
            </w:rPr>
            <w:t>在股东单位任职情况</w:t>
          </w:r>
        </w:p>
        <w:sdt>
          <w:sdtPr>
            <w:rPr>
              <w:szCs w:val="21"/>
            </w:rPr>
            <w:alias w:val="是否适用：在股东单位任职情况[双击切换]"/>
            <w:tag w:val="_GBC_c450b54d9ea443cf85cc614c8528526b"/>
            <w:id w:val="86572266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2287"/>
            <w:gridCol w:w="1802"/>
            <w:gridCol w:w="1638"/>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rPr>
                  <w:rFonts w:ascii="Times New Roman" w:hAnsi="Times New Roman" w:cs="Times New Roman"/>
                </w:rPr>
                <w:tag w:val="_PLD_11f45a37b8cb4cfd8d25787f0979b6e9"/>
                <w:id w:val="865722666"/>
                <w:lock w:val="sdtLocked"/>
              </w:sdtPr>
              <w:sdtEndPr>
                <w:rPr>
                  <w:rFonts w:ascii="Times New Roman" w:hAnsi="Times New Roman" w:cs="Times New Roman"/>
                </w:rPr>
              </w:sdtEndPr>
              <w:sdtContent>
                <w:tc>
                  <w:tcPr>
                    <w:tcW w:w="1782" w:type="dxa"/>
                    <w:vAlign w:val="center"/>
                  </w:tcPr>
                  <w:p>
                    <w:pPr>
                      <w:widowControl w:val="0"/>
                      <w:jc w:val="center"/>
                      <w:rPr>
                        <w:rFonts w:ascii="Times New Roman" w:hAnsi="Times New Roman" w:cs="Times New Roman"/>
                        <w:szCs w:val="21"/>
                      </w:rPr>
                    </w:pPr>
                    <w:r>
                      <w:rPr>
                        <w:rFonts w:ascii="Times New Roman" w:cs="Times New Roman"/>
                        <w:szCs w:val="21"/>
                      </w:rPr>
                      <w:t>任职人员姓名</w:t>
                    </w:r>
                  </w:p>
                </w:tc>
              </w:sdtContent>
            </w:sdt>
            <w:sdt>
              <w:sdtPr>
                <w:rPr>
                  <w:rFonts w:ascii="Times New Roman" w:hAnsi="Times New Roman" w:cs="Times New Roman"/>
                </w:rPr>
                <w:tag w:val="_PLD_174ff645994f420ea5626aa7d6f5ddb5"/>
                <w:id w:val="865722667"/>
                <w:lock w:val="sdtLocked"/>
              </w:sdtPr>
              <w:sdtEndPr>
                <w:rPr>
                  <w:rFonts w:ascii="Times New Roman" w:hAnsi="Times New Roman" w:cs="Times New Roman"/>
                </w:rPr>
              </w:sdtEndPr>
              <w:sdtContent>
                <w:tc>
                  <w:tcPr>
                    <w:tcW w:w="2287" w:type="dxa"/>
                    <w:vAlign w:val="center"/>
                  </w:tcPr>
                  <w:p>
                    <w:pPr>
                      <w:widowControl w:val="0"/>
                      <w:jc w:val="center"/>
                      <w:rPr>
                        <w:rFonts w:ascii="Times New Roman" w:hAnsi="Times New Roman" w:cs="Times New Roman"/>
                        <w:szCs w:val="21"/>
                      </w:rPr>
                    </w:pPr>
                    <w:r>
                      <w:rPr>
                        <w:rFonts w:ascii="Times New Roman" w:cs="Times New Roman"/>
                        <w:szCs w:val="21"/>
                      </w:rPr>
                      <w:t>股东单位名称</w:t>
                    </w:r>
                  </w:p>
                </w:tc>
              </w:sdtContent>
            </w:sdt>
            <w:sdt>
              <w:sdtPr>
                <w:rPr>
                  <w:rFonts w:ascii="Times New Roman" w:hAnsi="Times New Roman" w:cs="Times New Roman"/>
                </w:rPr>
                <w:tag w:val="_PLD_c5b9ccac06314dc19400d1f75f51ed76"/>
                <w:id w:val="865722668"/>
                <w:lock w:val="sdtLocked"/>
              </w:sdtPr>
              <w:sdtEndPr>
                <w:rPr>
                  <w:rFonts w:ascii="Times New Roman" w:hAnsi="Times New Roman" w:cs="Times New Roman"/>
                </w:rPr>
              </w:sdtEndPr>
              <w:sdtContent>
                <w:tc>
                  <w:tcPr>
                    <w:tcW w:w="1802" w:type="dxa"/>
                    <w:vAlign w:val="center"/>
                  </w:tcPr>
                  <w:p>
                    <w:pPr>
                      <w:widowControl w:val="0"/>
                      <w:jc w:val="center"/>
                      <w:rPr>
                        <w:rFonts w:ascii="Times New Roman" w:hAnsi="Times New Roman" w:cs="Times New Roman"/>
                        <w:szCs w:val="21"/>
                      </w:rPr>
                    </w:pPr>
                    <w:r>
                      <w:rPr>
                        <w:rFonts w:ascii="Times New Roman" w:cs="Times New Roman"/>
                        <w:szCs w:val="21"/>
                      </w:rPr>
                      <w:t>在股东单位担任的职务</w:t>
                    </w:r>
                  </w:p>
                </w:tc>
              </w:sdtContent>
            </w:sdt>
            <w:sdt>
              <w:sdtPr>
                <w:rPr>
                  <w:rFonts w:ascii="Times New Roman" w:hAnsi="Times New Roman" w:cs="Times New Roman"/>
                </w:rPr>
                <w:tag w:val="_PLD_6d359bac7e194427adef03e3d072f875"/>
                <w:id w:val="865722669"/>
                <w:lock w:val="sdtLocked"/>
              </w:sdtPr>
              <w:sdtEndPr>
                <w:rPr>
                  <w:rFonts w:ascii="Times New Roman" w:hAnsi="Times New Roman" w:cs="Times New Roman"/>
                </w:rPr>
              </w:sdtEndPr>
              <w:sdtContent>
                <w:tc>
                  <w:tcPr>
                    <w:tcW w:w="1638" w:type="dxa"/>
                    <w:vAlign w:val="center"/>
                  </w:tcPr>
                  <w:p>
                    <w:pPr>
                      <w:widowControl w:val="0"/>
                      <w:jc w:val="center"/>
                      <w:rPr>
                        <w:rFonts w:ascii="Times New Roman" w:hAnsi="Times New Roman" w:cs="Times New Roman"/>
                        <w:szCs w:val="21"/>
                      </w:rPr>
                    </w:pPr>
                    <w:r>
                      <w:rPr>
                        <w:rFonts w:ascii="Times New Roman" w:cs="Times New Roman"/>
                        <w:szCs w:val="21"/>
                      </w:rPr>
                      <w:t>任期起始日期</w:t>
                    </w:r>
                  </w:p>
                </w:tc>
              </w:sdtContent>
            </w:sdt>
            <w:sdt>
              <w:sdtPr>
                <w:rPr>
                  <w:rFonts w:ascii="Times New Roman" w:hAnsi="Times New Roman" w:cs="Times New Roman"/>
                </w:rPr>
                <w:tag w:val="_PLD_ba28085d64d240089bfcbff8c64cf230"/>
                <w:id w:val="865722670"/>
                <w:lock w:val="sdtLocked"/>
              </w:sdtPr>
              <w:sdtEndPr>
                <w:rPr>
                  <w:rFonts w:ascii="Times New Roman" w:hAnsi="Times New Roman" w:cs="Times New Roman"/>
                </w:rPr>
              </w:sdtEndPr>
              <w:sdtContent>
                <w:tc>
                  <w:tcPr>
                    <w:tcW w:w="1540" w:type="dxa"/>
                    <w:vAlign w:val="center"/>
                  </w:tcPr>
                  <w:p>
                    <w:pPr>
                      <w:widowControl w:val="0"/>
                      <w:jc w:val="center"/>
                      <w:rPr>
                        <w:rFonts w:ascii="Times New Roman" w:hAnsi="Times New Roman" w:cs="Times New Roman"/>
                        <w:szCs w:val="21"/>
                      </w:rPr>
                    </w:pPr>
                    <w:r>
                      <w:rPr>
                        <w:rFonts w:ascii="Times New Roman" w:cs="Times New Roman"/>
                        <w:szCs w:val="21"/>
                      </w:rPr>
                      <w:t>任期终止日期</w:t>
                    </w:r>
                  </w:p>
                </w:tc>
              </w:sdtContent>
            </w:sdt>
          </w:tr>
          <w:sdt>
            <w:sdtPr>
              <w:rPr>
                <w:rFonts w:ascii="Times New Roman" w:hAnsi="Times New Roman" w:cs="Times New Roman" w:eastAsiaTheme="minorEastAsia"/>
                <w:kern w:val="2"/>
                <w:szCs w:val="21"/>
              </w:rPr>
              <w:alias w:val="董事、监事、高级管理人员在股东单位任职情况"/>
              <w:tag w:val="_TUP_6fadbebda8f14f00acfb087a1f629834"/>
              <w:id w:val="865722671"/>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82" w:type="dxa"/>
                    <w:vAlign w:val="center"/>
                  </w:tcPr>
                  <w:p>
                    <w:pPr>
                      <w:widowControl w:val="0"/>
                      <w:jc w:val="center"/>
                      <w:rPr>
                        <w:rFonts w:ascii="Times New Roman" w:hAnsi="Times New Roman" w:cs="Times New Roman"/>
                        <w:szCs w:val="21"/>
                      </w:rPr>
                    </w:pPr>
                    <w:r>
                      <w:rPr>
                        <w:rFonts w:ascii="Times New Roman" w:cs="Times New Roman"/>
                      </w:rPr>
                      <w:t>龚慧泉</w:t>
                    </w:r>
                  </w:p>
                </w:tc>
                <w:tc>
                  <w:tcPr>
                    <w:tcW w:w="2287" w:type="dxa"/>
                    <w:vAlign w:val="center"/>
                  </w:tcPr>
                  <w:p>
                    <w:pPr>
                      <w:widowControl w:val="0"/>
                      <w:jc w:val="center"/>
                      <w:rPr>
                        <w:rFonts w:ascii="Times New Roman" w:hAnsi="Times New Roman" w:cs="Times New Roman"/>
                        <w:szCs w:val="21"/>
                      </w:rPr>
                    </w:pPr>
                    <w:r>
                      <w:rPr>
                        <w:rFonts w:ascii="Times New Roman" w:cs="Times New Roman"/>
                      </w:rPr>
                      <w:t>广西柳州市产业投资发展集团有限公司</w:t>
                    </w:r>
                  </w:p>
                </w:tc>
                <w:tc>
                  <w:tcPr>
                    <w:tcW w:w="1802" w:type="dxa"/>
                    <w:vAlign w:val="center"/>
                  </w:tcPr>
                  <w:p>
                    <w:pPr>
                      <w:widowControl w:val="0"/>
                      <w:jc w:val="center"/>
                      <w:rPr>
                        <w:rFonts w:ascii="Times New Roman" w:hAnsi="Times New Roman" w:cs="Times New Roman"/>
                        <w:szCs w:val="21"/>
                      </w:rPr>
                    </w:pPr>
                    <w:r>
                      <w:rPr>
                        <w:rFonts w:ascii="Times New Roman" w:cs="Times New Roman"/>
                      </w:rPr>
                      <w:t>副总经理</w:t>
                    </w:r>
                  </w:p>
                </w:tc>
                <w:tc>
                  <w:tcPr>
                    <w:tcW w:w="1638" w:type="dxa"/>
                    <w:vAlign w:val="center"/>
                  </w:tcPr>
                  <w:p>
                    <w:pPr>
                      <w:widowControl w:val="0"/>
                      <w:jc w:val="center"/>
                      <w:rPr>
                        <w:rFonts w:ascii="Times New Roman" w:hAnsi="Times New Roman" w:cs="Times New Roman"/>
                        <w:szCs w:val="21"/>
                      </w:rPr>
                    </w:pPr>
                    <w:r>
                      <w:rPr>
                        <w:rFonts w:ascii="Times New Roman" w:hAnsi="Times New Roman" w:cs="Times New Roman"/>
                      </w:rPr>
                      <w:t>2017</w:t>
                    </w:r>
                    <w:r>
                      <w:rPr>
                        <w:rFonts w:ascii="Times New Roman" w:cs="Times New Roman"/>
                      </w:rPr>
                      <w:t>年</w:t>
                    </w:r>
                    <w:r>
                      <w:rPr>
                        <w:rFonts w:ascii="Times New Roman" w:hAnsi="Times New Roman" w:cs="Times New Roman"/>
                      </w:rPr>
                      <w:t>10</w:t>
                    </w:r>
                    <w:r>
                      <w:rPr>
                        <w:rFonts w:ascii="Times New Roman" w:cs="Times New Roman"/>
                      </w:rPr>
                      <w:t>月</w:t>
                    </w:r>
                  </w:p>
                </w:tc>
                <w:tc>
                  <w:tcPr>
                    <w:tcW w:w="1540" w:type="dxa"/>
                    <w:vAlign w:val="center"/>
                  </w:tcPr>
                  <w:p>
                    <w:pPr>
                      <w:widowControl w:val="0"/>
                      <w:jc w:val="center"/>
                      <w:rPr>
                        <w:rFonts w:ascii="Times New Roman" w:hAnsi="Times New Roman" w:cs="Times New Roman"/>
                        <w:szCs w:val="21"/>
                      </w:rPr>
                    </w:pPr>
                    <w:r>
                      <w:rPr>
                        <w:rFonts w:hint="eastAsia"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股东单位任职情况"/>
              <w:tag w:val="_TUP_6fadbebda8f14f00acfb087a1f629834"/>
              <w:id w:val="865722672"/>
              <w:lock w:val="sdtLocked"/>
            </w:sdtPr>
            <w:sdtEndPr>
              <w:rPr>
                <w:rFonts w:ascii="Times New Roman" w:hAnsi="Times New Roman" w:eastAsia="宋体" w:cs="Times New Roman"/>
                <w:kern w:val="0"/>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82" w:type="dxa"/>
                    <w:vAlign w:val="center"/>
                  </w:tcPr>
                  <w:p>
                    <w:pPr>
                      <w:widowControl w:val="0"/>
                      <w:jc w:val="center"/>
                      <w:rPr>
                        <w:rFonts w:ascii="Times New Roman" w:hAnsi="Times New Roman" w:cs="Times New Roman" w:eastAsiaTheme="minorEastAsia"/>
                        <w:kern w:val="2"/>
                        <w:szCs w:val="21"/>
                      </w:rPr>
                    </w:pPr>
                    <w:r>
                      <w:rPr>
                        <w:rFonts w:ascii="Times New Roman" w:cs="Times New Roman" w:hAnsiTheme="minorHAnsi" w:eastAsiaTheme="minorEastAsia"/>
                        <w:kern w:val="2"/>
                        <w:szCs w:val="21"/>
                      </w:rPr>
                      <w:t>龚慧泉</w:t>
                    </w:r>
                  </w:p>
                </w:tc>
                <w:tc>
                  <w:tcPr>
                    <w:tcW w:w="2287" w:type="dxa"/>
                    <w:vAlign w:val="center"/>
                  </w:tcPr>
                  <w:p>
                    <w:pPr>
                      <w:widowControl w:val="0"/>
                      <w:jc w:val="center"/>
                      <w:rPr>
                        <w:rFonts w:ascii="Times New Roman" w:hAnsi="Times New Roman" w:cs="Times New Roman"/>
                      </w:rPr>
                    </w:pPr>
                    <w:r>
                      <w:rPr>
                        <w:rFonts w:ascii="Times New Roman" w:cs="Times New Roman"/>
                      </w:rPr>
                      <w:t>广西柳州市产业投资发展集团有限公司</w:t>
                    </w:r>
                  </w:p>
                </w:tc>
                <w:tc>
                  <w:tcPr>
                    <w:tcW w:w="1802" w:type="dxa"/>
                    <w:vAlign w:val="center"/>
                  </w:tcPr>
                  <w:p>
                    <w:pPr>
                      <w:widowControl w:val="0"/>
                      <w:jc w:val="center"/>
                      <w:rPr>
                        <w:rFonts w:ascii="Times New Roman" w:hAnsi="Times New Roman" w:cs="Times New Roman"/>
                      </w:rPr>
                    </w:pPr>
                    <w:r>
                      <w:rPr>
                        <w:rFonts w:ascii="Times New Roman" w:cs="Times New Roman"/>
                      </w:rPr>
                      <w:t>党委委员</w:t>
                    </w:r>
                  </w:p>
                </w:tc>
                <w:tc>
                  <w:tcPr>
                    <w:tcW w:w="1638" w:type="dxa"/>
                    <w:vAlign w:val="center"/>
                  </w:tcPr>
                  <w:p>
                    <w:pPr>
                      <w:widowControl w:val="0"/>
                      <w:jc w:val="center"/>
                      <w:rPr>
                        <w:rFonts w:ascii="Times New Roman" w:hAnsi="Times New Roman" w:cs="Times New Roman"/>
                      </w:rPr>
                    </w:pPr>
                    <w:r>
                      <w:rPr>
                        <w:rFonts w:ascii="Times New Roman" w:hAnsi="Times New Roman" w:cs="Times New Roman"/>
                      </w:rPr>
                      <w:t>2018</w:t>
                    </w:r>
                    <w:r>
                      <w:rPr>
                        <w:rFonts w:ascii="Times New Roman" w:cs="Times New Roman"/>
                      </w:rPr>
                      <w:t>年</w:t>
                    </w:r>
                    <w:r>
                      <w:rPr>
                        <w:rFonts w:ascii="Times New Roman" w:hAnsi="Times New Roman" w:cs="Times New Roman"/>
                      </w:rPr>
                      <w:t>6</w:t>
                    </w:r>
                    <w:r>
                      <w:rPr>
                        <w:rFonts w:ascii="Times New Roman" w:cs="Times New Roman"/>
                      </w:rPr>
                      <w:t>月</w:t>
                    </w:r>
                  </w:p>
                </w:tc>
                <w:tc>
                  <w:tcPr>
                    <w:tcW w:w="1540" w:type="dxa"/>
                    <w:vAlign w:val="center"/>
                  </w:tcPr>
                  <w:p>
                    <w:pPr>
                      <w:widowControl w:val="0"/>
                      <w:jc w:val="center"/>
                      <w:rPr>
                        <w:rFonts w:ascii="Times New Roman" w:hAnsi="Times New Roman" w:cs="Times New Roman"/>
                      </w:rPr>
                    </w:pPr>
                    <w:r>
                      <w:rPr>
                        <w:rFonts w:hint="eastAsia" w:ascii="Times New Roman" w:hAnsi="Times New Roman" w:cs="Times New Roman"/>
                      </w:rPr>
                      <w:t>-</w:t>
                    </w:r>
                  </w:p>
                </w:tc>
              </w:tr>
            </w:sdtContent>
          </w:sdt>
          <w:sdt>
            <w:sdtPr>
              <w:rPr>
                <w:rFonts w:ascii="Times New Roman" w:hAnsi="Times New Roman" w:cs="Times New Roman" w:eastAsiaTheme="minorEastAsia"/>
                <w:kern w:val="2"/>
                <w:szCs w:val="21"/>
              </w:rPr>
              <w:alias w:val="董事、监事、高级管理人员在股东单位任职情况"/>
              <w:tag w:val="_TUP_6fadbebda8f14f00acfb087a1f629834"/>
              <w:id w:val="865722673"/>
              <w:lock w:val="sdtLocked"/>
            </w:sdtPr>
            <w:sdtEndPr>
              <w:rPr>
                <w:rFonts w:ascii="Times New Roman" w:hAnsi="Times New Roman" w:eastAsia="宋体" w:cs="Times New Roman"/>
                <w:kern w:val="0"/>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82" w:type="dxa"/>
                    <w:vAlign w:val="center"/>
                  </w:tcPr>
                  <w:p>
                    <w:pPr>
                      <w:widowControl w:val="0"/>
                      <w:jc w:val="center"/>
                      <w:rPr>
                        <w:rFonts w:ascii="Times New Roman" w:hAnsi="Times New Roman" w:cs="Times New Roman" w:eastAsiaTheme="minorEastAsia"/>
                        <w:kern w:val="2"/>
                        <w:szCs w:val="21"/>
                      </w:rPr>
                    </w:pPr>
                    <w:r>
                      <w:rPr>
                        <w:rFonts w:ascii="Times New Roman" w:cs="Times New Roman" w:hAnsiTheme="minorHAnsi" w:eastAsiaTheme="minorEastAsia"/>
                        <w:kern w:val="2"/>
                        <w:szCs w:val="21"/>
                      </w:rPr>
                      <w:t>龚慧泉</w:t>
                    </w:r>
                  </w:p>
                </w:tc>
                <w:tc>
                  <w:tcPr>
                    <w:tcW w:w="2287" w:type="dxa"/>
                    <w:vAlign w:val="center"/>
                  </w:tcPr>
                  <w:p>
                    <w:pPr>
                      <w:widowControl w:val="0"/>
                      <w:jc w:val="center"/>
                      <w:rPr>
                        <w:rFonts w:ascii="Times New Roman" w:hAnsi="Times New Roman" w:cs="Times New Roman"/>
                      </w:rPr>
                    </w:pPr>
                    <w:r>
                      <w:rPr>
                        <w:rFonts w:ascii="Times New Roman" w:cs="Times New Roman"/>
                      </w:rPr>
                      <w:t>广西柳州市产业投资发展集团有限公司</w:t>
                    </w:r>
                  </w:p>
                </w:tc>
                <w:tc>
                  <w:tcPr>
                    <w:tcW w:w="1802" w:type="dxa"/>
                    <w:vAlign w:val="center"/>
                  </w:tcPr>
                  <w:p>
                    <w:pPr>
                      <w:widowControl w:val="0"/>
                      <w:jc w:val="center"/>
                      <w:rPr>
                        <w:rFonts w:ascii="Times New Roman" w:hAnsi="Times New Roman" w:cs="Times New Roman"/>
                      </w:rPr>
                    </w:pPr>
                    <w:r>
                      <w:rPr>
                        <w:rFonts w:ascii="Times New Roman" w:cs="Times New Roman"/>
                      </w:rPr>
                      <w:t>董事</w:t>
                    </w:r>
                  </w:p>
                </w:tc>
                <w:tc>
                  <w:tcPr>
                    <w:tcW w:w="1638" w:type="dxa"/>
                    <w:vAlign w:val="center"/>
                  </w:tcPr>
                  <w:p>
                    <w:pPr>
                      <w:widowControl w:val="0"/>
                      <w:jc w:val="center"/>
                      <w:rPr>
                        <w:rFonts w:ascii="Times New Roman" w:hAnsi="Times New Roman" w:cs="Times New Roman"/>
                      </w:rPr>
                    </w:pPr>
                    <w:r>
                      <w:rPr>
                        <w:rFonts w:ascii="Times New Roman" w:hAnsi="Times New Roman" w:cs="Times New Roman"/>
                      </w:rPr>
                      <w:t>2019</w:t>
                    </w:r>
                    <w:r>
                      <w:rPr>
                        <w:rFonts w:ascii="Times New Roman" w:cs="Times New Roman"/>
                      </w:rPr>
                      <w:t>年</w:t>
                    </w:r>
                    <w:r>
                      <w:rPr>
                        <w:rFonts w:ascii="Times New Roman" w:hAnsi="Times New Roman" w:cs="Times New Roman"/>
                      </w:rPr>
                      <w:t>5</w:t>
                    </w:r>
                    <w:r>
                      <w:rPr>
                        <w:rFonts w:ascii="Times New Roman" w:cs="Times New Roman"/>
                      </w:rPr>
                      <w:t>月</w:t>
                    </w:r>
                  </w:p>
                </w:tc>
                <w:tc>
                  <w:tcPr>
                    <w:tcW w:w="1540" w:type="dxa"/>
                    <w:vAlign w:val="center"/>
                  </w:tcPr>
                  <w:p>
                    <w:pPr>
                      <w:widowControl w:val="0"/>
                      <w:jc w:val="center"/>
                      <w:rPr>
                        <w:rFonts w:ascii="Times New Roman" w:hAnsi="Times New Roman" w:cs="Times New Roman"/>
                      </w:rPr>
                    </w:pPr>
                    <w:r>
                      <w:rPr>
                        <w:rFonts w:hint="eastAsia" w:ascii="Times New Roman" w:hAnsi="Times New Roman" w:cs="Times New Roman"/>
                      </w:rPr>
                      <w:t>-</w:t>
                    </w:r>
                  </w:p>
                </w:tc>
              </w:tr>
            </w:sdtContent>
          </w:sdt>
          <w:sdt>
            <w:sdtPr>
              <w:rPr>
                <w:rFonts w:ascii="Times New Roman" w:hAnsi="Times New Roman" w:cs="Times New Roman" w:eastAsiaTheme="minorEastAsia"/>
                <w:kern w:val="2"/>
                <w:szCs w:val="21"/>
              </w:rPr>
              <w:alias w:val="董事、监事、高级管理人员在股东单位任职情况"/>
              <w:tag w:val="_TUP_6fadbebda8f14f00acfb087a1f629834"/>
              <w:id w:val="86572267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82" w:type="dxa"/>
                    <w:vAlign w:val="center"/>
                  </w:tcPr>
                  <w:p>
                    <w:pPr>
                      <w:widowControl w:val="0"/>
                      <w:jc w:val="center"/>
                      <w:rPr>
                        <w:rFonts w:ascii="Times New Roman" w:hAnsi="Times New Roman" w:cs="Times New Roman"/>
                        <w:szCs w:val="21"/>
                      </w:rPr>
                    </w:pPr>
                    <w:r>
                      <w:rPr>
                        <w:rFonts w:ascii="Times New Roman" w:cs="Times New Roman"/>
                      </w:rPr>
                      <w:t>牟</w:t>
                    </w:r>
                    <w:r>
                      <w:rPr>
                        <w:rFonts w:hint="eastAsia" w:ascii="Times New Roman" w:cs="Times New Roman"/>
                        <w:lang w:val="en-US" w:eastAsia="zh-CN"/>
                      </w:rPr>
                      <w:t xml:space="preserve">  </w:t>
                    </w:r>
                    <w:r>
                      <w:rPr>
                        <w:rFonts w:ascii="Times New Roman" w:cs="Times New Roman"/>
                      </w:rPr>
                      <w:t>创</w:t>
                    </w:r>
                  </w:p>
                </w:tc>
                <w:tc>
                  <w:tcPr>
                    <w:tcW w:w="2287" w:type="dxa"/>
                    <w:vAlign w:val="center"/>
                  </w:tcPr>
                  <w:p>
                    <w:pPr>
                      <w:widowControl w:val="0"/>
                      <w:jc w:val="center"/>
                      <w:rPr>
                        <w:rFonts w:ascii="Times New Roman" w:hAnsi="Times New Roman" w:cs="Times New Roman"/>
                        <w:szCs w:val="21"/>
                      </w:rPr>
                    </w:pPr>
                    <w:r>
                      <w:rPr>
                        <w:rFonts w:ascii="Times New Roman" w:cs="Times New Roman"/>
                      </w:rPr>
                      <w:t>广西柳州市产业投资发展集团有限公司</w:t>
                    </w:r>
                  </w:p>
                </w:tc>
                <w:tc>
                  <w:tcPr>
                    <w:tcW w:w="1802" w:type="dxa"/>
                    <w:vAlign w:val="center"/>
                  </w:tcPr>
                  <w:p>
                    <w:pPr>
                      <w:widowControl w:val="0"/>
                      <w:jc w:val="center"/>
                      <w:rPr>
                        <w:rFonts w:ascii="Times New Roman" w:hAnsi="Times New Roman" w:cs="Times New Roman"/>
                        <w:szCs w:val="21"/>
                      </w:rPr>
                    </w:pPr>
                    <w:r>
                      <w:rPr>
                        <w:rFonts w:ascii="Times New Roman" w:cs="Times New Roman"/>
                      </w:rPr>
                      <w:t>副总经理</w:t>
                    </w:r>
                  </w:p>
                </w:tc>
                <w:tc>
                  <w:tcPr>
                    <w:tcW w:w="1638" w:type="dxa"/>
                    <w:vAlign w:val="center"/>
                  </w:tcPr>
                  <w:p>
                    <w:pPr>
                      <w:widowControl w:val="0"/>
                      <w:jc w:val="center"/>
                      <w:rPr>
                        <w:rFonts w:ascii="Times New Roman" w:hAnsi="Times New Roman" w:cs="Times New Roman"/>
                        <w:szCs w:val="21"/>
                      </w:rPr>
                    </w:pPr>
                    <w:r>
                      <w:rPr>
                        <w:rFonts w:ascii="Times New Roman" w:hAnsi="Times New Roman" w:cs="Times New Roman"/>
                      </w:rPr>
                      <w:t>2016</w:t>
                    </w:r>
                    <w:r>
                      <w:rPr>
                        <w:rFonts w:ascii="Times New Roman" w:cs="Times New Roman"/>
                      </w:rPr>
                      <w:t>年</w:t>
                    </w:r>
                    <w:r>
                      <w:rPr>
                        <w:rFonts w:ascii="Times New Roman" w:hAnsi="Times New Roman" w:cs="Times New Roman"/>
                      </w:rPr>
                      <w:t>12</w:t>
                    </w:r>
                    <w:r>
                      <w:rPr>
                        <w:rFonts w:ascii="Times New Roman" w:cs="Times New Roman"/>
                      </w:rPr>
                      <w:t>月</w:t>
                    </w:r>
                  </w:p>
                </w:tc>
                <w:tc>
                  <w:tcPr>
                    <w:tcW w:w="1540" w:type="dxa"/>
                    <w:vAlign w:val="center"/>
                  </w:tcPr>
                  <w:p>
                    <w:pPr>
                      <w:widowControl w:val="0"/>
                      <w:jc w:val="center"/>
                      <w:rPr>
                        <w:rFonts w:ascii="Times New Roman" w:hAnsi="Times New Roman" w:cs="Times New Roman"/>
                        <w:szCs w:val="21"/>
                      </w:rPr>
                    </w:pPr>
                    <w:r>
                      <w:rPr>
                        <w:rFonts w:hint="eastAsia"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股东单位任职情况"/>
              <w:tag w:val="_TUP_6fadbebda8f14f00acfb087a1f629834"/>
              <w:id w:val="865722675"/>
              <w:lock w:val="sdtLocked"/>
            </w:sdtPr>
            <w:sdtEndPr>
              <w:rPr>
                <w:rFonts w:ascii="Times New Roman" w:hAnsi="Times New Roman" w:eastAsia="宋体" w:cs="Times New Roman"/>
                <w:kern w:val="0"/>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82" w:type="dxa"/>
                    <w:vAlign w:val="center"/>
                  </w:tcPr>
                  <w:p>
                    <w:pPr>
                      <w:widowControl w:val="0"/>
                      <w:jc w:val="center"/>
                      <w:rPr>
                        <w:rFonts w:ascii="Times New Roman" w:hAnsi="Times New Roman" w:cs="Times New Roman" w:eastAsiaTheme="minorEastAsia"/>
                        <w:kern w:val="2"/>
                        <w:szCs w:val="21"/>
                      </w:rPr>
                    </w:pPr>
                    <w:r>
                      <w:rPr>
                        <w:rFonts w:ascii="Times New Roman" w:cs="Times New Roman" w:hAnsiTheme="minorHAnsi" w:eastAsiaTheme="minorEastAsia"/>
                        <w:kern w:val="2"/>
                        <w:szCs w:val="21"/>
                      </w:rPr>
                      <w:t>牟</w:t>
                    </w:r>
                    <w:r>
                      <w:rPr>
                        <w:rFonts w:hint="eastAsia" w:ascii="Times New Roman" w:cs="Times New Roman" w:hAnsiTheme="minorHAnsi" w:eastAsiaTheme="minorEastAsia"/>
                        <w:kern w:val="2"/>
                        <w:szCs w:val="21"/>
                        <w:lang w:val="en-US" w:eastAsia="zh-CN"/>
                      </w:rPr>
                      <w:t xml:space="preserve">  </w:t>
                    </w:r>
                    <w:r>
                      <w:rPr>
                        <w:rFonts w:ascii="Times New Roman" w:cs="Times New Roman" w:hAnsiTheme="minorHAnsi" w:eastAsiaTheme="minorEastAsia"/>
                        <w:kern w:val="2"/>
                        <w:szCs w:val="21"/>
                      </w:rPr>
                      <w:t>创</w:t>
                    </w:r>
                  </w:p>
                </w:tc>
                <w:tc>
                  <w:tcPr>
                    <w:tcW w:w="2287" w:type="dxa"/>
                    <w:vAlign w:val="center"/>
                  </w:tcPr>
                  <w:p>
                    <w:pPr>
                      <w:widowControl w:val="0"/>
                      <w:jc w:val="center"/>
                      <w:rPr>
                        <w:rFonts w:ascii="Times New Roman" w:hAnsi="Times New Roman" w:cs="Times New Roman"/>
                      </w:rPr>
                    </w:pPr>
                    <w:r>
                      <w:rPr>
                        <w:rFonts w:ascii="Times New Roman" w:cs="Times New Roman"/>
                      </w:rPr>
                      <w:t>广西柳州市产业投资发展集团有限公司</w:t>
                    </w:r>
                  </w:p>
                </w:tc>
                <w:tc>
                  <w:tcPr>
                    <w:tcW w:w="1802" w:type="dxa"/>
                    <w:vAlign w:val="center"/>
                  </w:tcPr>
                  <w:p>
                    <w:pPr>
                      <w:widowControl w:val="0"/>
                      <w:jc w:val="center"/>
                      <w:rPr>
                        <w:rFonts w:ascii="Times New Roman" w:hAnsi="Times New Roman" w:cs="Times New Roman"/>
                        <w:sz w:val="24"/>
                      </w:rPr>
                    </w:pPr>
                    <w:r>
                      <w:rPr>
                        <w:rFonts w:ascii="Times New Roman" w:cs="Times New Roman"/>
                      </w:rPr>
                      <w:t>党委委员</w:t>
                    </w:r>
                  </w:p>
                </w:tc>
                <w:tc>
                  <w:tcPr>
                    <w:tcW w:w="1638" w:type="dxa"/>
                    <w:vAlign w:val="center"/>
                  </w:tcPr>
                  <w:p>
                    <w:pPr>
                      <w:widowControl w:val="0"/>
                      <w:jc w:val="center"/>
                      <w:rPr>
                        <w:rFonts w:ascii="Times New Roman" w:hAnsi="Times New Roman" w:cs="Times New Roman"/>
                        <w:sz w:val="24"/>
                      </w:rPr>
                    </w:pPr>
                    <w:r>
                      <w:rPr>
                        <w:rFonts w:ascii="Times New Roman" w:hAnsi="Times New Roman" w:cs="Times New Roman"/>
                      </w:rPr>
                      <w:t>2018</w:t>
                    </w:r>
                    <w:r>
                      <w:rPr>
                        <w:rFonts w:ascii="Times New Roman" w:cs="Times New Roman"/>
                      </w:rPr>
                      <w:t>年</w:t>
                    </w:r>
                    <w:r>
                      <w:rPr>
                        <w:rFonts w:ascii="Times New Roman" w:hAnsi="Times New Roman" w:cs="Times New Roman"/>
                      </w:rPr>
                      <w:t>6</w:t>
                    </w:r>
                    <w:r>
                      <w:rPr>
                        <w:rFonts w:ascii="Times New Roman" w:cs="Times New Roman"/>
                      </w:rPr>
                      <w:t>月</w:t>
                    </w:r>
                  </w:p>
                </w:tc>
                <w:tc>
                  <w:tcPr>
                    <w:tcW w:w="1540" w:type="dxa"/>
                    <w:vAlign w:val="center"/>
                  </w:tcPr>
                  <w:p>
                    <w:pPr>
                      <w:widowControl w:val="0"/>
                      <w:jc w:val="center"/>
                      <w:rPr>
                        <w:rFonts w:ascii="Times New Roman" w:hAnsi="Times New Roman" w:cs="Times New Roman"/>
                      </w:rPr>
                    </w:pPr>
                    <w:r>
                      <w:rPr>
                        <w:rFonts w:hint="eastAsia" w:ascii="Times New Roman" w:hAnsi="Times New Roman" w:cs="Times New Roman"/>
                      </w:rPr>
                      <w:t>-</w:t>
                    </w:r>
                  </w:p>
                </w:tc>
              </w:tr>
            </w:sdtContent>
          </w:sdt>
          <w:sdt>
            <w:sdtPr>
              <w:rPr>
                <w:rFonts w:ascii="Times New Roman" w:hAnsi="Times New Roman" w:cs="Times New Roman" w:eastAsiaTheme="minorEastAsia"/>
                <w:kern w:val="2"/>
                <w:szCs w:val="21"/>
              </w:rPr>
              <w:alias w:val="董事、监事、高级管理人员在股东单位任职情况"/>
              <w:tag w:val="_TUP_6fadbebda8f14f00acfb087a1f629834"/>
              <w:id w:val="865722676"/>
              <w:lock w:val="sdtLocked"/>
            </w:sdtPr>
            <w:sdtEndPr>
              <w:rPr>
                <w:rFonts w:ascii="Times New Roman" w:hAnsi="Times New Roman" w:eastAsia="宋体" w:cs="Times New Roman"/>
                <w:kern w:val="0"/>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82" w:type="dxa"/>
                    <w:vAlign w:val="center"/>
                  </w:tcPr>
                  <w:p>
                    <w:pPr>
                      <w:widowControl w:val="0"/>
                      <w:jc w:val="center"/>
                      <w:rPr>
                        <w:rFonts w:ascii="Times New Roman" w:hAnsi="Times New Roman" w:cs="Times New Roman" w:eastAsiaTheme="minorEastAsia"/>
                        <w:kern w:val="2"/>
                        <w:szCs w:val="21"/>
                      </w:rPr>
                    </w:pPr>
                    <w:r>
                      <w:rPr>
                        <w:rFonts w:ascii="Times New Roman" w:cs="Times New Roman" w:hAnsiTheme="minorHAnsi" w:eastAsiaTheme="minorEastAsia"/>
                        <w:kern w:val="2"/>
                        <w:szCs w:val="21"/>
                      </w:rPr>
                      <w:t>牟</w:t>
                    </w:r>
                    <w:r>
                      <w:rPr>
                        <w:rFonts w:hint="eastAsia" w:ascii="Times New Roman" w:cs="Times New Roman" w:hAnsiTheme="minorHAnsi" w:eastAsiaTheme="minorEastAsia"/>
                        <w:kern w:val="2"/>
                        <w:szCs w:val="21"/>
                        <w:lang w:val="en-US" w:eastAsia="zh-CN"/>
                      </w:rPr>
                      <w:t xml:space="preserve">  </w:t>
                    </w:r>
                    <w:r>
                      <w:rPr>
                        <w:rFonts w:ascii="Times New Roman" w:cs="Times New Roman" w:hAnsiTheme="minorHAnsi" w:eastAsiaTheme="minorEastAsia"/>
                        <w:kern w:val="2"/>
                        <w:szCs w:val="21"/>
                      </w:rPr>
                      <w:t>创</w:t>
                    </w:r>
                  </w:p>
                </w:tc>
                <w:tc>
                  <w:tcPr>
                    <w:tcW w:w="2287" w:type="dxa"/>
                    <w:vAlign w:val="center"/>
                  </w:tcPr>
                  <w:p>
                    <w:pPr>
                      <w:widowControl w:val="0"/>
                      <w:jc w:val="center"/>
                      <w:rPr>
                        <w:rFonts w:ascii="Times New Roman" w:hAnsi="Times New Roman" w:cs="Times New Roman"/>
                      </w:rPr>
                    </w:pPr>
                    <w:r>
                      <w:rPr>
                        <w:rFonts w:ascii="Times New Roman" w:cs="Times New Roman"/>
                      </w:rPr>
                      <w:t>广西柳州市产业投资发展集团有限公司</w:t>
                    </w:r>
                  </w:p>
                </w:tc>
                <w:tc>
                  <w:tcPr>
                    <w:tcW w:w="1802" w:type="dxa"/>
                    <w:vAlign w:val="center"/>
                  </w:tcPr>
                  <w:p>
                    <w:pPr>
                      <w:widowControl w:val="0"/>
                      <w:jc w:val="center"/>
                      <w:rPr>
                        <w:rFonts w:ascii="Times New Roman" w:hAnsi="Times New Roman" w:cs="Times New Roman"/>
                        <w:sz w:val="24"/>
                      </w:rPr>
                    </w:pPr>
                    <w:r>
                      <w:rPr>
                        <w:rFonts w:ascii="Times New Roman" w:cs="Times New Roman"/>
                      </w:rPr>
                      <w:t>董事</w:t>
                    </w:r>
                  </w:p>
                </w:tc>
                <w:tc>
                  <w:tcPr>
                    <w:tcW w:w="1638" w:type="dxa"/>
                    <w:vAlign w:val="center"/>
                  </w:tcPr>
                  <w:p>
                    <w:pPr>
                      <w:widowControl w:val="0"/>
                      <w:jc w:val="center"/>
                      <w:rPr>
                        <w:rFonts w:ascii="Times New Roman" w:hAnsi="Times New Roman" w:cs="Times New Roman"/>
                        <w:sz w:val="24"/>
                      </w:rPr>
                    </w:pPr>
                    <w:r>
                      <w:rPr>
                        <w:rFonts w:ascii="Times New Roman" w:hAnsi="Times New Roman" w:cs="Times New Roman"/>
                      </w:rPr>
                      <w:t>2019</w:t>
                    </w:r>
                    <w:r>
                      <w:rPr>
                        <w:rFonts w:ascii="Times New Roman" w:cs="Times New Roman"/>
                      </w:rPr>
                      <w:t>年</w:t>
                    </w:r>
                    <w:r>
                      <w:rPr>
                        <w:rFonts w:ascii="Times New Roman" w:hAnsi="Times New Roman" w:cs="Times New Roman"/>
                      </w:rPr>
                      <w:t>5</w:t>
                    </w:r>
                    <w:r>
                      <w:rPr>
                        <w:rFonts w:ascii="Times New Roman" w:cs="Times New Roman"/>
                      </w:rPr>
                      <w:t>月</w:t>
                    </w:r>
                  </w:p>
                </w:tc>
                <w:tc>
                  <w:tcPr>
                    <w:tcW w:w="1540" w:type="dxa"/>
                    <w:vAlign w:val="center"/>
                  </w:tcPr>
                  <w:p>
                    <w:pPr>
                      <w:widowControl w:val="0"/>
                      <w:jc w:val="center"/>
                      <w:rPr>
                        <w:rFonts w:ascii="Times New Roman" w:hAnsi="Times New Roman" w:cs="Times New Roman"/>
                      </w:rPr>
                    </w:pPr>
                    <w:r>
                      <w:rPr>
                        <w:rFonts w:hint="eastAsia" w:ascii="Times New Roman" w:hAnsi="Times New Roman" w:cs="Times New Roman"/>
                      </w:rPr>
                      <w:t>-</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rPr>
                  <w:rFonts w:ascii="Times New Roman" w:hAnsi="Times New Roman" w:cs="Times New Roman"/>
                </w:rPr>
                <w:tag w:val="_PLD_6e127d6c1c09490d96af47be507aa181"/>
                <w:id w:val="865722677"/>
                <w:lock w:val="sdtLocked"/>
              </w:sdtPr>
              <w:sdtEndPr>
                <w:rPr>
                  <w:rFonts w:ascii="Times New Roman" w:hAnsi="Times New Roman" w:cs="Times New Roman"/>
                </w:rPr>
              </w:sdtEndPr>
              <w:sdtContent>
                <w:tc>
                  <w:tcPr>
                    <w:tcW w:w="1782" w:type="dxa"/>
                    <w:vAlign w:val="center"/>
                  </w:tcPr>
                  <w:p>
                    <w:pPr>
                      <w:widowControl w:val="0"/>
                      <w:jc w:val="center"/>
                      <w:rPr>
                        <w:rFonts w:ascii="Times New Roman" w:hAnsi="Times New Roman" w:cs="Times New Roman"/>
                        <w:szCs w:val="21"/>
                      </w:rPr>
                    </w:pPr>
                    <w:r>
                      <w:rPr>
                        <w:rFonts w:ascii="Times New Roman" w:cs="Times New Roman"/>
                        <w:szCs w:val="21"/>
                      </w:rPr>
                      <w:t>在股东单位任职情况的说明</w:t>
                    </w:r>
                  </w:p>
                </w:tc>
              </w:sdtContent>
            </w:sdt>
            <w:tc>
              <w:tcPr>
                <w:tcW w:w="7267" w:type="dxa"/>
                <w:gridSpan w:val="4"/>
                <w:vAlign w:val="center"/>
              </w:tcPr>
              <w:p>
                <w:pPr>
                  <w:widowControl w:val="0"/>
                  <w:jc w:val="center"/>
                  <w:rPr>
                    <w:rFonts w:ascii="Times New Roman" w:hAnsi="Times New Roman" w:cs="Times New Roman"/>
                    <w:szCs w:val="21"/>
                  </w:rPr>
                </w:pPr>
                <w:r>
                  <w:rPr>
                    <w:rFonts w:ascii="Times New Roman" w:cs="Times New Roman"/>
                    <w:szCs w:val="21"/>
                  </w:rPr>
                  <w:t>无</w:t>
                </w:r>
              </w:p>
            </w:tc>
          </w:tr>
        </w:tbl>
        <w:p/>
        <w:p>
          <w:pPr>
            <w:rPr>
              <w:szCs w:val="21"/>
            </w:rPr>
          </w:pPr>
        </w:p>
      </w:sdtContent>
    </w:sdt>
    <w:sdt>
      <w:sdtPr>
        <w:rPr>
          <w:rFonts w:ascii="宋体" w:hAnsi="宋体" w:cs="宋体"/>
          <w:b/>
          <w:bCs/>
          <w:kern w:val="0"/>
          <w:szCs w:val="24"/>
        </w:rPr>
        <w:alias w:val="模块:在其他单位任职情况"/>
        <w:tag w:val="_SEC_5561131e80ff45818592dc8d1f605cb5"/>
        <w:id w:val="865722702"/>
        <w:lock w:val="sdtLocked"/>
        <w:placeholder>
          <w:docPart w:val="GBC22222222222222222222222222222"/>
        </w:placeholder>
      </w:sdtPr>
      <w:sdtEndPr>
        <w:rPr>
          <w:rFonts w:ascii="宋体" w:hAnsi="宋体" w:cs="宋体"/>
          <w:b w:val="0"/>
          <w:bCs w:val="0"/>
          <w:kern w:val="0"/>
          <w:szCs w:val="21"/>
        </w:rPr>
      </w:sdtEndPr>
      <w:sdtContent>
        <w:p>
          <w:pPr>
            <w:pStyle w:val="55"/>
            <w:numPr>
              <w:ilvl w:val="0"/>
              <w:numId w:val="23"/>
            </w:numPr>
            <w:ind w:firstLineChars="0"/>
            <w:rPr>
              <w:b/>
              <w:bCs/>
            </w:rPr>
          </w:pPr>
          <w:r>
            <w:rPr>
              <w:b/>
              <w:bCs/>
            </w:rPr>
            <w:t>在其他单位任职情况</w:t>
          </w:r>
        </w:p>
        <w:sdt>
          <w:sdtPr>
            <w:rPr>
              <w:szCs w:val="21"/>
            </w:rPr>
            <w:alias w:val="是否适用：在其他单位任职情况[双击切换]"/>
            <w:tag w:val="_GBC_31c17de709bb42fdb7ba137e843fe054"/>
            <w:id w:val="86572267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551"/>
            <w:gridCol w:w="1701"/>
            <w:gridCol w:w="1701"/>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rPr>
                  <w:rFonts w:ascii="Times New Roman" w:hAnsi="Times New Roman" w:cs="Times New Roman"/>
                </w:rPr>
                <w:tag w:val="_PLD_84cb4ce7fc4643b1be607267619a4b88"/>
                <w:id w:val="1841090"/>
                <w:lock w:val="sdtLocked"/>
              </w:sdtPr>
              <w:sdtEndPr>
                <w:rPr>
                  <w:rFonts w:ascii="Times New Roman" w:hAnsi="Times New Roman" w:cs="Times New Roman"/>
                </w:rPr>
              </w:sdtEndPr>
              <w:sdtContent>
                <w:tc>
                  <w:tcPr>
                    <w:tcW w:w="1526" w:type="dxa"/>
                    <w:vAlign w:val="center"/>
                  </w:tcPr>
                  <w:p>
                    <w:pPr>
                      <w:widowControl w:val="0"/>
                      <w:jc w:val="center"/>
                      <w:rPr>
                        <w:rFonts w:ascii="Times New Roman" w:hAnsi="Times New Roman" w:cs="Times New Roman"/>
                        <w:szCs w:val="21"/>
                      </w:rPr>
                    </w:pPr>
                    <w:r>
                      <w:rPr>
                        <w:rFonts w:ascii="Times New Roman" w:cs="Times New Roman"/>
                        <w:szCs w:val="21"/>
                      </w:rPr>
                      <w:t>任职人员姓名</w:t>
                    </w:r>
                  </w:p>
                </w:tc>
              </w:sdtContent>
            </w:sdt>
            <w:sdt>
              <w:sdtPr>
                <w:rPr>
                  <w:rFonts w:ascii="Times New Roman" w:hAnsi="Times New Roman" w:cs="Times New Roman"/>
                </w:rPr>
                <w:tag w:val="_PLD_9c5aac001d5a4c2eb3cc0bf1e1f66afe"/>
                <w:id w:val="1841091"/>
                <w:lock w:val="sdtLocked"/>
              </w:sdtPr>
              <w:sdtEndPr>
                <w:rPr>
                  <w:rFonts w:ascii="Times New Roman" w:hAnsi="Times New Roman" w:cs="Times New Roman"/>
                </w:rPr>
              </w:sdtEndPr>
              <w:sdtContent>
                <w:tc>
                  <w:tcPr>
                    <w:tcW w:w="2551" w:type="dxa"/>
                    <w:vAlign w:val="center"/>
                  </w:tcPr>
                  <w:p>
                    <w:pPr>
                      <w:widowControl w:val="0"/>
                      <w:jc w:val="center"/>
                      <w:rPr>
                        <w:rFonts w:ascii="Times New Roman" w:hAnsi="Times New Roman" w:cs="Times New Roman"/>
                        <w:szCs w:val="21"/>
                      </w:rPr>
                    </w:pPr>
                    <w:r>
                      <w:rPr>
                        <w:rFonts w:ascii="Times New Roman" w:cs="Times New Roman"/>
                        <w:szCs w:val="21"/>
                      </w:rPr>
                      <w:t>其他单位名称</w:t>
                    </w:r>
                  </w:p>
                </w:tc>
              </w:sdtContent>
            </w:sdt>
            <w:sdt>
              <w:sdtPr>
                <w:rPr>
                  <w:rFonts w:ascii="Times New Roman" w:hAnsi="Times New Roman" w:cs="Times New Roman"/>
                </w:rPr>
                <w:tag w:val="_PLD_a3a2822cc76542afbd1a58b94268af1d"/>
                <w:id w:val="1841092"/>
                <w:lock w:val="sdtLocked"/>
              </w:sdtPr>
              <w:sdtEndPr>
                <w:rPr>
                  <w:rFonts w:ascii="Times New Roman" w:hAnsi="Times New Roman" w:cs="Times New Roman"/>
                </w:rPr>
              </w:sdtEndPr>
              <w:sdtContent>
                <w:tc>
                  <w:tcPr>
                    <w:tcW w:w="1701" w:type="dxa"/>
                    <w:vAlign w:val="center"/>
                  </w:tcPr>
                  <w:p>
                    <w:pPr>
                      <w:widowControl w:val="0"/>
                      <w:jc w:val="center"/>
                      <w:rPr>
                        <w:rFonts w:ascii="Times New Roman" w:hAnsi="Times New Roman" w:cs="Times New Roman"/>
                        <w:szCs w:val="21"/>
                      </w:rPr>
                    </w:pPr>
                    <w:r>
                      <w:rPr>
                        <w:rFonts w:ascii="Times New Roman" w:cs="Times New Roman"/>
                        <w:szCs w:val="21"/>
                      </w:rPr>
                      <w:t>在其他单位担任的职务</w:t>
                    </w:r>
                  </w:p>
                </w:tc>
              </w:sdtContent>
            </w:sdt>
            <w:sdt>
              <w:sdtPr>
                <w:rPr>
                  <w:rFonts w:ascii="Times New Roman" w:hAnsi="Times New Roman" w:cs="Times New Roman"/>
                </w:rPr>
                <w:tag w:val="_PLD_1afbd86b2e47420ca2c5a75f01567f2a"/>
                <w:id w:val="1841093"/>
                <w:lock w:val="sdtLocked"/>
              </w:sdtPr>
              <w:sdtEndPr>
                <w:rPr>
                  <w:rFonts w:ascii="Times New Roman" w:hAnsi="Times New Roman" w:cs="Times New Roman"/>
                </w:rPr>
              </w:sdtEndPr>
              <w:sdtContent>
                <w:tc>
                  <w:tcPr>
                    <w:tcW w:w="1701" w:type="dxa"/>
                    <w:vAlign w:val="center"/>
                  </w:tcPr>
                  <w:p>
                    <w:pPr>
                      <w:widowControl w:val="0"/>
                      <w:jc w:val="center"/>
                      <w:rPr>
                        <w:rFonts w:ascii="Times New Roman" w:hAnsi="Times New Roman" w:cs="Times New Roman"/>
                        <w:szCs w:val="21"/>
                      </w:rPr>
                    </w:pPr>
                    <w:r>
                      <w:rPr>
                        <w:rFonts w:ascii="Times New Roman" w:cs="Times New Roman"/>
                        <w:szCs w:val="21"/>
                      </w:rPr>
                      <w:t>任期起始日期</w:t>
                    </w:r>
                  </w:p>
                </w:tc>
              </w:sdtContent>
            </w:sdt>
            <w:sdt>
              <w:sdtPr>
                <w:rPr>
                  <w:rFonts w:ascii="Times New Roman" w:hAnsi="Times New Roman" w:cs="Times New Roman"/>
                </w:rPr>
                <w:tag w:val="_PLD_677dde6ffbf24692a6c508831a24eef8"/>
                <w:id w:val="1841094"/>
                <w:lock w:val="sdtLocked"/>
              </w:sdtPr>
              <w:sdtEndPr>
                <w:rPr>
                  <w:rFonts w:ascii="Times New Roman" w:hAnsi="Times New Roman" w:cs="Times New Roman"/>
                </w:rPr>
              </w:sdtEndPr>
              <w:sdtContent>
                <w:tc>
                  <w:tcPr>
                    <w:tcW w:w="1570" w:type="dxa"/>
                    <w:vAlign w:val="center"/>
                  </w:tcPr>
                  <w:p>
                    <w:pPr>
                      <w:widowControl w:val="0"/>
                      <w:jc w:val="center"/>
                      <w:rPr>
                        <w:rFonts w:ascii="Times New Roman" w:hAnsi="Times New Roman" w:cs="Times New Roman"/>
                        <w:szCs w:val="21"/>
                      </w:rPr>
                    </w:pPr>
                    <w:r>
                      <w:rPr>
                        <w:rFonts w:ascii="Times New Roman" w:cs="Times New Roman"/>
                        <w:szCs w:val="21"/>
                      </w:rPr>
                      <w:t>任期终止日期</w:t>
                    </w:r>
                  </w:p>
                </w:tc>
              </w:sdtContent>
            </w:sdt>
          </w:tr>
          <w:sdt>
            <w:sdtPr>
              <w:rPr>
                <w:rFonts w:ascii="Times New Roman" w:hAnsi="Times New Roman" w:cs="Times New Roman" w:eastAsiaTheme="minorEastAsia"/>
                <w:kern w:val="2"/>
                <w:szCs w:val="21"/>
              </w:rPr>
              <w:alias w:val="董事、监事、高级管理人员在其他单位任职情况"/>
              <w:tag w:val="_TUP_f450538eb53748eeac8de5eae75c8a7f"/>
              <w:id w:val="1841095"/>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龚慧泉</w:t>
                    </w:r>
                  </w:p>
                </w:tc>
                <w:tc>
                  <w:tcPr>
                    <w:tcW w:w="2551" w:type="dxa"/>
                    <w:vAlign w:val="center"/>
                  </w:tcPr>
                  <w:p>
                    <w:pPr>
                      <w:widowControl w:val="0"/>
                      <w:jc w:val="center"/>
                      <w:rPr>
                        <w:rFonts w:ascii="Times New Roman" w:hAnsi="Times New Roman" w:cs="Times New Roman"/>
                        <w:szCs w:val="21"/>
                      </w:rPr>
                    </w:pPr>
                    <w:r>
                      <w:rPr>
                        <w:rFonts w:ascii="Times New Roman" w:cs="Times New Roman"/>
                      </w:rPr>
                      <w:t>柳州桂中海迅物流股份有限公司</w:t>
                    </w:r>
                  </w:p>
                </w:tc>
                <w:tc>
                  <w:tcPr>
                    <w:tcW w:w="1701" w:type="dxa"/>
                    <w:vAlign w:val="center"/>
                  </w:tcPr>
                  <w:p>
                    <w:pPr>
                      <w:widowControl w:val="0"/>
                      <w:jc w:val="center"/>
                      <w:rPr>
                        <w:rFonts w:ascii="Times New Roman" w:hAnsi="Times New Roman" w:cs="Times New Roman"/>
                        <w:szCs w:val="21"/>
                      </w:rPr>
                    </w:pPr>
                    <w:r>
                      <w:rPr>
                        <w:rFonts w:ascii="Times New Roman" w:cs="Times New Roman"/>
                      </w:rPr>
                      <w:t>副董事长</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2019</w:t>
                    </w:r>
                    <w:r>
                      <w:rPr>
                        <w:rFonts w:ascii="Times New Roman" w:cs="Times New Roman"/>
                      </w:rPr>
                      <w:t>年</w:t>
                    </w:r>
                    <w:r>
                      <w:rPr>
                        <w:rFonts w:ascii="Times New Roman" w:hAnsi="Times New Roman" w:cs="Times New Roman"/>
                      </w:rPr>
                      <w:t>2</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096"/>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龚慧泉</w:t>
                    </w:r>
                  </w:p>
                </w:tc>
                <w:tc>
                  <w:tcPr>
                    <w:tcW w:w="2551" w:type="dxa"/>
                    <w:vAlign w:val="center"/>
                  </w:tcPr>
                  <w:p>
                    <w:pPr>
                      <w:widowControl w:val="0"/>
                      <w:jc w:val="center"/>
                      <w:rPr>
                        <w:rFonts w:ascii="Times New Roman" w:hAnsi="Times New Roman" w:cs="Times New Roman"/>
                        <w:szCs w:val="21"/>
                      </w:rPr>
                    </w:pPr>
                    <w:r>
                      <w:rPr>
                        <w:rFonts w:ascii="Times New Roman" w:cs="Times New Roman"/>
                      </w:rPr>
                      <w:t>柳州市政府创新创业投资引导基金管理有限公司</w:t>
                    </w:r>
                  </w:p>
                </w:tc>
                <w:tc>
                  <w:tcPr>
                    <w:tcW w:w="1701" w:type="dxa"/>
                    <w:vAlign w:val="center"/>
                  </w:tcPr>
                  <w:p>
                    <w:pPr>
                      <w:widowControl w:val="0"/>
                      <w:jc w:val="center"/>
                      <w:rPr>
                        <w:rFonts w:ascii="Times New Roman" w:hAnsi="Times New Roman" w:cs="Times New Roman"/>
                        <w:szCs w:val="21"/>
                      </w:rPr>
                    </w:pPr>
                    <w:r>
                      <w:rPr>
                        <w:rFonts w:ascii="Times New Roman" w:cs="Times New Roman"/>
                      </w:rPr>
                      <w:t>副总经理</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2019</w:t>
                    </w:r>
                    <w:r>
                      <w:rPr>
                        <w:rFonts w:ascii="Times New Roman" w:cs="Times New Roman"/>
                      </w:rPr>
                      <w:t>年</w:t>
                    </w:r>
                    <w:r>
                      <w:rPr>
                        <w:rFonts w:ascii="Times New Roman" w:hAnsi="Times New Roman" w:cs="Times New Roman"/>
                      </w:rPr>
                      <w:t>7</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097"/>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龚慧泉</w:t>
                    </w:r>
                  </w:p>
                </w:tc>
                <w:tc>
                  <w:tcPr>
                    <w:tcW w:w="2551" w:type="dxa"/>
                    <w:vAlign w:val="center"/>
                  </w:tcPr>
                  <w:p>
                    <w:pPr>
                      <w:widowControl w:val="0"/>
                      <w:jc w:val="center"/>
                      <w:rPr>
                        <w:rFonts w:ascii="Times New Roman" w:hAnsi="Times New Roman" w:cs="Times New Roman"/>
                        <w:szCs w:val="21"/>
                      </w:rPr>
                    </w:pPr>
                    <w:r>
                      <w:rPr>
                        <w:rFonts w:ascii="Times New Roman" w:cs="Times New Roman"/>
                      </w:rPr>
                      <w:t>柳州市智甲金属科技有限公司</w:t>
                    </w:r>
                  </w:p>
                </w:tc>
                <w:tc>
                  <w:tcPr>
                    <w:tcW w:w="1701" w:type="dxa"/>
                    <w:vAlign w:val="center"/>
                  </w:tcPr>
                  <w:p>
                    <w:pPr>
                      <w:widowControl w:val="0"/>
                      <w:jc w:val="center"/>
                      <w:rPr>
                        <w:rFonts w:ascii="Times New Roman" w:hAnsi="Times New Roman" w:cs="Times New Roman"/>
                        <w:szCs w:val="21"/>
                      </w:rPr>
                    </w:pPr>
                    <w:r>
                      <w:rPr>
                        <w:rFonts w:ascii="Times New Roman" w:cs="Times New Roman"/>
                      </w:rPr>
                      <w:t>董事</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2019</w:t>
                    </w:r>
                    <w:r>
                      <w:rPr>
                        <w:rFonts w:ascii="Times New Roman" w:cs="Times New Roman"/>
                      </w:rPr>
                      <w:t>年</w:t>
                    </w:r>
                    <w:r>
                      <w:rPr>
                        <w:rFonts w:ascii="Times New Roman" w:hAnsi="Times New Roman" w:cs="Times New Roman"/>
                      </w:rPr>
                      <w:t>10</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098"/>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龚慧泉</w:t>
                    </w:r>
                  </w:p>
                </w:tc>
                <w:tc>
                  <w:tcPr>
                    <w:tcW w:w="2551" w:type="dxa"/>
                    <w:vAlign w:val="center"/>
                  </w:tcPr>
                  <w:p>
                    <w:pPr>
                      <w:widowControl w:val="0"/>
                      <w:jc w:val="center"/>
                      <w:rPr>
                        <w:rFonts w:ascii="Times New Roman" w:hAnsi="Times New Roman" w:cs="Times New Roman"/>
                        <w:szCs w:val="21"/>
                      </w:rPr>
                    </w:pPr>
                    <w:r>
                      <w:rPr>
                        <w:rFonts w:ascii="Times New Roman" w:cs="Times New Roman"/>
                      </w:rPr>
                      <w:t>柳州欧维姆机械股份有限公司</w:t>
                    </w:r>
                  </w:p>
                </w:tc>
                <w:tc>
                  <w:tcPr>
                    <w:tcW w:w="1701" w:type="dxa"/>
                    <w:vAlign w:val="center"/>
                  </w:tcPr>
                  <w:p>
                    <w:pPr>
                      <w:widowControl w:val="0"/>
                      <w:jc w:val="center"/>
                      <w:rPr>
                        <w:rFonts w:ascii="Times New Roman" w:hAnsi="Times New Roman" w:cs="Times New Roman"/>
                        <w:szCs w:val="21"/>
                      </w:rPr>
                    </w:pPr>
                    <w:r>
                      <w:rPr>
                        <w:rFonts w:ascii="Times New Roman" w:cs="Times New Roman"/>
                      </w:rPr>
                      <w:t>董事</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2019</w:t>
                    </w:r>
                    <w:r>
                      <w:rPr>
                        <w:rFonts w:ascii="Times New Roman" w:cs="Times New Roman"/>
                      </w:rPr>
                      <w:t>年</w:t>
                    </w:r>
                    <w:r>
                      <w:rPr>
                        <w:rFonts w:ascii="Times New Roman" w:hAnsi="Times New Roman" w:cs="Times New Roman"/>
                      </w:rPr>
                      <w:t>10</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099"/>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龚慧泉</w:t>
                    </w:r>
                  </w:p>
                </w:tc>
                <w:tc>
                  <w:tcPr>
                    <w:tcW w:w="2551" w:type="dxa"/>
                    <w:vAlign w:val="center"/>
                  </w:tcPr>
                  <w:p>
                    <w:pPr>
                      <w:widowControl w:val="0"/>
                      <w:jc w:val="center"/>
                      <w:rPr>
                        <w:rFonts w:ascii="Times New Roman" w:hAnsi="Times New Roman" w:cs="Times New Roman"/>
                        <w:szCs w:val="21"/>
                      </w:rPr>
                    </w:pPr>
                    <w:r>
                      <w:rPr>
                        <w:rFonts w:ascii="Times New Roman" w:cs="Times New Roman"/>
                      </w:rPr>
                      <w:t>柳州市元成金属制品有限责任公司</w:t>
                    </w:r>
                  </w:p>
                </w:tc>
                <w:tc>
                  <w:tcPr>
                    <w:tcW w:w="1701" w:type="dxa"/>
                    <w:vAlign w:val="center"/>
                  </w:tcPr>
                  <w:p>
                    <w:pPr>
                      <w:widowControl w:val="0"/>
                      <w:jc w:val="center"/>
                      <w:rPr>
                        <w:rFonts w:ascii="Times New Roman" w:hAnsi="Times New Roman" w:cs="Times New Roman"/>
                        <w:szCs w:val="21"/>
                      </w:rPr>
                    </w:pPr>
                    <w:r>
                      <w:rPr>
                        <w:rFonts w:ascii="Times New Roman" w:cs="Times New Roman"/>
                      </w:rPr>
                      <w:t>执行董事</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2020</w:t>
                    </w:r>
                    <w:r>
                      <w:rPr>
                        <w:rFonts w:ascii="Times New Roman" w:cs="Times New Roman"/>
                      </w:rPr>
                      <w:t>年</w:t>
                    </w:r>
                    <w:r>
                      <w:rPr>
                        <w:rFonts w:ascii="Times New Roman" w:hAnsi="Times New Roman" w:cs="Times New Roman"/>
                      </w:rPr>
                      <w:t>10</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00"/>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牟</w:t>
                    </w:r>
                    <w:r>
                      <w:rPr>
                        <w:rFonts w:ascii="Times New Roman" w:hAnsi="Times New Roman" w:cs="Times New Roman"/>
                      </w:rPr>
                      <w:t xml:space="preserve">  </w:t>
                    </w:r>
                    <w:r>
                      <w:rPr>
                        <w:rFonts w:ascii="Times New Roman" w:cs="Times New Roman"/>
                      </w:rPr>
                      <w:t>创</w:t>
                    </w:r>
                  </w:p>
                </w:tc>
                <w:tc>
                  <w:tcPr>
                    <w:tcW w:w="2551" w:type="dxa"/>
                    <w:vAlign w:val="center"/>
                  </w:tcPr>
                  <w:p>
                    <w:pPr>
                      <w:widowControl w:val="0"/>
                      <w:jc w:val="center"/>
                      <w:rPr>
                        <w:rFonts w:ascii="Times New Roman" w:hAnsi="Times New Roman" w:cs="Times New Roman"/>
                        <w:szCs w:val="21"/>
                      </w:rPr>
                    </w:pPr>
                    <w:r>
                      <w:rPr>
                        <w:rFonts w:ascii="Times New Roman" w:cs="Times New Roman"/>
                      </w:rPr>
                      <w:t>柳州元通投资发展有限公司</w:t>
                    </w:r>
                  </w:p>
                </w:tc>
                <w:tc>
                  <w:tcPr>
                    <w:tcW w:w="1701" w:type="dxa"/>
                    <w:vAlign w:val="center"/>
                  </w:tcPr>
                  <w:p>
                    <w:pPr>
                      <w:widowControl w:val="0"/>
                      <w:jc w:val="center"/>
                      <w:rPr>
                        <w:rFonts w:ascii="Times New Roman" w:hAnsi="Times New Roman" w:cs="Times New Roman"/>
                        <w:szCs w:val="21"/>
                      </w:rPr>
                    </w:pPr>
                    <w:r>
                      <w:rPr>
                        <w:rFonts w:ascii="Times New Roman" w:cs="Times New Roman"/>
                      </w:rPr>
                      <w:t>董事</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2017</w:t>
                    </w:r>
                    <w:r>
                      <w:rPr>
                        <w:rFonts w:ascii="Times New Roman" w:cs="Times New Roman"/>
                      </w:rPr>
                      <w:t>年</w:t>
                    </w:r>
                    <w:r>
                      <w:rPr>
                        <w:rFonts w:ascii="Times New Roman" w:hAnsi="Times New Roman" w:cs="Times New Roman"/>
                      </w:rPr>
                      <w:t>8</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01"/>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牟</w:t>
                    </w:r>
                    <w:r>
                      <w:rPr>
                        <w:rFonts w:ascii="Times New Roman" w:hAnsi="Times New Roman" w:cs="Times New Roman"/>
                      </w:rPr>
                      <w:t xml:space="preserve">  </w:t>
                    </w:r>
                    <w:r>
                      <w:rPr>
                        <w:rFonts w:ascii="Times New Roman" w:cs="Times New Roman"/>
                      </w:rPr>
                      <w:t>创</w:t>
                    </w:r>
                  </w:p>
                </w:tc>
                <w:tc>
                  <w:tcPr>
                    <w:tcW w:w="2551" w:type="dxa"/>
                    <w:vAlign w:val="center"/>
                  </w:tcPr>
                  <w:p>
                    <w:pPr>
                      <w:widowControl w:val="0"/>
                      <w:jc w:val="center"/>
                      <w:rPr>
                        <w:rFonts w:ascii="Times New Roman" w:hAnsi="Times New Roman" w:cs="Times New Roman"/>
                        <w:szCs w:val="21"/>
                      </w:rPr>
                    </w:pPr>
                    <w:r>
                      <w:rPr>
                        <w:rFonts w:ascii="Times New Roman" w:cs="Times New Roman"/>
                      </w:rPr>
                      <w:t>柳州市政府创新创业投资引导基金管理有限公司</w:t>
                    </w:r>
                  </w:p>
                </w:tc>
                <w:tc>
                  <w:tcPr>
                    <w:tcW w:w="1701" w:type="dxa"/>
                    <w:vAlign w:val="center"/>
                  </w:tcPr>
                  <w:p>
                    <w:pPr>
                      <w:widowControl w:val="0"/>
                      <w:jc w:val="center"/>
                      <w:rPr>
                        <w:rFonts w:ascii="Times New Roman" w:hAnsi="Times New Roman" w:cs="Times New Roman"/>
                        <w:szCs w:val="21"/>
                      </w:rPr>
                    </w:pPr>
                    <w:r>
                      <w:rPr>
                        <w:rFonts w:ascii="Times New Roman" w:cs="Times New Roman"/>
                      </w:rPr>
                      <w:t>投委会代表</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2018</w:t>
                    </w:r>
                    <w:r>
                      <w:rPr>
                        <w:rFonts w:ascii="Times New Roman" w:cs="Times New Roman"/>
                      </w:rPr>
                      <w:t>年</w:t>
                    </w:r>
                    <w:r>
                      <w:rPr>
                        <w:rFonts w:ascii="Times New Roman" w:hAnsi="Times New Roman" w:cs="Times New Roman"/>
                      </w:rPr>
                      <w:t>2</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0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牟</w:t>
                    </w:r>
                    <w:r>
                      <w:rPr>
                        <w:rFonts w:ascii="Times New Roman" w:hAnsi="Times New Roman" w:cs="Times New Roman"/>
                      </w:rPr>
                      <w:t xml:space="preserve">  </w:t>
                    </w:r>
                    <w:r>
                      <w:rPr>
                        <w:rFonts w:ascii="Times New Roman" w:cs="Times New Roman"/>
                      </w:rPr>
                      <w:t>创</w:t>
                    </w:r>
                  </w:p>
                </w:tc>
                <w:tc>
                  <w:tcPr>
                    <w:tcW w:w="2551" w:type="dxa"/>
                    <w:vAlign w:val="center"/>
                  </w:tcPr>
                  <w:p>
                    <w:pPr>
                      <w:widowControl w:val="0"/>
                      <w:jc w:val="center"/>
                      <w:rPr>
                        <w:rFonts w:ascii="Times New Roman" w:hAnsi="Times New Roman" w:cs="Times New Roman"/>
                        <w:szCs w:val="21"/>
                      </w:rPr>
                    </w:pPr>
                    <w:r>
                      <w:rPr>
                        <w:rFonts w:ascii="Times New Roman" w:cs="Times New Roman"/>
                      </w:rPr>
                      <w:t>广西柳州银海铝业股份有限公司</w:t>
                    </w:r>
                  </w:p>
                </w:tc>
                <w:tc>
                  <w:tcPr>
                    <w:tcW w:w="1701" w:type="dxa"/>
                    <w:vAlign w:val="center"/>
                  </w:tcPr>
                  <w:p>
                    <w:pPr>
                      <w:widowControl w:val="0"/>
                      <w:jc w:val="center"/>
                      <w:rPr>
                        <w:rFonts w:ascii="Times New Roman" w:hAnsi="Times New Roman" w:cs="Times New Roman"/>
                        <w:szCs w:val="21"/>
                      </w:rPr>
                    </w:pPr>
                    <w:r>
                      <w:rPr>
                        <w:rFonts w:ascii="Times New Roman" w:cs="Times New Roman"/>
                      </w:rPr>
                      <w:t>董事</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2018</w:t>
                    </w:r>
                    <w:r>
                      <w:rPr>
                        <w:rFonts w:ascii="Times New Roman" w:cs="Times New Roman"/>
                      </w:rPr>
                      <w:t>年</w:t>
                    </w:r>
                    <w:r>
                      <w:rPr>
                        <w:rFonts w:ascii="Times New Roman" w:hAnsi="Times New Roman" w:cs="Times New Roman"/>
                      </w:rPr>
                      <w:t>5</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03"/>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牟</w:t>
                    </w:r>
                    <w:r>
                      <w:rPr>
                        <w:rFonts w:ascii="Times New Roman" w:hAnsi="Times New Roman" w:cs="Times New Roman"/>
                      </w:rPr>
                      <w:t xml:space="preserve">  </w:t>
                    </w:r>
                    <w:r>
                      <w:rPr>
                        <w:rFonts w:ascii="Times New Roman" w:cs="Times New Roman"/>
                      </w:rPr>
                      <w:t>创</w:t>
                    </w:r>
                  </w:p>
                </w:tc>
                <w:tc>
                  <w:tcPr>
                    <w:tcW w:w="2551" w:type="dxa"/>
                    <w:vAlign w:val="center"/>
                  </w:tcPr>
                  <w:p>
                    <w:pPr>
                      <w:widowControl w:val="0"/>
                      <w:jc w:val="center"/>
                      <w:rPr>
                        <w:rFonts w:ascii="Times New Roman" w:hAnsi="Times New Roman" w:cs="Times New Roman"/>
                        <w:szCs w:val="21"/>
                      </w:rPr>
                    </w:pPr>
                    <w:r>
                      <w:rPr>
                        <w:rFonts w:ascii="Times New Roman" w:cs="Times New Roman"/>
                      </w:rPr>
                      <w:t>柳工（柳州）压缩机有限公司</w:t>
                    </w:r>
                  </w:p>
                </w:tc>
                <w:tc>
                  <w:tcPr>
                    <w:tcW w:w="1701" w:type="dxa"/>
                    <w:vAlign w:val="center"/>
                  </w:tcPr>
                  <w:p>
                    <w:pPr>
                      <w:widowControl w:val="0"/>
                      <w:jc w:val="center"/>
                      <w:rPr>
                        <w:rFonts w:ascii="Times New Roman" w:hAnsi="Times New Roman" w:cs="Times New Roman"/>
                        <w:szCs w:val="21"/>
                      </w:rPr>
                    </w:pPr>
                    <w:r>
                      <w:rPr>
                        <w:rFonts w:ascii="Times New Roman" w:cs="Times New Roman"/>
                      </w:rPr>
                      <w:t>董事</w:t>
                    </w:r>
                    <w:bookmarkStart w:id="257" w:name="_GoBack"/>
                    <w:bookmarkEnd w:id="257"/>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2019</w:t>
                    </w:r>
                    <w:r>
                      <w:rPr>
                        <w:rFonts w:ascii="Times New Roman" w:cs="Times New Roman"/>
                      </w:rPr>
                      <w:t>年</w:t>
                    </w:r>
                    <w:r>
                      <w:rPr>
                        <w:rFonts w:ascii="Times New Roman" w:hAnsi="Times New Roman" w:cs="Times New Roman"/>
                      </w:rPr>
                      <w:t>11</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0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牟</w:t>
                    </w:r>
                    <w:r>
                      <w:rPr>
                        <w:rFonts w:ascii="Times New Roman" w:hAnsi="Times New Roman" w:cs="Times New Roman"/>
                      </w:rPr>
                      <w:t xml:space="preserve">  </w:t>
                    </w:r>
                    <w:r>
                      <w:rPr>
                        <w:rFonts w:ascii="Times New Roman" w:cs="Times New Roman"/>
                      </w:rPr>
                      <w:t>创</w:t>
                    </w:r>
                  </w:p>
                </w:tc>
                <w:tc>
                  <w:tcPr>
                    <w:tcW w:w="2551" w:type="dxa"/>
                    <w:vAlign w:val="center"/>
                  </w:tcPr>
                  <w:p>
                    <w:pPr>
                      <w:widowControl w:val="0"/>
                      <w:jc w:val="center"/>
                      <w:rPr>
                        <w:rFonts w:ascii="Times New Roman" w:hAnsi="Times New Roman" w:cs="Times New Roman"/>
                        <w:szCs w:val="21"/>
                      </w:rPr>
                    </w:pPr>
                    <w:r>
                      <w:rPr>
                        <w:rFonts w:ascii="Times New Roman" w:cs="Times New Roman"/>
                      </w:rPr>
                      <w:t>广西新柳邕农产品批发市场有限公司</w:t>
                    </w:r>
                  </w:p>
                </w:tc>
                <w:tc>
                  <w:tcPr>
                    <w:tcW w:w="1701" w:type="dxa"/>
                    <w:vAlign w:val="center"/>
                  </w:tcPr>
                  <w:p>
                    <w:pPr>
                      <w:widowControl w:val="0"/>
                      <w:jc w:val="center"/>
                      <w:rPr>
                        <w:rFonts w:ascii="Times New Roman" w:hAnsi="Times New Roman" w:cs="Times New Roman"/>
                        <w:szCs w:val="21"/>
                      </w:rPr>
                    </w:pPr>
                    <w:r>
                      <w:rPr>
                        <w:rFonts w:ascii="Times New Roman" w:cs="Times New Roman"/>
                      </w:rPr>
                      <w:t>副董事长</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2020</w:t>
                    </w:r>
                    <w:r>
                      <w:rPr>
                        <w:rFonts w:ascii="Times New Roman" w:cs="Times New Roman"/>
                      </w:rPr>
                      <w:t>年</w:t>
                    </w:r>
                    <w:r>
                      <w:rPr>
                        <w:rFonts w:ascii="Times New Roman" w:hAnsi="Times New Roman" w:cs="Times New Roman"/>
                      </w:rPr>
                      <w:t>4</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05"/>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张重义</w:t>
                    </w:r>
                  </w:p>
                </w:tc>
                <w:tc>
                  <w:tcPr>
                    <w:tcW w:w="2551" w:type="dxa"/>
                    <w:vAlign w:val="center"/>
                  </w:tcPr>
                  <w:p>
                    <w:pPr>
                      <w:widowControl w:val="0"/>
                      <w:jc w:val="center"/>
                      <w:rPr>
                        <w:rFonts w:ascii="Times New Roman" w:hAnsi="Times New Roman" w:cs="Times New Roman"/>
                        <w:szCs w:val="21"/>
                      </w:rPr>
                    </w:pPr>
                    <w:r>
                      <w:rPr>
                        <w:rFonts w:ascii="Times New Roman" w:cs="Times New Roman"/>
                      </w:rPr>
                      <w:t>福建农林大学</w:t>
                    </w:r>
                  </w:p>
                </w:tc>
                <w:tc>
                  <w:tcPr>
                    <w:tcW w:w="1701" w:type="dxa"/>
                    <w:vAlign w:val="center"/>
                  </w:tcPr>
                  <w:p>
                    <w:pPr>
                      <w:widowControl w:val="0"/>
                      <w:jc w:val="center"/>
                      <w:rPr>
                        <w:rFonts w:ascii="Times New Roman" w:hAnsi="Times New Roman" w:cs="Times New Roman"/>
                        <w:szCs w:val="21"/>
                      </w:rPr>
                    </w:pPr>
                    <w:r>
                      <w:rPr>
                        <w:rFonts w:ascii="Times New Roman" w:cs="Times New Roman"/>
                      </w:rPr>
                      <w:t>教授</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2012</w:t>
                    </w:r>
                    <w:r>
                      <w:rPr>
                        <w:rFonts w:ascii="Times New Roman" w:cs="Times New Roman"/>
                      </w:rPr>
                      <w:t>年</w:t>
                    </w:r>
                    <w:r>
                      <w:rPr>
                        <w:rFonts w:ascii="Times New Roman" w:hAnsi="Times New Roman" w:cs="Times New Roman"/>
                      </w:rPr>
                      <w:t>5</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06"/>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余</w:t>
                    </w:r>
                    <w:r>
                      <w:rPr>
                        <w:rFonts w:ascii="Times New Roman" w:hAnsi="Times New Roman" w:cs="Times New Roman"/>
                      </w:rPr>
                      <w:t xml:space="preserve">  </w:t>
                    </w:r>
                    <w:r>
                      <w:rPr>
                        <w:rFonts w:ascii="Times New Roman" w:cs="Times New Roman"/>
                      </w:rPr>
                      <w:t>兵</w:t>
                    </w:r>
                  </w:p>
                </w:tc>
                <w:tc>
                  <w:tcPr>
                    <w:tcW w:w="2551" w:type="dxa"/>
                    <w:vAlign w:val="center"/>
                  </w:tcPr>
                  <w:p>
                    <w:pPr>
                      <w:widowControl w:val="0"/>
                      <w:jc w:val="center"/>
                      <w:rPr>
                        <w:rFonts w:ascii="Times New Roman" w:hAnsi="Times New Roman" w:cs="Times New Roman"/>
                        <w:szCs w:val="21"/>
                      </w:rPr>
                    </w:pPr>
                    <w:r>
                      <w:rPr>
                        <w:rFonts w:ascii="Times New Roman" w:cs="Times New Roman"/>
                      </w:rPr>
                      <w:t>中兴华会计师事务所（特殊普通合伙）广西分所</w:t>
                    </w:r>
                  </w:p>
                </w:tc>
                <w:tc>
                  <w:tcPr>
                    <w:tcW w:w="1701" w:type="dxa"/>
                    <w:vAlign w:val="center"/>
                  </w:tcPr>
                  <w:p>
                    <w:pPr>
                      <w:widowControl w:val="0"/>
                      <w:jc w:val="center"/>
                      <w:rPr>
                        <w:rFonts w:ascii="Times New Roman" w:hAnsi="Times New Roman" w:cs="Times New Roman"/>
                        <w:szCs w:val="21"/>
                      </w:rPr>
                    </w:pPr>
                    <w:r>
                      <w:rPr>
                        <w:rFonts w:ascii="Times New Roman" w:cs="Times New Roman"/>
                      </w:rPr>
                      <w:t>副所长</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2017</w:t>
                    </w:r>
                    <w:r>
                      <w:rPr>
                        <w:rFonts w:ascii="Times New Roman" w:cs="Times New Roman"/>
                      </w:rPr>
                      <w:t>年</w:t>
                    </w:r>
                    <w:r>
                      <w:rPr>
                        <w:rFonts w:ascii="Times New Roman" w:hAnsi="Times New Roman" w:cs="Times New Roman"/>
                      </w:rPr>
                      <w:t>4</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07"/>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魏</w:t>
                    </w:r>
                    <w:r>
                      <w:rPr>
                        <w:rFonts w:ascii="Times New Roman" w:hAnsi="Times New Roman" w:cs="Times New Roman"/>
                      </w:rPr>
                      <w:t xml:space="preserve">  </w:t>
                    </w:r>
                    <w:r>
                      <w:rPr>
                        <w:rFonts w:ascii="Times New Roman" w:cs="Times New Roman"/>
                      </w:rPr>
                      <w:t>佳</w:t>
                    </w:r>
                  </w:p>
                </w:tc>
                <w:tc>
                  <w:tcPr>
                    <w:tcW w:w="2551" w:type="dxa"/>
                    <w:vAlign w:val="center"/>
                  </w:tcPr>
                  <w:p>
                    <w:pPr>
                      <w:widowControl w:val="0"/>
                      <w:jc w:val="center"/>
                      <w:rPr>
                        <w:rFonts w:ascii="Times New Roman" w:hAnsi="Times New Roman" w:cs="Times New Roman"/>
                        <w:szCs w:val="21"/>
                      </w:rPr>
                    </w:pPr>
                    <w:r>
                      <w:rPr>
                        <w:rFonts w:ascii="Times New Roman" w:cs="Times New Roman"/>
                      </w:rPr>
                      <w:t>广西财经学院</w:t>
                    </w:r>
                  </w:p>
                </w:tc>
                <w:tc>
                  <w:tcPr>
                    <w:tcW w:w="1701" w:type="dxa"/>
                    <w:vAlign w:val="center"/>
                  </w:tcPr>
                  <w:p>
                    <w:pPr>
                      <w:widowControl w:val="0"/>
                      <w:jc w:val="center"/>
                      <w:rPr>
                        <w:rFonts w:ascii="Times New Roman" w:hAnsi="Times New Roman" w:cs="Times New Roman"/>
                        <w:szCs w:val="21"/>
                      </w:rPr>
                    </w:pPr>
                    <w:r>
                      <w:rPr>
                        <w:rFonts w:ascii="Times New Roman" w:cs="Times New Roman"/>
                      </w:rPr>
                      <w:t>教授</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2019</w:t>
                    </w:r>
                    <w:r>
                      <w:rPr>
                        <w:rFonts w:ascii="Times New Roman" w:cs="Times New Roman"/>
                      </w:rPr>
                      <w:t>年</w:t>
                    </w:r>
                    <w:r>
                      <w:rPr>
                        <w:rFonts w:ascii="Times New Roman" w:hAnsi="Times New Roman" w:cs="Times New Roman"/>
                      </w:rPr>
                      <w:t>4</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08"/>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szCs w:val="21"/>
                      </w:rPr>
                    </w:pPr>
                    <w:r>
                      <w:rPr>
                        <w:rFonts w:ascii="Times New Roman" w:cs="Times New Roman"/>
                      </w:rPr>
                      <w:t>魏</w:t>
                    </w:r>
                    <w:r>
                      <w:rPr>
                        <w:rFonts w:ascii="Times New Roman" w:hAnsi="Times New Roman" w:cs="Times New Roman"/>
                      </w:rPr>
                      <w:t xml:space="preserve">  </w:t>
                    </w:r>
                    <w:r>
                      <w:rPr>
                        <w:rFonts w:ascii="Times New Roman" w:cs="Times New Roman"/>
                      </w:rPr>
                      <w:t>佳</w:t>
                    </w:r>
                  </w:p>
                </w:tc>
                <w:tc>
                  <w:tcPr>
                    <w:tcW w:w="2551" w:type="dxa"/>
                    <w:vAlign w:val="center"/>
                  </w:tcPr>
                  <w:p>
                    <w:pPr>
                      <w:widowControl w:val="0"/>
                      <w:jc w:val="center"/>
                      <w:rPr>
                        <w:rFonts w:ascii="Times New Roman" w:hAnsi="Times New Roman" w:cs="Times New Roman"/>
                        <w:szCs w:val="21"/>
                      </w:rPr>
                    </w:pPr>
                    <w:r>
                      <w:rPr>
                        <w:rFonts w:ascii="Times New Roman" w:cs="Times New Roman"/>
                      </w:rPr>
                      <w:t>广西桂盈律师事务所</w:t>
                    </w:r>
                  </w:p>
                </w:tc>
                <w:tc>
                  <w:tcPr>
                    <w:tcW w:w="1701" w:type="dxa"/>
                    <w:vAlign w:val="center"/>
                  </w:tcPr>
                  <w:p>
                    <w:pPr>
                      <w:widowControl w:val="0"/>
                      <w:jc w:val="center"/>
                      <w:rPr>
                        <w:rFonts w:ascii="Times New Roman" w:hAnsi="Times New Roman" w:cs="Times New Roman"/>
                        <w:szCs w:val="21"/>
                      </w:rPr>
                    </w:pPr>
                    <w:r>
                      <w:rPr>
                        <w:rFonts w:ascii="Times New Roman" w:cs="Times New Roman"/>
                      </w:rPr>
                      <w:t>律师</w:t>
                    </w:r>
                  </w:p>
                </w:tc>
                <w:tc>
                  <w:tcPr>
                    <w:tcW w:w="1701" w:type="dxa"/>
                    <w:vAlign w:val="center"/>
                  </w:tcPr>
                  <w:p>
                    <w:pPr>
                      <w:widowControl w:val="0"/>
                      <w:jc w:val="center"/>
                      <w:rPr>
                        <w:rFonts w:ascii="Times New Roman" w:hAnsi="Times New Roman" w:cs="Times New Roman"/>
                        <w:szCs w:val="21"/>
                      </w:rPr>
                    </w:pPr>
                    <w:r>
                      <w:rPr>
                        <w:rFonts w:ascii="Times New Roman" w:hAnsi="Times New Roman" w:cs="Times New Roman"/>
                      </w:rPr>
                      <w:t>2019</w:t>
                    </w:r>
                    <w:r>
                      <w:rPr>
                        <w:rFonts w:ascii="Times New Roman" w:cs="Times New Roman"/>
                      </w:rPr>
                      <w:t>年</w:t>
                    </w:r>
                    <w:r>
                      <w:rPr>
                        <w:rFonts w:ascii="Times New Roman" w:hAnsi="Times New Roman" w:cs="Times New Roman"/>
                      </w:rPr>
                      <w:t>5</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09"/>
              <w:lock w:val="sdtLocked"/>
            </w:sdtPr>
            <w:sdtEndPr>
              <w:rPr>
                <w:rFonts w:ascii="Times New Roman" w:hAnsi="Times New Roman" w:eastAsia="宋体" w:cs="Times New Roman"/>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eastAsiaTheme="minorEastAsia"/>
                        <w:kern w:val="2"/>
                        <w:szCs w:val="21"/>
                      </w:rPr>
                    </w:pPr>
                    <w:r>
                      <w:rPr>
                        <w:rFonts w:ascii="Times New Roman" w:cs="Times New Roman" w:eastAsiaTheme="minorEastAsia"/>
                        <w:kern w:val="2"/>
                        <w:szCs w:val="21"/>
                      </w:rPr>
                      <w:t>吴</w:t>
                    </w:r>
                    <w:r>
                      <w:rPr>
                        <w:rFonts w:ascii="Times New Roman" w:hAnsi="Times New Roman" w:cs="Times New Roman" w:eastAsiaTheme="minorEastAsia"/>
                        <w:kern w:val="2"/>
                        <w:szCs w:val="21"/>
                      </w:rPr>
                      <w:t xml:space="preserve">  </w:t>
                    </w:r>
                    <w:r>
                      <w:rPr>
                        <w:rFonts w:ascii="Times New Roman" w:cs="Times New Roman" w:eastAsiaTheme="minorEastAsia"/>
                        <w:kern w:val="2"/>
                        <w:szCs w:val="21"/>
                      </w:rPr>
                      <w:t>堃</w:t>
                    </w:r>
                  </w:p>
                </w:tc>
                <w:tc>
                  <w:tcPr>
                    <w:tcW w:w="2551" w:type="dxa"/>
                    <w:vAlign w:val="center"/>
                  </w:tcPr>
                  <w:p>
                    <w:pPr>
                      <w:widowControl w:val="0"/>
                      <w:jc w:val="center"/>
                      <w:rPr>
                        <w:rFonts w:ascii="Times New Roman" w:hAnsi="Times New Roman" w:cs="Times New Roman"/>
                      </w:rPr>
                    </w:pPr>
                    <w:r>
                      <w:rPr>
                        <w:rFonts w:ascii="Times New Roman" w:cs="Times New Roman"/>
                      </w:rPr>
                      <w:t>柳州两面针纸品有限公司</w:t>
                    </w:r>
                  </w:p>
                </w:tc>
                <w:tc>
                  <w:tcPr>
                    <w:tcW w:w="1701" w:type="dxa"/>
                    <w:vAlign w:val="center"/>
                  </w:tcPr>
                  <w:p>
                    <w:pPr>
                      <w:widowControl w:val="0"/>
                      <w:jc w:val="center"/>
                      <w:rPr>
                        <w:rFonts w:ascii="Times New Roman" w:hAnsi="Times New Roman" w:cs="Times New Roman"/>
                      </w:rPr>
                    </w:pPr>
                    <w:r>
                      <w:rPr>
                        <w:rFonts w:ascii="Times New Roman" w:cs="Times New Roman"/>
                      </w:rPr>
                      <w:t>董事</w:t>
                    </w:r>
                  </w:p>
                </w:tc>
                <w:tc>
                  <w:tcPr>
                    <w:tcW w:w="1701" w:type="dxa"/>
                    <w:vAlign w:val="center"/>
                  </w:tcPr>
                  <w:p>
                    <w:pPr>
                      <w:widowControl w:val="0"/>
                      <w:jc w:val="center"/>
                      <w:rPr>
                        <w:rFonts w:ascii="Times New Roman" w:hAnsi="Times New Roman" w:cs="Times New Roman"/>
                      </w:rPr>
                    </w:pPr>
                    <w:r>
                      <w:rPr>
                        <w:rFonts w:ascii="Times New Roman" w:hAnsi="Times New Roman" w:cs="Times New Roman"/>
                      </w:rPr>
                      <w:t>2018</w:t>
                    </w:r>
                    <w:r>
                      <w:rPr>
                        <w:rFonts w:ascii="Times New Roman" w:cs="Times New Roman"/>
                      </w:rPr>
                      <w:t>年</w:t>
                    </w:r>
                    <w:r>
                      <w:rPr>
                        <w:rFonts w:ascii="Times New Roman" w:hAnsi="Times New Roman" w:cs="Times New Roman"/>
                      </w:rPr>
                      <w:t>12</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2022</w:t>
                    </w:r>
                    <w:r>
                      <w:rPr>
                        <w:rFonts w:ascii="Times New Roman" w:cs="Times New Roman"/>
                        <w:szCs w:val="21"/>
                      </w:rPr>
                      <w:t>年</w:t>
                    </w:r>
                    <w:r>
                      <w:rPr>
                        <w:rFonts w:ascii="Times New Roman" w:hAnsi="Times New Roman" w:cs="Times New Roman"/>
                        <w:szCs w:val="21"/>
                      </w:rPr>
                      <w:t>3</w:t>
                    </w:r>
                    <w:r>
                      <w:rPr>
                        <w:rFonts w:ascii="Times New Roman" w:cs="Times New Roman"/>
                        <w:szCs w:val="21"/>
                      </w:rPr>
                      <w:t>月</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10"/>
              <w:lock w:val="sdtLocked"/>
            </w:sdtPr>
            <w:sdtEndPr>
              <w:rPr>
                <w:rFonts w:ascii="Times New Roman" w:hAnsi="Times New Roman" w:eastAsia="宋体" w:cs="Times New Roman"/>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eastAsiaTheme="minorEastAsia"/>
                        <w:kern w:val="2"/>
                        <w:szCs w:val="21"/>
                      </w:rPr>
                    </w:pPr>
                    <w:r>
                      <w:rPr>
                        <w:rFonts w:ascii="Times New Roman" w:cs="Times New Roman" w:eastAsiaTheme="minorEastAsia"/>
                        <w:kern w:val="2"/>
                        <w:szCs w:val="21"/>
                      </w:rPr>
                      <w:t>吴</w:t>
                    </w:r>
                    <w:r>
                      <w:rPr>
                        <w:rFonts w:ascii="Times New Roman" w:hAnsi="Times New Roman" w:cs="Times New Roman" w:eastAsiaTheme="minorEastAsia"/>
                        <w:kern w:val="2"/>
                        <w:szCs w:val="21"/>
                      </w:rPr>
                      <w:t xml:space="preserve">  </w:t>
                    </w:r>
                    <w:r>
                      <w:rPr>
                        <w:rFonts w:ascii="Times New Roman" w:cs="Times New Roman" w:eastAsiaTheme="minorEastAsia"/>
                        <w:kern w:val="2"/>
                        <w:szCs w:val="21"/>
                      </w:rPr>
                      <w:t>堃</w:t>
                    </w:r>
                  </w:p>
                </w:tc>
                <w:tc>
                  <w:tcPr>
                    <w:tcW w:w="2551" w:type="dxa"/>
                    <w:vAlign w:val="center"/>
                  </w:tcPr>
                  <w:p>
                    <w:pPr>
                      <w:widowControl w:val="0"/>
                      <w:jc w:val="center"/>
                      <w:rPr>
                        <w:rFonts w:ascii="Times New Roman" w:hAnsi="Times New Roman" w:cs="Times New Roman"/>
                      </w:rPr>
                    </w:pPr>
                    <w:r>
                      <w:rPr>
                        <w:rFonts w:ascii="Times New Roman" w:cs="Times New Roman"/>
                      </w:rPr>
                      <w:t>柳州两面针纸业有限公司</w:t>
                    </w:r>
                  </w:p>
                </w:tc>
                <w:tc>
                  <w:tcPr>
                    <w:tcW w:w="1701" w:type="dxa"/>
                    <w:vAlign w:val="center"/>
                  </w:tcPr>
                  <w:p>
                    <w:pPr>
                      <w:widowControl w:val="0"/>
                      <w:jc w:val="center"/>
                      <w:rPr>
                        <w:rFonts w:ascii="Times New Roman" w:hAnsi="Times New Roman" w:cs="Times New Roman"/>
                      </w:rPr>
                    </w:pPr>
                    <w:r>
                      <w:rPr>
                        <w:rFonts w:ascii="Times New Roman" w:cs="Times New Roman"/>
                      </w:rPr>
                      <w:t>董事</w:t>
                    </w:r>
                  </w:p>
                </w:tc>
                <w:tc>
                  <w:tcPr>
                    <w:tcW w:w="1701" w:type="dxa"/>
                    <w:vAlign w:val="center"/>
                  </w:tcPr>
                  <w:p>
                    <w:pPr>
                      <w:widowControl w:val="0"/>
                      <w:jc w:val="center"/>
                      <w:rPr>
                        <w:rFonts w:ascii="Times New Roman" w:hAnsi="Times New Roman" w:cs="Times New Roman"/>
                      </w:rPr>
                    </w:pPr>
                    <w:r>
                      <w:rPr>
                        <w:rFonts w:ascii="Times New Roman" w:hAnsi="Times New Roman" w:cs="Times New Roman"/>
                      </w:rPr>
                      <w:t>2018</w:t>
                    </w:r>
                    <w:r>
                      <w:rPr>
                        <w:rFonts w:ascii="Times New Roman" w:cs="Times New Roman"/>
                      </w:rPr>
                      <w:t>年</w:t>
                    </w:r>
                    <w:r>
                      <w:rPr>
                        <w:rFonts w:ascii="Times New Roman" w:hAnsi="Times New Roman" w:cs="Times New Roman"/>
                      </w:rPr>
                      <w:t>12</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rPr>
                      <w:t>2022</w:t>
                    </w:r>
                    <w:r>
                      <w:rPr>
                        <w:rFonts w:ascii="Times New Roman" w:cs="Times New Roman"/>
                      </w:rPr>
                      <w:t>年</w:t>
                    </w:r>
                    <w:r>
                      <w:rPr>
                        <w:rFonts w:ascii="Times New Roman" w:hAnsi="Times New Roman" w:cs="Times New Roman"/>
                      </w:rPr>
                      <w:t>3</w:t>
                    </w:r>
                    <w:r>
                      <w:rPr>
                        <w:rFonts w:ascii="Times New Roman" w:cs="Times New Roman"/>
                      </w:rPr>
                      <w:t>月</w:t>
                    </w:r>
                  </w:p>
                </w:tc>
              </w:tr>
            </w:sdtContent>
          </w:sdt>
          <w:sdt>
            <w:sdtPr>
              <w:rPr>
                <w:rFonts w:ascii="Times New Roman" w:hAnsi="Times New Roman" w:cs="Times New Roman" w:eastAsiaTheme="minorEastAsia"/>
                <w:kern w:val="2"/>
                <w:szCs w:val="21"/>
              </w:rPr>
              <w:alias w:val="董事、监事、高级管理人员在其他单位任职情况"/>
              <w:tag w:val="_TUP_f450538eb53748eeac8de5eae75c8a7f"/>
              <w:id w:val="1841111"/>
              <w:lock w:val="sdtLocked"/>
            </w:sdtPr>
            <w:sdtEndPr>
              <w:rPr>
                <w:rFonts w:ascii="Times New Roman" w:hAnsi="Times New Roman" w:eastAsia="宋体" w:cs="Times New Roman"/>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eastAsiaTheme="minorEastAsia"/>
                        <w:kern w:val="2"/>
                        <w:szCs w:val="21"/>
                      </w:rPr>
                    </w:pPr>
                    <w:r>
                      <w:rPr>
                        <w:rFonts w:ascii="Times New Roman" w:cs="Times New Roman" w:hAnsiTheme="minorHAnsi" w:eastAsiaTheme="minorEastAsia"/>
                        <w:kern w:val="2"/>
                        <w:szCs w:val="21"/>
                      </w:rPr>
                      <w:t>莫瑞珖</w:t>
                    </w:r>
                  </w:p>
                </w:tc>
                <w:tc>
                  <w:tcPr>
                    <w:tcW w:w="2551" w:type="dxa"/>
                    <w:vAlign w:val="center"/>
                  </w:tcPr>
                  <w:p>
                    <w:pPr>
                      <w:widowControl w:val="0"/>
                      <w:jc w:val="center"/>
                      <w:rPr>
                        <w:rFonts w:ascii="Times New Roman" w:hAnsi="Times New Roman" w:cs="Times New Roman"/>
                      </w:rPr>
                    </w:pPr>
                    <w:r>
                      <w:rPr>
                        <w:rFonts w:ascii="Times New Roman" w:cs="Times New Roman"/>
                      </w:rPr>
                      <w:t>柳州两面针纸业有限公司</w:t>
                    </w:r>
                  </w:p>
                </w:tc>
                <w:tc>
                  <w:tcPr>
                    <w:tcW w:w="1701" w:type="dxa"/>
                    <w:vAlign w:val="center"/>
                  </w:tcPr>
                  <w:p>
                    <w:pPr>
                      <w:widowControl w:val="0"/>
                      <w:jc w:val="center"/>
                      <w:rPr>
                        <w:rFonts w:ascii="Times New Roman" w:hAnsi="Times New Roman" w:cs="Times New Roman"/>
                      </w:rPr>
                    </w:pPr>
                    <w:r>
                      <w:rPr>
                        <w:rFonts w:ascii="Times New Roman" w:cs="Times New Roman"/>
                      </w:rPr>
                      <w:t>监事</w:t>
                    </w:r>
                  </w:p>
                </w:tc>
                <w:tc>
                  <w:tcPr>
                    <w:tcW w:w="1701" w:type="dxa"/>
                    <w:vAlign w:val="center"/>
                  </w:tcPr>
                  <w:p>
                    <w:pPr>
                      <w:widowControl w:val="0"/>
                      <w:jc w:val="center"/>
                      <w:rPr>
                        <w:rFonts w:ascii="Times New Roman" w:hAnsi="Times New Roman" w:cs="Times New Roman"/>
                        <w:sz w:val="24"/>
                      </w:rPr>
                    </w:pPr>
                    <w:r>
                      <w:rPr>
                        <w:rFonts w:ascii="Times New Roman" w:hAnsi="Times New Roman" w:cs="Times New Roman"/>
                      </w:rPr>
                      <w:t>2018</w:t>
                    </w:r>
                    <w:r>
                      <w:rPr>
                        <w:rFonts w:ascii="Times New Roman" w:cs="Times New Roman"/>
                      </w:rPr>
                      <w:t>年</w:t>
                    </w:r>
                    <w:r>
                      <w:rPr>
                        <w:rFonts w:ascii="Times New Roman" w:hAnsi="Times New Roman" w:cs="Times New Roman"/>
                      </w:rPr>
                      <w:t>12</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2022</w:t>
                    </w:r>
                    <w:r>
                      <w:rPr>
                        <w:rFonts w:ascii="Times New Roman" w:cs="Times New Roman"/>
                        <w:szCs w:val="21"/>
                      </w:rPr>
                      <w:t>年</w:t>
                    </w:r>
                    <w:r>
                      <w:rPr>
                        <w:rFonts w:ascii="Times New Roman" w:hAnsi="Times New Roman" w:cs="Times New Roman"/>
                        <w:szCs w:val="21"/>
                      </w:rPr>
                      <w:t>3</w:t>
                    </w:r>
                    <w:r>
                      <w:rPr>
                        <w:rFonts w:ascii="Times New Roman" w:cs="Times New Roman"/>
                        <w:szCs w:val="21"/>
                      </w:rPr>
                      <w:t>月</w:t>
                    </w:r>
                  </w:p>
                </w:tc>
              </w:tr>
            </w:sdtContent>
          </w:sdt>
          <w:sdt>
            <w:sdtPr>
              <w:rPr>
                <w:rFonts w:ascii="Times New Roman" w:hAnsi="Times New Roman" w:cs="Times New Roman" w:eastAsiaTheme="minorEastAsia"/>
                <w:color w:val="FF0000"/>
                <w:kern w:val="2"/>
                <w:szCs w:val="21"/>
              </w:rPr>
              <w:alias w:val="董事、监事、高级管理人员在其他单位任职情况"/>
              <w:tag w:val="_TUP_f450538eb53748eeac8de5eae75c8a7f"/>
              <w:id w:val="1841112"/>
              <w:lock w:val="sdtLocked"/>
            </w:sdtPr>
            <w:sdtEndPr>
              <w:rPr>
                <w:rFonts w:ascii="Times New Roman" w:hAnsi="Times New Roman" w:eastAsia="宋体" w:cs="Times New Roman"/>
                <w:color w:val="auto"/>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eastAsiaTheme="minorEastAsia"/>
                        <w:color w:val="FF0000"/>
                        <w:kern w:val="2"/>
                        <w:szCs w:val="21"/>
                      </w:rPr>
                    </w:pPr>
                    <w:r>
                      <w:rPr>
                        <w:rFonts w:ascii="Times New Roman" w:cs="Times New Roman"/>
                      </w:rPr>
                      <w:t>雷</w:t>
                    </w:r>
                    <w:r>
                      <w:rPr>
                        <w:rFonts w:ascii="Times New Roman" w:hAnsi="Times New Roman" w:cs="Times New Roman"/>
                      </w:rPr>
                      <w:t xml:space="preserve">  </w:t>
                    </w:r>
                    <w:r>
                      <w:rPr>
                        <w:rFonts w:ascii="Times New Roman" w:cs="Times New Roman"/>
                      </w:rPr>
                      <w:t>讯</w:t>
                    </w:r>
                  </w:p>
                </w:tc>
                <w:tc>
                  <w:tcPr>
                    <w:tcW w:w="2551" w:type="dxa"/>
                    <w:vAlign w:val="center"/>
                  </w:tcPr>
                  <w:p>
                    <w:pPr>
                      <w:widowControl w:val="0"/>
                      <w:jc w:val="center"/>
                      <w:rPr>
                        <w:rFonts w:ascii="Times New Roman" w:hAnsi="Times New Roman" w:cs="Times New Roman"/>
                        <w:color w:val="FF0000"/>
                      </w:rPr>
                    </w:pPr>
                    <w:r>
                      <w:rPr>
                        <w:rFonts w:ascii="Times New Roman" w:cs="Times New Roman"/>
                      </w:rPr>
                      <w:t>柳州两面针纸业有限公司</w:t>
                    </w:r>
                  </w:p>
                </w:tc>
                <w:tc>
                  <w:tcPr>
                    <w:tcW w:w="1701" w:type="dxa"/>
                    <w:vAlign w:val="center"/>
                  </w:tcPr>
                  <w:p>
                    <w:pPr>
                      <w:widowControl w:val="0"/>
                      <w:jc w:val="center"/>
                      <w:rPr>
                        <w:rFonts w:ascii="Times New Roman" w:hAnsi="Times New Roman" w:cs="Times New Roman"/>
                        <w:color w:val="FF0000"/>
                      </w:rPr>
                    </w:pPr>
                    <w:r>
                      <w:rPr>
                        <w:rFonts w:ascii="Times New Roman" w:cs="Times New Roman"/>
                      </w:rPr>
                      <w:t>监事</w:t>
                    </w:r>
                  </w:p>
                </w:tc>
                <w:tc>
                  <w:tcPr>
                    <w:tcW w:w="1701" w:type="dxa"/>
                    <w:vAlign w:val="center"/>
                  </w:tcPr>
                  <w:p>
                    <w:pPr>
                      <w:widowControl w:val="0"/>
                      <w:jc w:val="center"/>
                      <w:rPr>
                        <w:rFonts w:ascii="Times New Roman" w:hAnsi="Times New Roman" w:cs="Times New Roman"/>
                        <w:sz w:val="24"/>
                      </w:rPr>
                    </w:pPr>
                    <w:r>
                      <w:rPr>
                        <w:rFonts w:ascii="Times New Roman" w:hAnsi="Times New Roman" w:cs="Times New Roman"/>
                      </w:rPr>
                      <w:t>2018</w:t>
                    </w:r>
                    <w:r>
                      <w:rPr>
                        <w:rFonts w:ascii="Times New Roman" w:cs="Times New Roman"/>
                      </w:rPr>
                      <w:t>年</w:t>
                    </w:r>
                    <w:r>
                      <w:rPr>
                        <w:rFonts w:ascii="Times New Roman" w:hAnsi="Times New Roman" w:cs="Times New Roman"/>
                      </w:rPr>
                      <w:t>12</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2022</w:t>
                    </w:r>
                    <w:r>
                      <w:rPr>
                        <w:rFonts w:ascii="Times New Roman" w:cs="Times New Roman"/>
                        <w:szCs w:val="21"/>
                      </w:rPr>
                      <w:t>年</w:t>
                    </w:r>
                    <w:r>
                      <w:rPr>
                        <w:rFonts w:ascii="Times New Roman" w:hAnsi="Times New Roman" w:cs="Times New Roman"/>
                        <w:szCs w:val="21"/>
                      </w:rPr>
                      <w:t>3</w:t>
                    </w:r>
                    <w:r>
                      <w:rPr>
                        <w:rFonts w:ascii="Times New Roman" w:cs="Times New Roman"/>
                        <w:szCs w:val="21"/>
                      </w:rPr>
                      <w:t>月</w:t>
                    </w:r>
                  </w:p>
                </w:tc>
              </w:tr>
            </w:sdtContent>
          </w:sdt>
          <w:sdt>
            <w:sdtPr>
              <w:rPr>
                <w:rFonts w:ascii="Times New Roman" w:hAnsi="Times New Roman" w:cs="Times New Roman" w:eastAsiaTheme="minorEastAsia"/>
                <w:color w:val="FF0000"/>
                <w:kern w:val="2"/>
                <w:szCs w:val="21"/>
              </w:rPr>
              <w:alias w:val="董事、监事、高级管理人员在其他单位任职情况"/>
              <w:tag w:val="_TUP_f450538eb53748eeac8de5eae75c8a7f"/>
              <w:id w:val="1841113"/>
              <w:lock w:val="sdtLocked"/>
            </w:sdtPr>
            <w:sdtEndPr>
              <w:rPr>
                <w:rFonts w:ascii="Times New Roman" w:hAnsi="Times New Roman" w:eastAsia="宋体" w:cs="Times New Roman"/>
                <w:color w:val="auto"/>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eastAsiaTheme="minorEastAsia"/>
                        <w:color w:val="FF0000"/>
                        <w:kern w:val="2"/>
                        <w:szCs w:val="21"/>
                      </w:rPr>
                    </w:pPr>
                    <w:r>
                      <w:rPr>
                        <w:rFonts w:ascii="Times New Roman" w:cs="Times New Roman"/>
                      </w:rPr>
                      <w:t>叶建平</w:t>
                    </w:r>
                  </w:p>
                </w:tc>
                <w:tc>
                  <w:tcPr>
                    <w:tcW w:w="2551" w:type="dxa"/>
                    <w:vAlign w:val="center"/>
                  </w:tcPr>
                  <w:p>
                    <w:pPr>
                      <w:widowControl w:val="0"/>
                      <w:jc w:val="center"/>
                      <w:rPr>
                        <w:rFonts w:ascii="Times New Roman" w:hAnsi="Times New Roman" w:cs="Times New Roman"/>
                        <w:color w:val="FF0000"/>
                      </w:rPr>
                    </w:pPr>
                    <w:r>
                      <w:rPr>
                        <w:rFonts w:ascii="Times New Roman" w:cs="Times New Roman"/>
                      </w:rPr>
                      <w:t>柳州两面针纸品有限公司</w:t>
                    </w:r>
                  </w:p>
                </w:tc>
                <w:tc>
                  <w:tcPr>
                    <w:tcW w:w="1701" w:type="dxa"/>
                    <w:vAlign w:val="center"/>
                  </w:tcPr>
                  <w:p>
                    <w:pPr>
                      <w:widowControl w:val="0"/>
                      <w:jc w:val="center"/>
                      <w:rPr>
                        <w:rFonts w:ascii="Times New Roman" w:hAnsi="Times New Roman" w:cs="Times New Roman"/>
                        <w:color w:val="FF0000"/>
                      </w:rPr>
                    </w:pPr>
                    <w:r>
                      <w:rPr>
                        <w:rFonts w:ascii="Times New Roman" w:cs="Times New Roman"/>
                      </w:rPr>
                      <w:t>董事长、总经理</w:t>
                    </w:r>
                  </w:p>
                </w:tc>
                <w:tc>
                  <w:tcPr>
                    <w:tcW w:w="1701" w:type="dxa"/>
                    <w:vAlign w:val="center"/>
                  </w:tcPr>
                  <w:p>
                    <w:pPr>
                      <w:widowControl w:val="0"/>
                      <w:jc w:val="center"/>
                      <w:rPr>
                        <w:rFonts w:ascii="Times New Roman" w:hAnsi="Times New Roman" w:cs="Times New Roman"/>
                        <w:sz w:val="24"/>
                      </w:rPr>
                    </w:pPr>
                    <w:r>
                      <w:rPr>
                        <w:rFonts w:ascii="Times New Roman" w:hAnsi="Times New Roman" w:cs="Times New Roman"/>
                      </w:rPr>
                      <w:t>2018</w:t>
                    </w:r>
                    <w:r>
                      <w:rPr>
                        <w:rFonts w:ascii="Times New Roman" w:cs="Times New Roman"/>
                      </w:rPr>
                      <w:t>年</w:t>
                    </w:r>
                    <w:r>
                      <w:rPr>
                        <w:rFonts w:ascii="Times New Roman" w:hAnsi="Times New Roman" w:cs="Times New Roman"/>
                      </w:rPr>
                      <w:t>12</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202</w:t>
                    </w:r>
                    <w:r>
                      <w:rPr>
                        <w:rFonts w:hint="eastAsia" w:ascii="Times New Roman" w:hAnsi="Times New Roman" w:cs="Times New Roman"/>
                        <w:szCs w:val="21"/>
                      </w:rPr>
                      <w:t>1年12月</w:t>
                    </w:r>
                  </w:p>
                </w:tc>
              </w:tr>
            </w:sdtContent>
          </w:sdt>
          <w:sdt>
            <w:sdtPr>
              <w:rPr>
                <w:rFonts w:ascii="Times New Roman" w:hAnsi="Times New Roman" w:cs="Times New Roman" w:eastAsiaTheme="minorEastAsia"/>
                <w:color w:val="FF0000"/>
                <w:kern w:val="2"/>
                <w:szCs w:val="21"/>
              </w:rPr>
              <w:alias w:val="董事、监事、高级管理人员在其他单位任职情况"/>
              <w:tag w:val="_TUP_f450538eb53748eeac8de5eae75c8a7f"/>
              <w:id w:val="1841114"/>
              <w:lock w:val="sdtLocked"/>
            </w:sdtPr>
            <w:sdtEndPr>
              <w:rPr>
                <w:rFonts w:ascii="Times New Roman" w:hAnsi="Times New Roman" w:eastAsia="宋体" w:cs="Times New Roman"/>
                <w:color w:val="auto"/>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eastAsiaTheme="minorEastAsia"/>
                        <w:color w:val="FF0000"/>
                        <w:kern w:val="2"/>
                        <w:szCs w:val="21"/>
                      </w:rPr>
                    </w:pPr>
                    <w:r>
                      <w:rPr>
                        <w:rFonts w:ascii="Times New Roman" w:cs="Times New Roman"/>
                      </w:rPr>
                      <w:t>叶建平</w:t>
                    </w:r>
                  </w:p>
                </w:tc>
                <w:tc>
                  <w:tcPr>
                    <w:tcW w:w="2551" w:type="dxa"/>
                    <w:vAlign w:val="center"/>
                  </w:tcPr>
                  <w:p>
                    <w:pPr>
                      <w:widowControl w:val="0"/>
                      <w:jc w:val="center"/>
                      <w:rPr>
                        <w:rFonts w:ascii="Times New Roman" w:hAnsi="Times New Roman" w:cs="Times New Roman"/>
                        <w:color w:val="FF0000"/>
                      </w:rPr>
                    </w:pPr>
                    <w:r>
                      <w:rPr>
                        <w:rFonts w:ascii="Times New Roman" w:cs="Times New Roman"/>
                      </w:rPr>
                      <w:t>柳州两面针纸业有限公司</w:t>
                    </w:r>
                  </w:p>
                </w:tc>
                <w:tc>
                  <w:tcPr>
                    <w:tcW w:w="1701" w:type="dxa"/>
                    <w:vAlign w:val="center"/>
                  </w:tcPr>
                  <w:p>
                    <w:pPr>
                      <w:widowControl w:val="0"/>
                      <w:jc w:val="center"/>
                      <w:rPr>
                        <w:rFonts w:ascii="Times New Roman" w:hAnsi="Times New Roman" w:cs="Times New Roman"/>
                        <w:color w:val="FF0000"/>
                      </w:rPr>
                    </w:pPr>
                    <w:r>
                      <w:rPr>
                        <w:rFonts w:ascii="Times New Roman" w:cs="Times New Roman"/>
                      </w:rPr>
                      <w:t>董事长、总经理</w:t>
                    </w:r>
                  </w:p>
                </w:tc>
                <w:tc>
                  <w:tcPr>
                    <w:tcW w:w="1701" w:type="dxa"/>
                    <w:vAlign w:val="center"/>
                  </w:tcPr>
                  <w:p>
                    <w:pPr>
                      <w:widowControl w:val="0"/>
                      <w:jc w:val="center"/>
                      <w:rPr>
                        <w:rFonts w:ascii="Times New Roman" w:hAnsi="Times New Roman" w:cs="Times New Roman"/>
                        <w:sz w:val="24"/>
                      </w:rPr>
                    </w:pPr>
                    <w:r>
                      <w:rPr>
                        <w:rFonts w:ascii="Times New Roman" w:hAnsi="Times New Roman" w:cs="Times New Roman"/>
                      </w:rPr>
                      <w:t>2018</w:t>
                    </w:r>
                    <w:r>
                      <w:rPr>
                        <w:rFonts w:ascii="Times New Roman" w:cs="Times New Roman"/>
                      </w:rPr>
                      <w:t>年</w:t>
                    </w:r>
                    <w:r>
                      <w:rPr>
                        <w:rFonts w:ascii="Times New Roman" w:hAnsi="Times New Roman" w:cs="Times New Roman"/>
                      </w:rPr>
                      <w:t>12</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szCs w:val="21"/>
                      </w:rPr>
                      <w:t>202</w:t>
                    </w:r>
                    <w:r>
                      <w:rPr>
                        <w:rFonts w:hint="eastAsia" w:ascii="Times New Roman" w:hAnsi="Times New Roman" w:cs="Times New Roman"/>
                        <w:szCs w:val="21"/>
                      </w:rPr>
                      <w:t>1年12月</w:t>
                    </w:r>
                  </w:p>
                </w:tc>
              </w:tr>
            </w:sdtContent>
          </w:sdt>
          <w:sdt>
            <w:sdtPr>
              <w:rPr>
                <w:rFonts w:ascii="Times New Roman" w:hAnsi="Times New Roman" w:cs="Times New Roman" w:eastAsiaTheme="minorEastAsia"/>
                <w:color w:val="FF0000"/>
                <w:kern w:val="2"/>
                <w:szCs w:val="21"/>
              </w:rPr>
              <w:alias w:val="董事、监事、高级管理人员在其他单位任职情况"/>
              <w:tag w:val="_TUP_f450538eb53748eeac8de5eae75c8a7f"/>
              <w:id w:val="1841115"/>
              <w:lock w:val="sdtLocked"/>
            </w:sdtPr>
            <w:sdtEndPr>
              <w:rPr>
                <w:rFonts w:ascii="Times New Roman" w:hAnsi="Times New Roman" w:eastAsia="宋体" w:cs="Times New Roman"/>
                <w:color w:val="auto"/>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26" w:type="dxa"/>
                    <w:vAlign w:val="center"/>
                  </w:tcPr>
                  <w:p>
                    <w:pPr>
                      <w:widowControl w:val="0"/>
                      <w:jc w:val="center"/>
                      <w:rPr>
                        <w:rFonts w:ascii="Times New Roman" w:hAnsi="Times New Roman" w:cs="Times New Roman" w:eastAsiaTheme="minorEastAsia"/>
                        <w:color w:val="FF0000"/>
                        <w:kern w:val="2"/>
                        <w:szCs w:val="21"/>
                      </w:rPr>
                    </w:pPr>
                    <w:r>
                      <w:rPr>
                        <w:rFonts w:ascii="Times New Roman" w:cs="Times New Roman"/>
                      </w:rPr>
                      <w:t>韦元贤</w:t>
                    </w:r>
                  </w:p>
                </w:tc>
                <w:tc>
                  <w:tcPr>
                    <w:tcW w:w="2551" w:type="dxa"/>
                    <w:vAlign w:val="center"/>
                  </w:tcPr>
                  <w:p>
                    <w:pPr>
                      <w:widowControl w:val="0"/>
                      <w:jc w:val="center"/>
                      <w:rPr>
                        <w:rFonts w:ascii="Times New Roman" w:hAnsi="Times New Roman" w:cs="Times New Roman"/>
                        <w:color w:val="FF0000"/>
                      </w:rPr>
                    </w:pPr>
                    <w:r>
                      <w:rPr>
                        <w:rFonts w:ascii="Times New Roman" w:cs="Times New Roman"/>
                      </w:rPr>
                      <w:t>柳州两面针纸业有限公司</w:t>
                    </w:r>
                  </w:p>
                </w:tc>
                <w:tc>
                  <w:tcPr>
                    <w:tcW w:w="1701" w:type="dxa"/>
                    <w:vAlign w:val="center"/>
                  </w:tcPr>
                  <w:p>
                    <w:pPr>
                      <w:widowControl w:val="0"/>
                      <w:jc w:val="center"/>
                      <w:rPr>
                        <w:rFonts w:ascii="Times New Roman" w:hAnsi="Times New Roman" w:cs="Times New Roman"/>
                        <w:color w:val="FF0000"/>
                      </w:rPr>
                    </w:pPr>
                    <w:r>
                      <w:rPr>
                        <w:rFonts w:ascii="Times New Roman" w:cs="Times New Roman"/>
                      </w:rPr>
                      <w:t>董事</w:t>
                    </w:r>
                  </w:p>
                </w:tc>
                <w:tc>
                  <w:tcPr>
                    <w:tcW w:w="1701" w:type="dxa"/>
                    <w:vAlign w:val="center"/>
                  </w:tcPr>
                  <w:p>
                    <w:pPr>
                      <w:widowControl w:val="0"/>
                      <w:jc w:val="center"/>
                      <w:rPr>
                        <w:rFonts w:ascii="Times New Roman" w:hAnsi="Times New Roman" w:cs="Times New Roman"/>
                      </w:rPr>
                    </w:pPr>
                    <w:r>
                      <w:rPr>
                        <w:rFonts w:ascii="Times New Roman" w:hAnsi="Times New Roman" w:cs="Times New Roman"/>
                      </w:rPr>
                      <w:t>2018</w:t>
                    </w:r>
                    <w:r>
                      <w:rPr>
                        <w:rFonts w:ascii="Times New Roman" w:cs="Times New Roman"/>
                      </w:rPr>
                      <w:t>年</w:t>
                    </w:r>
                    <w:r>
                      <w:rPr>
                        <w:rFonts w:ascii="Times New Roman" w:hAnsi="Times New Roman" w:cs="Times New Roman"/>
                      </w:rPr>
                      <w:t>12</w:t>
                    </w:r>
                    <w:r>
                      <w:rPr>
                        <w:rFonts w:ascii="Times New Roman" w:cs="Times New Roman"/>
                      </w:rPr>
                      <w:t>月</w:t>
                    </w:r>
                  </w:p>
                </w:tc>
                <w:tc>
                  <w:tcPr>
                    <w:tcW w:w="1570" w:type="dxa"/>
                    <w:vAlign w:val="center"/>
                  </w:tcPr>
                  <w:p>
                    <w:pPr>
                      <w:widowControl w:val="0"/>
                      <w:jc w:val="center"/>
                      <w:rPr>
                        <w:rFonts w:ascii="Times New Roman" w:hAnsi="Times New Roman" w:cs="Times New Roman"/>
                        <w:szCs w:val="21"/>
                      </w:rPr>
                    </w:pPr>
                    <w:r>
                      <w:rPr>
                        <w:rFonts w:ascii="Times New Roman" w:hAnsi="Times New Roman" w:cs="Times New Roman"/>
                      </w:rPr>
                      <w:t>2022</w:t>
                    </w:r>
                    <w:r>
                      <w:rPr>
                        <w:rFonts w:ascii="Times New Roman" w:cs="Times New Roman"/>
                      </w:rPr>
                      <w:t>年</w:t>
                    </w:r>
                    <w:r>
                      <w:rPr>
                        <w:rFonts w:ascii="Times New Roman" w:hAnsi="Times New Roman" w:cs="Times New Roman"/>
                      </w:rPr>
                      <w:t>3</w:t>
                    </w:r>
                    <w:r>
                      <w:rPr>
                        <w:rFonts w:ascii="Times New Roman" w:cs="Times New Roman"/>
                      </w:rPr>
                      <w:t>月</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rPr>
                  <w:rFonts w:ascii="Times New Roman" w:hAnsi="Times New Roman" w:cs="Times New Roman"/>
                </w:rPr>
                <w:tag w:val="_PLD_e128a4d638134f30bcc8e77e343261be"/>
                <w:id w:val="1841116"/>
                <w:lock w:val="sdtLocked"/>
              </w:sdtPr>
              <w:sdtEndPr>
                <w:rPr>
                  <w:rFonts w:ascii="Times New Roman" w:hAnsi="Times New Roman" w:cs="Times New Roman"/>
                </w:rPr>
              </w:sdtEndPr>
              <w:sdtContent>
                <w:tc>
                  <w:tcPr>
                    <w:tcW w:w="1526" w:type="dxa"/>
                  </w:tcPr>
                  <w:p>
                    <w:pPr>
                      <w:widowControl w:val="0"/>
                      <w:jc w:val="both"/>
                      <w:rPr>
                        <w:rFonts w:ascii="Times New Roman" w:hAnsi="Times New Roman" w:cs="Times New Roman"/>
                        <w:szCs w:val="21"/>
                      </w:rPr>
                    </w:pPr>
                    <w:r>
                      <w:rPr>
                        <w:rFonts w:ascii="Times New Roman" w:cs="Times New Roman"/>
                        <w:szCs w:val="21"/>
                      </w:rPr>
                      <w:t>在其他单位任职情况的说明</w:t>
                    </w:r>
                  </w:p>
                </w:tc>
              </w:sdtContent>
            </w:sdt>
            <w:tc>
              <w:tcPr>
                <w:tcW w:w="7523" w:type="dxa"/>
                <w:gridSpan w:val="4"/>
                <w:vAlign w:val="center"/>
              </w:tcPr>
              <w:p>
                <w:pPr>
                  <w:widowControl w:val="0"/>
                  <w:jc w:val="both"/>
                  <w:rPr>
                    <w:rFonts w:ascii="Times New Roman" w:hAnsi="Times New Roman" w:cs="Times New Roman"/>
                    <w:szCs w:val="21"/>
                  </w:rPr>
                </w:pPr>
                <w:r>
                  <w:rPr>
                    <w:rFonts w:hint="eastAsia" w:ascii="Times New Roman" w:hAnsi="Times New Roman" w:cs="Times New Roman"/>
                    <w:szCs w:val="21"/>
                  </w:rPr>
                  <w:t>无</w:t>
                </w:r>
              </w:p>
            </w:tc>
          </w:tr>
        </w:tbl>
        <w:p/>
        <w:p>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865722709"/>
        <w:lock w:val="sdtLocked"/>
        <w:placeholder>
          <w:docPart w:val="GBC22222222222222222222222222222"/>
        </w:placeholder>
      </w:sdtPr>
      <w:sdtEndPr>
        <w:rPr>
          <w:rFonts w:ascii="Calibri" w:hAnsi="Calibri" w:cs="Times New Roman"/>
          <w:b/>
          <w:bCs/>
          <w:kern w:val="2"/>
          <w:szCs w:val="32"/>
        </w:rPr>
      </w:sdtEndPr>
      <w:sdtContent>
        <w:p>
          <w:pPr>
            <w:pStyle w:val="4"/>
            <w:numPr>
              <w:ilvl w:val="0"/>
              <w:numId w:val="22"/>
            </w:numPr>
            <w:ind w:left="0" w:firstLine="0"/>
          </w:pPr>
          <w:r>
            <w:t>董事、监事、高级管理人员报酬情况</w:t>
          </w:r>
        </w:p>
        <w:sdt>
          <w:sdtPr>
            <w:alias w:val="是否适用：董事、监事、高级管理人员报酬情况[双击切换]"/>
            <w:tag w:val="_GBC_670a12b9c1e34498888f2aafd9509848"/>
            <w:id w:val="865722703"/>
            <w:lock w:val="sdtLocked"/>
          </w:sdtPr>
          <w:sdtContent>
            <w:p>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6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9e63d19b4bb64b9f8ebbe91d33a629c4"/>
                <w:id w:val="865722704"/>
                <w:lock w:val="sdtLocked"/>
              </w:sdtPr>
              <w:sdtContent>
                <w:tc>
                  <w:tcPr>
                    <w:tcW w:w="2802" w:type="dxa"/>
                    <w:vAlign w:val="center"/>
                  </w:tcPr>
                  <w:p>
                    <w:pPr>
                      <w:widowControl w:val="0"/>
                      <w:jc w:val="both"/>
                      <w:rPr>
                        <w:szCs w:val="21"/>
                      </w:rPr>
                    </w:pPr>
                    <w:r>
                      <w:rPr>
                        <w:szCs w:val="21"/>
                      </w:rPr>
                      <w:t>董事、监事、高级管理人员报酬的决策程序</w:t>
                    </w:r>
                  </w:p>
                </w:tc>
              </w:sdtContent>
            </w:sdt>
            <w:sdt>
              <w:sdtPr>
                <w:rPr>
                  <w:rFonts w:hint="eastAsia" w:ascii="Times New Roman" w:hAnsi="Times New Roman"/>
                  <w:szCs w:val="21"/>
                </w:rPr>
                <w:alias w:val="董事、监事、高级管理人员报酬的决策程序"/>
                <w:tag w:val="_GBC_bf64cad6b5d7435388a8e69e2c05dea2"/>
                <w:id w:val="865722705"/>
                <w:lock w:val="sdtLocked"/>
              </w:sdtPr>
              <w:sdtEndPr>
                <w:rPr>
                  <w:rFonts w:hint="eastAsia" w:ascii="Times New Roman" w:hAnsi="Times New Roman"/>
                  <w:szCs w:val="21"/>
                </w:rPr>
              </w:sdtEndPr>
              <w:sdtContent>
                <w:tc>
                  <w:tcPr>
                    <w:tcW w:w="6247" w:type="dxa"/>
                    <w:vAlign w:val="center"/>
                  </w:tcPr>
                  <w:p>
                    <w:pPr>
                      <w:widowControl w:val="0"/>
                      <w:jc w:val="both"/>
                      <w:rPr>
                        <w:szCs w:val="21"/>
                      </w:rPr>
                    </w:pPr>
                    <w:r>
                      <w:rPr>
                        <w:rFonts w:hint="eastAsia"/>
                        <w:szCs w:val="21"/>
                      </w:rPr>
                      <w:t>董事、监事的报酬由股东大会决定，高级管理人员的报酬由董事会决定。公司部分董事、监事及高级管理人员的薪酬由柳州市国有资产监</w:t>
                    </w:r>
                    <w:r>
                      <w:rPr>
                        <w:szCs w:val="21"/>
                      </w:rPr>
                      <w:t>督管理委员会根据《柳州市国资委履行出资人职责企业负责人薪酬管理暂行办法》和《柳州市国资委监管企业负责人经营业绩考核暂行办法》进行考核，不属于国资委考核的公司内部董事、监事和高级管理人员，公司制定有考核办法，并据此考核发放薪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a1d35038246146c0a95c36f146481091"/>
                <w:id w:val="865722706"/>
                <w:lock w:val="sdtLocked"/>
              </w:sdtPr>
              <w:sdtContent>
                <w:tc>
                  <w:tcPr>
                    <w:tcW w:w="2802" w:type="dxa"/>
                    <w:vAlign w:val="center"/>
                  </w:tcPr>
                  <w:p>
                    <w:pPr>
                      <w:widowControl w:val="0"/>
                      <w:jc w:val="both"/>
                      <w:rPr>
                        <w:szCs w:val="21"/>
                      </w:rPr>
                    </w:pPr>
                    <w:r>
                      <w:rPr>
                        <w:szCs w:val="21"/>
                      </w:rPr>
                      <w:t>董事、监事、高级管理人员报酬确定依据</w:t>
                    </w:r>
                  </w:p>
                </w:tc>
              </w:sdtContent>
            </w:sdt>
            <w:tc>
              <w:tcPr>
                <w:tcW w:w="6247" w:type="dxa"/>
                <w:vAlign w:val="center"/>
              </w:tcPr>
              <w:p>
                <w:pPr>
                  <w:widowControl w:val="0"/>
                  <w:jc w:val="both"/>
                  <w:rPr>
                    <w:szCs w:val="21"/>
                  </w:rPr>
                </w:pPr>
                <w:r>
                  <w:rPr>
                    <w:rFonts w:hint="eastAsia"/>
                    <w:szCs w:val="21"/>
                  </w:rPr>
                  <w:t>公司对独立董事采用年度津贴的办法确定报酬，对董事、监事和高级管理人员采用（基本工资+绩效工资）的年薪制来确定报酬，绩效工资则结合公司实际完成的生产经营业绩和公司的经营目标综合确定。</w:t>
                </w:r>
              </w:p>
              <w:p>
                <w:pPr>
                  <w:widowControl w:val="0"/>
                  <w:jc w:val="both"/>
                  <w:rPr>
                    <w:szCs w:val="21"/>
                  </w:rPr>
                </w:pPr>
                <w:r>
                  <w:rPr>
                    <w:rFonts w:hint="eastAsia"/>
                    <w:szCs w:val="21"/>
                  </w:rPr>
                  <w:t>对于柳州市管干部的董事、监事、高级管理人员，公司是根据国资委的考核结果核发薪酬；对于非市管干部的董事、高管，则根据公</w:t>
                </w:r>
                <w:r>
                  <w:rPr>
                    <w:szCs w:val="21"/>
                  </w:rPr>
                  <w:t xml:space="preserve"> 司制定的考核办法，核发薪酬。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3ba8e874dcd84394a94e693e06b2269b"/>
                <w:id w:val="865722707"/>
                <w:lock w:val="sdtLocked"/>
              </w:sdtPr>
              <w:sdtContent>
                <w:tc>
                  <w:tcPr>
                    <w:tcW w:w="2802" w:type="dxa"/>
                    <w:vAlign w:val="center"/>
                  </w:tcPr>
                  <w:p>
                    <w:pPr>
                      <w:widowControl w:val="0"/>
                      <w:jc w:val="both"/>
                      <w:rPr>
                        <w:szCs w:val="21"/>
                      </w:rPr>
                    </w:pPr>
                    <w:r>
                      <w:rPr>
                        <w:szCs w:val="21"/>
                      </w:rPr>
                      <w:t>董事、监事和高级管理人员报酬的</w:t>
                    </w:r>
                    <w:r>
                      <w:rPr>
                        <w:rFonts w:hint="eastAsia"/>
                        <w:szCs w:val="21"/>
                      </w:rPr>
                      <w:t>实际支付</w:t>
                    </w:r>
                    <w:r>
                      <w:rPr>
                        <w:szCs w:val="21"/>
                      </w:rPr>
                      <w:t>情况</w:t>
                    </w:r>
                  </w:p>
                </w:tc>
              </w:sdtContent>
            </w:sdt>
            <w:tc>
              <w:tcPr>
                <w:tcW w:w="6247" w:type="dxa"/>
                <w:vAlign w:val="center"/>
              </w:tcPr>
              <w:p>
                <w:pPr>
                  <w:widowControl w:val="0"/>
                  <w:jc w:val="both"/>
                  <w:rPr>
                    <w:szCs w:val="21"/>
                  </w:rPr>
                </w:pPr>
                <w:r>
                  <w:rPr>
                    <w:rFonts w:hint="eastAsia"/>
                    <w:szCs w:val="21"/>
                  </w:rPr>
                  <w:t>见第四节“（一）现任及报告期内离任董事、监事和高级管理人员持股变动及报酬情况”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802" w:type="dxa"/>
                <w:vAlign w:val="center"/>
              </w:tcPr>
              <w:sdt>
                <w:sdtPr>
                  <w:rPr>
                    <w:rFonts w:ascii="Times New Roman" w:hAnsi="Times New Roman"/>
                    <w:szCs w:val="21"/>
                  </w:rPr>
                  <w:tag w:val="_PLD_3506ff73678e423b9d58c6066ded1f49"/>
                  <w:id w:val="865722708"/>
                  <w:lock w:val="sdtLocked"/>
                </w:sdtPr>
                <w:sdtEndPr>
                  <w:rPr>
                    <w:rFonts w:ascii="Times New Roman" w:hAnsi="Times New Roman"/>
                    <w:szCs w:val="21"/>
                  </w:rPr>
                </w:sdtEndPr>
                <w:sdtContent>
                  <w:p>
                    <w:pPr>
                      <w:widowControl w:val="0"/>
                      <w:jc w:val="both"/>
                      <w:rPr>
                        <w:szCs w:val="21"/>
                      </w:rPr>
                    </w:pPr>
                    <w:r>
                      <w:rPr>
                        <w:szCs w:val="21"/>
                      </w:rPr>
                      <w:t>报告期末全体董事、监事和高级管理人员实际获得的报酬合计</w:t>
                    </w:r>
                  </w:p>
                </w:sdtContent>
              </w:sdt>
            </w:tc>
            <w:tc>
              <w:tcPr>
                <w:tcW w:w="6247" w:type="dxa"/>
                <w:vAlign w:val="center"/>
              </w:tcPr>
              <w:p>
                <w:pPr>
                  <w:widowControl w:val="0"/>
                  <w:jc w:val="both"/>
                  <w:rPr>
                    <w:rFonts w:hint="eastAsia" w:ascii="Times New Roman" w:hAnsi="Times New Roman" w:eastAsia="宋体" w:cs="Times New Roman"/>
                    <w:szCs w:val="21"/>
                    <w:lang w:val="en-US" w:eastAsia="zh-CN"/>
                  </w:rPr>
                </w:pPr>
                <w:r>
                  <w:rPr>
                    <w:rFonts w:ascii="Times New Roman" w:hAnsi="Times New Roman" w:cs="Times New Roman"/>
                    <w:szCs w:val="21"/>
                  </w:rPr>
                  <w:t>295.62</w:t>
                </w:r>
                <w:r>
                  <w:rPr>
                    <w:rFonts w:hint="eastAsia" w:ascii="Times New Roman" w:hAnsi="Times New Roman" w:cs="Times New Roman"/>
                    <w:szCs w:val="21"/>
                    <w:lang w:val="en-US" w:eastAsia="zh-CN"/>
                  </w:rPr>
                  <w:t>万元</w:t>
                </w:r>
              </w:p>
            </w:tc>
          </w:tr>
        </w:tbl>
        <w:p/>
        <w:p>
          <w:pPr>
            <w:pStyle w:val="4"/>
          </w:pPr>
        </w:p>
      </w:sdtContent>
    </w:sdt>
    <w:p>
      <w:pPr>
        <w:pStyle w:val="4"/>
        <w:numPr>
          <w:ilvl w:val="0"/>
          <w:numId w:val="22"/>
        </w:numPr>
        <w:ind w:left="0" w:firstLine="0"/>
      </w:pPr>
      <w:r>
        <w:t>公司董事、监事、高级管理人员变动情况</w:t>
      </w:r>
    </w:p>
    <w:sdt>
      <w:sdtPr>
        <w:rPr>
          <w:b/>
          <w:bCs/>
          <w:sz w:val="24"/>
        </w:rPr>
        <w:alias w:val="模块:公司董事、监事、高级管理人员变动情况"/>
        <w:tag w:val="_SEC_f15939bc34a34b809f1af6823e6f7771"/>
        <w:id w:val="865722719"/>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86572271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262"/>
            <w:gridCol w:w="2262"/>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sdt>
              <w:sdtPr>
                <w:tag w:val="_PLD_10c0965136c84bf6abfceaef8557ae99"/>
                <w:id w:val="865722711"/>
                <w:lock w:val="sdtLocked"/>
              </w:sdtPr>
              <w:sdtContent>
                <w:tc>
                  <w:tcPr>
                    <w:tcW w:w="3522" w:type="dxa"/>
                    <w:vAlign w:val="center"/>
                  </w:tcPr>
                  <w:p>
                    <w:pPr>
                      <w:widowControl w:val="0"/>
                      <w:jc w:val="center"/>
                      <w:rPr>
                        <w:szCs w:val="21"/>
                      </w:rPr>
                    </w:pPr>
                    <w:r>
                      <w:rPr>
                        <w:szCs w:val="21"/>
                      </w:rPr>
                      <w:t>姓名</w:t>
                    </w:r>
                  </w:p>
                </w:tc>
              </w:sdtContent>
            </w:sdt>
            <w:sdt>
              <w:sdtPr>
                <w:tag w:val="_PLD_b53cc0c0661e4cffa4f7fa4f6423187d"/>
                <w:id w:val="865722712"/>
                <w:lock w:val="sdtLocked"/>
              </w:sdtPr>
              <w:sdtContent>
                <w:tc>
                  <w:tcPr>
                    <w:tcW w:w="3522" w:type="dxa"/>
                    <w:vAlign w:val="center"/>
                  </w:tcPr>
                  <w:p>
                    <w:pPr>
                      <w:widowControl w:val="0"/>
                      <w:jc w:val="center"/>
                      <w:rPr>
                        <w:szCs w:val="21"/>
                      </w:rPr>
                    </w:pPr>
                    <w:r>
                      <w:rPr>
                        <w:szCs w:val="21"/>
                      </w:rPr>
                      <w:t>担任的职务</w:t>
                    </w:r>
                  </w:p>
                </w:tc>
              </w:sdtContent>
            </w:sdt>
            <w:sdt>
              <w:sdtPr>
                <w:tag w:val="_PLD_012859f523ec430da1dfc6a86c6dde35"/>
                <w:id w:val="865722713"/>
                <w:lock w:val="sdtLocked"/>
              </w:sdtPr>
              <w:sdtContent>
                <w:tc>
                  <w:tcPr>
                    <w:tcW w:w="3522" w:type="dxa"/>
                    <w:vAlign w:val="center"/>
                  </w:tcPr>
                  <w:p>
                    <w:pPr>
                      <w:widowControl w:val="0"/>
                      <w:jc w:val="center"/>
                      <w:rPr>
                        <w:szCs w:val="21"/>
                      </w:rPr>
                    </w:pPr>
                    <w:r>
                      <w:rPr>
                        <w:szCs w:val="21"/>
                      </w:rPr>
                      <w:t>变动情形</w:t>
                    </w:r>
                  </w:p>
                </w:tc>
              </w:sdtContent>
            </w:sdt>
            <w:sdt>
              <w:sdtPr>
                <w:tag w:val="_PLD_bf76757c55de435a9638407bd56b5199"/>
                <w:id w:val="865722714"/>
                <w:lock w:val="sdtLocked"/>
              </w:sdtPr>
              <w:sdtContent>
                <w:tc>
                  <w:tcPr>
                    <w:tcW w:w="3523" w:type="dxa"/>
                    <w:vAlign w:val="center"/>
                  </w:tcPr>
                  <w:p>
                    <w:pPr>
                      <w:widowControl w:val="0"/>
                      <w:jc w:val="center"/>
                      <w:rPr>
                        <w:szCs w:val="21"/>
                      </w:rPr>
                    </w:pPr>
                    <w:r>
                      <w:rPr>
                        <w:szCs w:val="21"/>
                      </w:rPr>
                      <w:t>变动原因</w:t>
                    </w:r>
                  </w:p>
                </w:tc>
              </w:sdtContent>
            </w:sdt>
          </w:tr>
          <w:sdt>
            <w:sdtPr>
              <w:rPr>
                <w:szCs w:val="21"/>
              </w:rPr>
              <w:alias w:val="在报告期内公司董事、监事、高级管理人员变动情况"/>
              <w:tag w:val="_TUP_a555fc40054b4d6a94d6a1901fa38c91"/>
              <w:id w:val="865722716"/>
              <w:lock w:val="sdtLocked"/>
              <w:placeholder>
                <w:docPart w:val="GBC11111111111111111111111111111"/>
              </w:placeholder>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rPr>
                        <w:rFonts w:hint="eastAsia"/>
                        <w:szCs w:val="21"/>
                      </w:rPr>
                      <w:t>方宇</w:t>
                    </w:r>
                  </w:p>
                </w:tc>
                <w:tc>
                  <w:tcPr>
                    <w:tcW w:w="3522" w:type="dxa"/>
                  </w:tcPr>
                  <w:p>
                    <w:pPr>
                      <w:widowControl w:val="0"/>
                      <w:jc w:val="center"/>
                      <w:rPr>
                        <w:szCs w:val="21"/>
                      </w:rPr>
                    </w:pPr>
                    <w:r>
                      <w:rPr>
                        <w:rFonts w:hint="eastAsia"/>
                        <w:szCs w:val="21"/>
                      </w:rPr>
                      <w:t>原职工董事</w:t>
                    </w:r>
                  </w:p>
                </w:tc>
                <w:sdt>
                  <w:sdtPr>
                    <w:rPr>
                      <w:rFonts w:ascii="Times New Roman" w:hAnsi="Times New Roman"/>
                      <w:szCs w:val="21"/>
                    </w:rPr>
                    <w:alias w:val="公司董事、监事、高级管理人员的变动情形"/>
                    <w:tag w:val="_GBC_258f9ad482344d5fbc1587e6faf0ed7b"/>
                    <w:id w:val="865722715"/>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szCs w:val="21"/>
                          </w:rPr>
                          <w:t>离任</w:t>
                        </w:r>
                      </w:p>
                    </w:tc>
                  </w:sdtContent>
                </w:sdt>
                <w:tc>
                  <w:tcPr>
                    <w:tcW w:w="3523" w:type="dxa"/>
                  </w:tcPr>
                  <w:p>
                    <w:pPr>
                      <w:widowControl w:val="0"/>
                      <w:jc w:val="center"/>
                      <w:rPr>
                        <w:szCs w:val="21"/>
                      </w:rPr>
                    </w:pPr>
                    <w:r>
                      <w:rPr>
                        <w:rFonts w:hint="eastAsia"/>
                        <w:szCs w:val="21"/>
                      </w:rPr>
                      <w:t>任期届满</w:t>
                    </w:r>
                  </w:p>
                </w:tc>
              </w:tr>
            </w:sdtContent>
          </w:sdt>
          <w:sdt>
            <w:sdtPr>
              <w:rPr>
                <w:szCs w:val="21"/>
              </w:rPr>
              <w:alias w:val="在报告期内公司董事、监事、高级管理人员变动情况"/>
              <w:tag w:val="_TUP_a555fc40054b4d6a94d6a1901fa38c91"/>
              <w:id w:val="865722718"/>
              <w:lock w:val="sdtLocked"/>
              <w:placeholder>
                <w:docPart w:val="GBC11111111111111111111111111111"/>
              </w:placeholder>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rPr>
                        <w:rFonts w:hint="eastAsia"/>
                        <w:szCs w:val="21"/>
                      </w:rPr>
                      <w:t>唐鹏</w:t>
                    </w:r>
                  </w:p>
                </w:tc>
                <w:tc>
                  <w:tcPr>
                    <w:tcW w:w="3522" w:type="dxa"/>
                  </w:tcPr>
                  <w:p>
                    <w:pPr>
                      <w:widowControl w:val="0"/>
                      <w:jc w:val="center"/>
                      <w:rPr>
                        <w:szCs w:val="21"/>
                      </w:rPr>
                    </w:pPr>
                    <w:r>
                      <w:rPr>
                        <w:rFonts w:hint="eastAsia"/>
                        <w:szCs w:val="21"/>
                      </w:rPr>
                      <w:t>职工董事</w:t>
                    </w:r>
                  </w:p>
                </w:tc>
                <w:sdt>
                  <w:sdtPr>
                    <w:rPr>
                      <w:rFonts w:ascii="Times New Roman" w:hAnsi="Times New Roman"/>
                      <w:szCs w:val="21"/>
                    </w:rPr>
                    <w:alias w:val="公司董事、监事、高级管理人员的变动情形"/>
                    <w:tag w:val="_GBC_258f9ad482344d5fbc1587e6faf0ed7b"/>
                    <w:id w:val="865722717"/>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szCs w:val="21"/>
                          </w:rPr>
                          <w:t>选举</w:t>
                        </w:r>
                      </w:p>
                    </w:tc>
                  </w:sdtContent>
                </w:sdt>
                <w:tc>
                  <w:tcPr>
                    <w:tcW w:w="3523" w:type="dxa"/>
                  </w:tcPr>
                  <w:p>
                    <w:pPr>
                      <w:widowControl w:val="0"/>
                      <w:jc w:val="center"/>
                      <w:rPr>
                        <w:szCs w:val="21"/>
                      </w:rPr>
                    </w:pPr>
                    <w:r>
                      <w:rPr>
                        <w:rFonts w:hint="eastAsia"/>
                        <w:szCs w:val="21"/>
                      </w:rPr>
                      <w:t>选举产生</w:t>
                    </w:r>
                  </w:p>
                </w:tc>
              </w:tr>
            </w:sdtContent>
          </w:sdt>
        </w:tbl>
        <w:p/>
      </w:sdtContent>
    </w:sdt>
    <w:sdt>
      <w:sdtPr>
        <w:rPr>
          <w:rFonts w:hint="eastAsia" w:ascii="宋体" w:hAnsi="宋体" w:cs="宋体"/>
          <w:b w:val="0"/>
          <w:bCs w:val="0"/>
          <w:kern w:val="0"/>
          <w:szCs w:val="24"/>
        </w:rPr>
        <w:alias w:val="模块:近三年受证券监管机构处罚的情况说明"/>
        <w:tag w:val="_SEC_875293df28e7452fbf15edc09d4ebaa5"/>
        <w:id w:val="865722721"/>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22"/>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865722720"/>
            <w:lock w:val="sdtLocked"/>
            <w:placeholder>
              <w:docPart w:val="GBC22222222222222222222222222222"/>
            </w:placeholder>
          </w:sdtPr>
          <w:sdtEndPr>
            <w:rPr>
              <w:szCs w:val="21"/>
            </w:rPr>
          </w:sdtEndPr>
          <w:sdtContent>
            <w:p>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ascii="宋体" w:hAnsi="宋体" w:cs="宋体"/>
          <w:b w:val="0"/>
          <w:bCs w:val="0"/>
          <w:kern w:val="0"/>
          <w:sz w:val="24"/>
          <w:szCs w:val="22"/>
        </w:rPr>
        <w:alias w:val="模块:董事、监事、高级管理人员情况其他说明"/>
        <w:tag w:val="_SEC_7c52a48d2cd64b13b7d6772842750ace"/>
        <w:id w:val="865722723"/>
        <w:lock w:val="sdtLocked"/>
        <w:placeholder>
          <w:docPart w:val="GBC22222222222222222222222222222"/>
        </w:placeholder>
      </w:sdtPr>
      <w:sdtEndPr>
        <w:rPr>
          <w:rFonts w:hint="default" w:ascii="宋体" w:hAnsi="宋体" w:cs="宋体"/>
          <w:b w:val="0"/>
          <w:bCs w:val="0"/>
          <w:kern w:val="0"/>
          <w:sz w:val="21"/>
          <w:szCs w:val="21"/>
        </w:rPr>
      </w:sdtEndPr>
      <w:sdtContent>
        <w:p>
          <w:pPr>
            <w:pStyle w:val="4"/>
            <w:numPr>
              <w:ilvl w:val="0"/>
              <w:numId w:val="22"/>
            </w:numPr>
            <w:ind w:left="0" w:firstLine="0"/>
          </w:pPr>
          <w:bookmarkStart w:id="48" w:name="_Hlk89182759"/>
          <w:r>
            <w:rPr>
              <w:rFonts w:hint="eastAsia"/>
            </w:rPr>
            <w:t>其他</w:t>
          </w:r>
        </w:p>
        <w:sdt>
          <w:sdtPr>
            <w:rPr>
              <w:rFonts w:hint="eastAsia"/>
              <w:bCs/>
              <w:szCs w:val="21"/>
            </w:rPr>
            <w:alias w:val="是否适用：其他董事、监事、高级管理人员情况说明[双击切换]"/>
            <w:tag w:val="_GBC_6698e1cba7354d29b0fcdbb38e7287d6"/>
            <w:id w:val="865722722"/>
            <w:lock w:val="sdtLocked"/>
            <w:placeholder>
              <w:docPart w:val="GBC22222222222222222222222222222"/>
            </w:placeholder>
          </w:sdtPr>
          <w:sdtEndPr>
            <w:rPr>
              <w:rFonts w:hint="eastAsia"/>
              <w:bCs/>
              <w:szCs w:val="21"/>
            </w:rPr>
          </w:sdtEndPr>
          <w:sdtContent>
            <w:p>
              <w:pPr>
                <w:rPr>
                  <w:bCs/>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p>
              <w:pPr>
                <w:rPr>
                  <w:szCs w:val="21"/>
                </w:rPr>
              </w:pPr>
            </w:p>
          </w:sdtContent>
        </w:sdt>
      </w:sdtContent>
    </w:sdt>
    <w:bookmarkEnd w:id="48"/>
    <w:sdt>
      <w:sdtPr>
        <w:rPr>
          <w:rFonts w:ascii="宋体" w:hAnsi="宋体" w:cs="宋体"/>
          <w:b w:val="0"/>
          <w:bCs w:val="0"/>
          <w:kern w:val="0"/>
          <w:szCs w:val="24"/>
        </w:rPr>
        <w:alias w:val="模块:报告期内召开的董事会有关情况会议届次召开日期会议决议 ..."/>
        <w:tag w:val="_SEC_f26a891bf12b4933b3f1bfbbb495b260"/>
        <w:id w:val="865722734"/>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21"/>
            </w:numPr>
            <w:ind w:left="450" w:hanging="450"/>
          </w:pPr>
          <w:bookmarkStart w:id="49" w:name="_Hlk89182953"/>
          <w:r>
            <w:t>报告期内召开的董事会有关情况</w:t>
          </w:r>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841"/>
            <w:gridCol w:w="5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ascii="Times New Roman" w:hAnsi="Times New Roman" w:cs="Times New Roman"/>
                  <w:szCs w:val="21"/>
                </w:rPr>
                <w:tag w:val="_PLD_419815d8d7794e1c9b7ce587c2f61ac6"/>
                <w:id w:val="865722724"/>
                <w:lock w:val="sdtLocked"/>
              </w:sdtPr>
              <w:sdtEndPr>
                <w:rPr>
                  <w:rFonts w:ascii="Times New Roman" w:hAnsi="Times New Roman" w:cs="Times New Roman"/>
                  <w:szCs w:val="21"/>
                </w:rPr>
              </w:sdtEndPr>
              <w:sdtContent>
                <w:tc>
                  <w:tcPr>
                    <w:tcW w:w="1000" w:type="pct"/>
                    <w:vAlign w:val="center"/>
                  </w:tcPr>
                  <w:p>
                    <w:pPr>
                      <w:jc w:val="center"/>
                      <w:rPr>
                        <w:rFonts w:ascii="Times New Roman" w:hAnsi="Times New Roman" w:cs="Times New Roman"/>
                        <w:szCs w:val="21"/>
                      </w:rPr>
                    </w:pPr>
                    <w:r>
                      <w:rPr>
                        <w:rFonts w:ascii="Times New Roman" w:cs="Times New Roman"/>
                        <w:szCs w:val="21"/>
                      </w:rPr>
                      <w:t>会议届次</w:t>
                    </w:r>
                  </w:p>
                </w:tc>
              </w:sdtContent>
            </w:sdt>
            <w:sdt>
              <w:sdtPr>
                <w:rPr>
                  <w:rFonts w:ascii="Times New Roman" w:hAnsi="Times New Roman" w:cs="Times New Roman"/>
                  <w:szCs w:val="21"/>
                </w:rPr>
                <w:tag w:val="_PLD_ab185594a631433a8b0a8263eb8e554f"/>
                <w:id w:val="865722725"/>
                <w:lock w:val="sdtLocked"/>
              </w:sdtPr>
              <w:sdtEndPr>
                <w:rPr>
                  <w:rFonts w:ascii="Times New Roman" w:hAnsi="Times New Roman" w:cs="Times New Roman"/>
                  <w:szCs w:val="21"/>
                </w:rPr>
              </w:sdtEndPr>
              <w:sdtContent>
                <w:tc>
                  <w:tcPr>
                    <w:tcW w:w="1017" w:type="pct"/>
                    <w:vAlign w:val="center"/>
                  </w:tcPr>
                  <w:p>
                    <w:pPr>
                      <w:jc w:val="center"/>
                      <w:rPr>
                        <w:rFonts w:ascii="Times New Roman" w:hAnsi="Times New Roman" w:cs="Times New Roman"/>
                        <w:szCs w:val="21"/>
                      </w:rPr>
                    </w:pPr>
                    <w:r>
                      <w:rPr>
                        <w:rFonts w:ascii="Times New Roman" w:cs="Times New Roman"/>
                        <w:szCs w:val="21"/>
                      </w:rPr>
                      <w:t>召开日期</w:t>
                    </w:r>
                  </w:p>
                </w:tc>
              </w:sdtContent>
            </w:sdt>
            <w:sdt>
              <w:sdtPr>
                <w:rPr>
                  <w:rFonts w:ascii="Times New Roman" w:hAnsi="Times New Roman" w:cs="Times New Roman"/>
                  <w:szCs w:val="21"/>
                </w:rPr>
                <w:tag w:val="_PLD_12539db1b22e4f4592d7456feb9f22a6"/>
                <w:id w:val="865722726"/>
                <w:lock w:val="sdtLocked"/>
              </w:sdtPr>
              <w:sdtEndPr>
                <w:rPr>
                  <w:rFonts w:ascii="Times New Roman" w:hAnsi="Times New Roman" w:cs="Times New Roman"/>
                  <w:szCs w:val="21"/>
                </w:rPr>
              </w:sdtEndPr>
              <w:sdtContent>
                <w:tc>
                  <w:tcPr>
                    <w:tcW w:w="2983" w:type="pct"/>
                    <w:vAlign w:val="center"/>
                  </w:tcPr>
                  <w:p>
                    <w:pPr>
                      <w:jc w:val="center"/>
                      <w:rPr>
                        <w:rFonts w:ascii="Times New Roman" w:hAnsi="Times New Roman" w:cs="Times New Roman"/>
                        <w:szCs w:val="21"/>
                      </w:rPr>
                    </w:pPr>
                    <w:r>
                      <w:rPr>
                        <w:rFonts w:ascii="Times New Roman" w:cs="Times New Roman"/>
                        <w:szCs w:val="21"/>
                      </w:rPr>
                      <w:t>会议决议</w:t>
                    </w:r>
                  </w:p>
                </w:tc>
              </w:sdtContent>
            </w:sdt>
          </w:tr>
          <w:sdt>
            <w:sdtPr>
              <w:rPr>
                <w:rFonts w:ascii="Times New Roman" w:hAnsi="Times New Roman" w:cs="Times New Roman"/>
                <w:szCs w:val="21"/>
              </w:rPr>
              <w:alias w:val="报告期内召开的董事会有关情况明细"/>
              <w:tag w:val="_TUP_d2300a8afd5d45bcb80715a90b1a6cbc"/>
              <w:id w:val="86572272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0" w:type="pct"/>
                    <w:vAlign w:val="center"/>
                  </w:tcPr>
                  <w:p>
                    <w:pPr>
                      <w:jc w:val="both"/>
                      <w:rPr>
                        <w:rFonts w:ascii="Times New Roman" w:hAnsi="Times New Roman" w:cs="Times New Roman"/>
                        <w:szCs w:val="21"/>
                      </w:rPr>
                    </w:pPr>
                    <w:r>
                      <w:rPr>
                        <w:rFonts w:ascii="Times New Roman" w:cs="Times New Roman"/>
                        <w:szCs w:val="21"/>
                      </w:rPr>
                      <w:t>第七届董事会第二十二次会议</w:t>
                    </w:r>
                  </w:p>
                </w:tc>
                <w:tc>
                  <w:tcPr>
                    <w:tcW w:w="1017" w:type="pct"/>
                    <w:vAlign w:val="center"/>
                  </w:tcPr>
                  <w:p>
                    <w:pPr>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3</w:t>
                    </w:r>
                    <w:r>
                      <w:rPr>
                        <w:rFonts w:ascii="Times New Roman" w:cs="Times New Roman"/>
                        <w:szCs w:val="21"/>
                      </w:rPr>
                      <w:t>月</w:t>
                    </w:r>
                    <w:r>
                      <w:rPr>
                        <w:rFonts w:ascii="Times New Roman" w:hAnsi="Times New Roman" w:cs="Times New Roman"/>
                        <w:szCs w:val="21"/>
                      </w:rPr>
                      <w:t>29</w:t>
                    </w:r>
                    <w:r>
                      <w:rPr>
                        <w:rFonts w:ascii="Times New Roman" w:cs="Times New Roman"/>
                        <w:szCs w:val="21"/>
                      </w:rPr>
                      <w:t>日</w:t>
                    </w:r>
                  </w:p>
                </w:tc>
                <w:tc>
                  <w:tcPr>
                    <w:tcW w:w="2983" w:type="pct"/>
                    <w:vAlign w:val="center"/>
                  </w:tcPr>
                  <w:p>
                    <w:pPr>
                      <w:jc w:val="both"/>
                      <w:rPr>
                        <w:rFonts w:ascii="Times New Roman" w:hAnsi="Times New Roman" w:cs="Times New Roman"/>
                        <w:szCs w:val="21"/>
                      </w:rPr>
                    </w:pPr>
                    <w:r>
                      <w:rPr>
                        <w:rFonts w:ascii="Times New Roman" w:hAnsi="Times New Roman" w:cs="Times New Roman"/>
                        <w:szCs w:val="21"/>
                      </w:rPr>
                      <w:t>审议通过以下议案：</w:t>
                    </w:r>
                  </w:p>
                  <w:p>
                    <w:pPr>
                      <w:jc w:val="both"/>
                      <w:rPr>
                        <w:rFonts w:ascii="Times New Roman" w:hAnsi="Times New Roman" w:cs="Times New Roman"/>
                        <w:szCs w:val="21"/>
                      </w:rPr>
                    </w:pPr>
                    <w:r>
                      <w:rPr>
                        <w:rFonts w:ascii="Times New Roman" w:hAnsi="Times New Roman" w:cs="Times New Roman"/>
                        <w:szCs w:val="21"/>
                      </w:rPr>
                      <w:t>《2020年度董事会工作报告》                                                                                 《2020年度独立董事述职报告》</w:t>
                    </w:r>
                    <w:r>
                      <w:rPr>
                        <w:rFonts w:ascii="Times New Roman" w:hAnsi="Times New Roman" w:cs="Times New Roman"/>
                        <w:szCs w:val="21"/>
                      </w:rPr>
                      <w:br w:type="textWrapping"/>
                    </w:r>
                    <w:r>
                      <w:rPr>
                        <w:rFonts w:ascii="Times New Roman" w:hAnsi="Times New Roman" w:cs="Times New Roman"/>
                        <w:szCs w:val="21"/>
                      </w:rPr>
                      <w:t>《2020年度董事会审计委员会履职报告》                                                                                          《2020年度财务决算报告》</w:t>
                    </w:r>
                    <w:r>
                      <w:rPr>
                        <w:rFonts w:ascii="Times New Roman" w:hAnsi="Times New Roman" w:cs="Times New Roman"/>
                        <w:szCs w:val="21"/>
                      </w:rPr>
                      <w:br w:type="textWrapping"/>
                    </w:r>
                    <w:r>
                      <w:rPr>
                        <w:rFonts w:ascii="Times New Roman" w:hAnsi="Times New Roman" w:cs="Times New Roman"/>
                        <w:szCs w:val="21"/>
                      </w:rPr>
                      <w:t>《2020年年度报告（全文及摘要）》</w:t>
                    </w:r>
                    <w:r>
                      <w:rPr>
                        <w:rFonts w:ascii="Times New Roman" w:hAnsi="Times New Roman" w:cs="Times New Roman"/>
                        <w:szCs w:val="21"/>
                      </w:rPr>
                      <w:br w:type="textWrapping"/>
                    </w:r>
                    <w:r>
                      <w:rPr>
                        <w:rFonts w:ascii="Times New Roman" w:hAnsi="Times New Roman" w:cs="Times New Roman"/>
                        <w:szCs w:val="21"/>
                      </w:rPr>
                      <w:t>《2020年度利润分配预案》</w:t>
                    </w:r>
                    <w:r>
                      <w:rPr>
                        <w:rFonts w:ascii="Times New Roman" w:hAnsi="Times New Roman" w:cs="Times New Roman"/>
                        <w:szCs w:val="21"/>
                      </w:rPr>
                      <w:br w:type="textWrapping"/>
                    </w:r>
                    <w:r>
                      <w:rPr>
                        <w:rFonts w:ascii="Times New Roman" w:hAnsi="Times New Roman" w:cs="Times New Roman"/>
                        <w:szCs w:val="21"/>
                      </w:rPr>
                      <w:t>《2020年度内部控制评价报告》</w:t>
                    </w:r>
                    <w:r>
                      <w:rPr>
                        <w:rFonts w:ascii="Times New Roman" w:hAnsi="Times New Roman" w:cs="Times New Roman"/>
                        <w:szCs w:val="21"/>
                      </w:rPr>
                      <w:br w:type="textWrapping"/>
                    </w:r>
                    <w:r>
                      <w:rPr>
                        <w:rFonts w:ascii="Times New Roman" w:hAnsi="Times New Roman" w:cs="Times New Roman"/>
                        <w:szCs w:val="21"/>
                      </w:rPr>
                      <w:t>《关于授权管理层贷款的议案》</w:t>
                    </w:r>
                    <w:r>
                      <w:rPr>
                        <w:rFonts w:ascii="Times New Roman" w:hAnsi="Times New Roman" w:cs="Times New Roman"/>
                        <w:szCs w:val="21"/>
                      </w:rPr>
                      <w:br w:type="textWrapping"/>
                    </w:r>
                    <w:r>
                      <w:rPr>
                        <w:rFonts w:ascii="Times New Roman" w:hAnsi="Times New Roman" w:cs="Times New Roman"/>
                        <w:szCs w:val="21"/>
                      </w:rPr>
                      <w:t>《关于为广西两面针亿康药业股份有限公司提供银行贷款担保的议案》</w:t>
                    </w:r>
                  </w:p>
                </w:tc>
              </w:tr>
            </w:sdtContent>
          </w:sdt>
          <w:sdt>
            <w:sdtPr>
              <w:rPr>
                <w:rFonts w:ascii="Times New Roman" w:hAnsi="Times New Roman" w:cs="Times New Roman"/>
                <w:szCs w:val="21"/>
              </w:rPr>
              <w:alias w:val="报告期内召开的董事会有关情况明细"/>
              <w:tag w:val="_TUP_d2300a8afd5d45bcb80715a90b1a6cbc"/>
              <w:id w:val="86572272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0" w:type="pct"/>
                    <w:vAlign w:val="center"/>
                  </w:tcPr>
                  <w:p>
                    <w:pPr>
                      <w:jc w:val="both"/>
                      <w:rPr>
                        <w:rFonts w:ascii="Times New Roman" w:hAnsi="Times New Roman" w:cs="Times New Roman"/>
                        <w:szCs w:val="21"/>
                      </w:rPr>
                    </w:pPr>
                    <w:r>
                      <w:rPr>
                        <w:rFonts w:ascii="Times New Roman" w:cs="Times New Roman"/>
                        <w:szCs w:val="21"/>
                      </w:rPr>
                      <w:t>第七届董事会第二十三次会议</w:t>
                    </w:r>
                  </w:p>
                </w:tc>
                <w:tc>
                  <w:tcPr>
                    <w:tcW w:w="1017" w:type="pct"/>
                    <w:vAlign w:val="center"/>
                  </w:tcPr>
                  <w:p>
                    <w:pPr>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4</w:t>
                    </w:r>
                    <w:r>
                      <w:rPr>
                        <w:rFonts w:ascii="Times New Roman" w:cs="Times New Roman"/>
                        <w:szCs w:val="21"/>
                      </w:rPr>
                      <w:t>月</w:t>
                    </w:r>
                    <w:r>
                      <w:rPr>
                        <w:rFonts w:ascii="Times New Roman" w:hAnsi="Times New Roman" w:cs="Times New Roman"/>
                        <w:szCs w:val="21"/>
                      </w:rPr>
                      <w:t>28</w:t>
                    </w:r>
                    <w:r>
                      <w:rPr>
                        <w:rFonts w:ascii="Times New Roman" w:cs="Times New Roman"/>
                        <w:szCs w:val="21"/>
                      </w:rPr>
                      <w:t>日</w:t>
                    </w:r>
                  </w:p>
                </w:tc>
                <w:tc>
                  <w:tcPr>
                    <w:tcW w:w="2983" w:type="pct"/>
                    <w:vAlign w:val="center"/>
                  </w:tcPr>
                  <w:p>
                    <w:pPr>
                      <w:jc w:val="both"/>
                      <w:rPr>
                        <w:rFonts w:ascii="Times New Roman" w:hAnsi="Times New Roman" w:cs="Times New Roman"/>
                        <w:szCs w:val="21"/>
                      </w:rPr>
                    </w:pPr>
                    <w:r>
                      <w:rPr>
                        <w:rFonts w:ascii="Times New Roman" w:hAnsi="Times New Roman" w:cs="Times New Roman"/>
                        <w:szCs w:val="21"/>
                      </w:rPr>
                      <w:t>审议通过以下议案：</w:t>
                    </w:r>
                  </w:p>
                  <w:p>
                    <w:pPr>
                      <w:jc w:val="both"/>
                      <w:rPr>
                        <w:rFonts w:ascii="Times New Roman" w:hAnsi="Times New Roman" w:cs="Times New Roman"/>
                        <w:szCs w:val="21"/>
                      </w:rPr>
                    </w:pPr>
                    <w:r>
                      <w:rPr>
                        <w:rFonts w:ascii="Times New Roman" w:cs="Times New Roman"/>
                        <w:color w:val="000000"/>
                        <w:szCs w:val="21"/>
                      </w:rPr>
                      <w:t>《</w:t>
                    </w:r>
                    <w:r>
                      <w:rPr>
                        <w:rFonts w:ascii="Times New Roman" w:hAnsi="Times New Roman" w:cs="Times New Roman"/>
                        <w:color w:val="000000"/>
                        <w:szCs w:val="21"/>
                      </w:rPr>
                      <w:t>2021</w:t>
                    </w:r>
                    <w:r>
                      <w:rPr>
                        <w:rFonts w:ascii="Times New Roman" w:cs="Times New Roman"/>
                        <w:color w:val="000000"/>
                        <w:szCs w:val="21"/>
                      </w:rPr>
                      <w:t>年一季度度报告（全文及正文）》</w:t>
                    </w:r>
                  </w:p>
                </w:tc>
              </w:tr>
            </w:sdtContent>
          </w:sdt>
          <w:sdt>
            <w:sdtPr>
              <w:rPr>
                <w:rFonts w:ascii="Times New Roman" w:hAnsi="Times New Roman" w:cs="Times New Roman"/>
                <w:szCs w:val="21"/>
              </w:rPr>
              <w:alias w:val="报告期内召开的董事会有关情况明细"/>
              <w:tag w:val="_TUP_d2300a8afd5d45bcb80715a90b1a6cbc"/>
              <w:id w:val="86572272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0" w:type="pct"/>
                    <w:vAlign w:val="center"/>
                  </w:tcPr>
                  <w:p>
                    <w:pPr>
                      <w:jc w:val="both"/>
                      <w:rPr>
                        <w:rFonts w:ascii="Times New Roman" w:hAnsi="Times New Roman" w:cs="Times New Roman"/>
                        <w:szCs w:val="21"/>
                      </w:rPr>
                    </w:pPr>
                    <w:r>
                      <w:rPr>
                        <w:rFonts w:ascii="Times New Roman" w:cs="Times New Roman"/>
                        <w:szCs w:val="21"/>
                      </w:rPr>
                      <w:t>第七届董事会第二十四次会议</w:t>
                    </w:r>
                  </w:p>
                </w:tc>
                <w:tc>
                  <w:tcPr>
                    <w:tcW w:w="1017" w:type="pct"/>
                    <w:vAlign w:val="center"/>
                  </w:tcPr>
                  <w:p>
                    <w:pPr>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6</w:t>
                    </w:r>
                    <w:r>
                      <w:rPr>
                        <w:rFonts w:ascii="Times New Roman" w:cs="Times New Roman"/>
                        <w:szCs w:val="21"/>
                      </w:rPr>
                      <w:t>月</w:t>
                    </w:r>
                    <w:r>
                      <w:rPr>
                        <w:rFonts w:ascii="Times New Roman" w:hAnsi="Times New Roman" w:cs="Times New Roman"/>
                        <w:szCs w:val="21"/>
                      </w:rPr>
                      <w:t>8</w:t>
                    </w:r>
                    <w:r>
                      <w:rPr>
                        <w:rFonts w:ascii="Times New Roman" w:cs="Times New Roman"/>
                        <w:szCs w:val="21"/>
                      </w:rPr>
                      <w:t>日</w:t>
                    </w:r>
                  </w:p>
                </w:tc>
                <w:tc>
                  <w:tcPr>
                    <w:tcW w:w="2983" w:type="pct"/>
                    <w:vAlign w:val="center"/>
                  </w:tcPr>
                  <w:p>
                    <w:pPr>
                      <w:jc w:val="both"/>
                      <w:rPr>
                        <w:rFonts w:ascii="Times New Roman" w:hAnsi="Times New Roman" w:cs="Times New Roman"/>
                        <w:szCs w:val="21"/>
                      </w:rPr>
                    </w:pPr>
                    <w:r>
                      <w:rPr>
                        <w:rFonts w:ascii="Times New Roman" w:hAnsi="Times New Roman" w:cs="Times New Roman"/>
                        <w:szCs w:val="21"/>
                      </w:rPr>
                      <w:t>审议通过以下议案：</w:t>
                    </w:r>
                  </w:p>
                  <w:p>
                    <w:pPr>
                      <w:jc w:val="both"/>
                      <w:rPr>
                        <w:rFonts w:ascii="Times New Roman" w:hAnsi="Times New Roman" w:cs="Times New Roman"/>
                        <w:szCs w:val="21"/>
                      </w:rPr>
                    </w:pPr>
                    <w:r>
                      <w:rPr>
                        <w:rFonts w:ascii="Times New Roman" w:hAnsi="Times New Roman" w:cs="Times New Roman"/>
                        <w:szCs w:val="21"/>
                      </w:rPr>
                      <w:t>《关于修订公司章程的议案》</w:t>
                    </w:r>
                    <w:r>
                      <w:rPr>
                        <w:rFonts w:ascii="Times New Roman" w:hAnsi="Times New Roman" w:cs="Times New Roman"/>
                        <w:color w:val="000000"/>
                        <w:szCs w:val="21"/>
                      </w:rPr>
                      <w:br w:type="textWrapping"/>
                    </w:r>
                    <w:r>
                      <w:rPr>
                        <w:rFonts w:ascii="Times New Roman" w:cs="Times New Roman"/>
                        <w:color w:val="000000"/>
                        <w:szCs w:val="21"/>
                      </w:rPr>
                      <w:t>《关于提请召开公司</w:t>
                    </w:r>
                    <w:r>
                      <w:rPr>
                        <w:rFonts w:ascii="Times New Roman" w:hAnsi="Times New Roman" w:cs="Times New Roman"/>
                        <w:color w:val="000000"/>
                        <w:szCs w:val="21"/>
                      </w:rPr>
                      <w:t>2020</w:t>
                    </w:r>
                    <w:r>
                      <w:rPr>
                        <w:rFonts w:ascii="Times New Roman" w:cs="Times New Roman"/>
                        <w:color w:val="000000"/>
                        <w:szCs w:val="21"/>
                      </w:rPr>
                      <w:t>年年度股东大会的议案》</w:t>
                    </w:r>
                  </w:p>
                </w:tc>
              </w:tr>
            </w:sdtContent>
          </w:sdt>
          <w:sdt>
            <w:sdtPr>
              <w:rPr>
                <w:rFonts w:ascii="Times New Roman" w:hAnsi="Times New Roman" w:cs="Times New Roman"/>
                <w:szCs w:val="21"/>
              </w:rPr>
              <w:alias w:val="报告期内召开的董事会有关情况明细"/>
              <w:tag w:val="_TUP_d2300a8afd5d45bcb80715a90b1a6cbc"/>
              <w:id w:val="86572273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0" w:type="pct"/>
                    <w:vAlign w:val="center"/>
                  </w:tcPr>
                  <w:p>
                    <w:pPr>
                      <w:jc w:val="both"/>
                      <w:rPr>
                        <w:rFonts w:ascii="Times New Roman" w:hAnsi="Times New Roman" w:cs="Times New Roman"/>
                        <w:szCs w:val="21"/>
                      </w:rPr>
                    </w:pPr>
                    <w:r>
                      <w:rPr>
                        <w:rFonts w:ascii="Times New Roman" w:cs="Times New Roman"/>
                        <w:szCs w:val="21"/>
                      </w:rPr>
                      <w:t>第七届董事会第二十五次会议</w:t>
                    </w:r>
                  </w:p>
                </w:tc>
                <w:tc>
                  <w:tcPr>
                    <w:tcW w:w="1017" w:type="pct"/>
                    <w:vAlign w:val="center"/>
                  </w:tcPr>
                  <w:p>
                    <w:pPr>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6</w:t>
                    </w:r>
                    <w:r>
                      <w:rPr>
                        <w:rFonts w:ascii="Times New Roman" w:cs="Times New Roman"/>
                        <w:szCs w:val="21"/>
                      </w:rPr>
                      <w:t>月</w:t>
                    </w:r>
                    <w:r>
                      <w:rPr>
                        <w:rFonts w:ascii="Times New Roman" w:hAnsi="Times New Roman" w:cs="Times New Roman"/>
                        <w:szCs w:val="21"/>
                      </w:rPr>
                      <w:t>29</w:t>
                    </w:r>
                    <w:r>
                      <w:rPr>
                        <w:rFonts w:ascii="Times New Roman" w:cs="Times New Roman"/>
                        <w:szCs w:val="21"/>
                      </w:rPr>
                      <w:t>日</w:t>
                    </w:r>
                  </w:p>
                </w:tc>
                <w:tc>
                  <w:tcPr>
                    <w:tcW w:w="2983" w:type="pct"/>
                    <w:vAlign w:val="center"/>
                  </w:tcPr>
                  <w:p>
                    <w:pPr>
                      <w:jc w:val="both"/>
                      <w:rPr>
                        <w:rFonts w:ascii="Times New Roman" w:hAnsi="Times New Roman" w:cs="Times New Roman"/>
                        <w:szCs w:val="21"/>
                      </w:rPr>
                    </w:pPr>
                    <w:r>
                      <w:rPr>
                        <w:rFonts w:ascii="Times New Roman" w:hAnsi="Times New Roman" w:cs="Times New Roman"/>
                        <w:szCs w:val="21"/>
                      </w:rPr>
                      <w:t>审议通过以下议案：</w:t>
                    </w:r>
                  </w:p>
                  <w:p>
                    <w:pPr>
                      <w:jc w:val="both"/>
                      <w:rPr>
                        <w:rFonts w:ascii="Times New Roman" w:hAnsi="Times New Roman" w:cs="Times New Roman"/>
                        <w:szCs w:val="21"/>
                      </w:rPr>
                    </w:pPr>
                    <w:r>
                      <w:rPr>
                        <w:rFonts w:ascii="Times New Roman" w:hAnsi="Times New Roman" w:cs="Times New Roman"/>
                        <w:szCs w:val="21"/>
                      </w:rPr>
                      <w:t>《关于选举公司第八届董事会非独立董事的议案》</w:t>
                    </w:r>
                    <w:r>
                      <w:rPr>
                        <w:rFonts w:ascii="Times New Roman" w:hAnsi="Times New Roman" w:cs="Times New Roman"/>
                        <w:szCs w:val="21"/>
                      </w:rPr>
                      <w:br w:type="textWrapping"/>
                    </w:r>
                    <w:r>
                      <w:rPr>
                        <w:rFonts w:ascii="Times New Roman" w:hAnsi="Times New Roman" w:cs="Times New Roman"/>
                        <w:szCs w:val="21"/>
                      </w:rPr>
                      <w:t>《关于选举公司第八届董事会独立董事的议案》</w:t>
                    </w:r>
                    <w:r>
                      <w:rPr>
                        <w:rFonts w:ascii="Times New Roman" w:hAnsi="Times New Roman" w:cs="Times New Roman"/>
                        <w:szCs w:val="21"/>
                      </w:rPr>
                      <w:br w:type="textWrapping"/>
                    </w:r>
                    <w:r>
                      <w:rPr>
                        <w:rFonts w:ascii="Times New Roman" w:hAnsi="Times New Roman" w:cs="Times New Roman"/>
                        <w:szCs w:val="21"/>
                      </w:rPr>
                      <w:t>《关于聘请永拓会计师事务所（特殊普通合伙）为公司2021年度财务报表及内部控制审计机构的议案》</w:t>
                    </w:r>
                  </w:p>
                  <w:p>
                    <w:pPr>
                      <w:jc w:val="both"/>
                      <w:rPr>
                        <w:rFonts w:ascii="Times New Roman" w:hAnsi="Times New Roman" w:cs="Times New Roman"/>
                        <w:szCs w:val="21"/>
                      </w:rPr>
                    </w:pPr>
                    <w:r>
                      <w:rPr>
                        <w:rFonts w:ascii="Times New Roman" w:hAnsi="Times New Roman" w:cs="Times New Roman"/>
                        <w:szCs w:val="21"/>
                      </w:rPr>
                      <w:t>《关于提请召开公司2021年第一次临时股东大会的议案》</w:t>
                    </w:r>
                  </w:p>
                </w:tc>
              </w:tr>
            </w:sdtContent>
          </w:sdt>
          <w:sdt>
            <w:sdtPr>
              <w:rPr>
                <w:rFonts w:ascii="Times New Roman" w:hAnsi="Times New Roman" w:cs="Times New Roman"/>
                <w:szCs w:val="21"/>
              </w:rPr>
              <w:alias w:val="报告期内召开的董事会有关情况明细"/>
              <w:tag w:val="_TUP_d2300a8afd5d45bcb80715a90b1a6cbc"/>
              <w:id w:val="86572273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0" w:type="pct"/>
                    <w:vAlign w:val="center"/>
                  </w:tcPr>
                  <w:p>
                    <w:pPr>
                      <w:jc w:val="both"/>
                      <w:rPr>
                        <w:rFonts w:ascii="Times New Roman" w:hAnsi="Times New Roman" w:cs="Times New Roman"/>
                        <w:szCs w:val="21"/>
                      </w:rPr>
                    </w:pPr>
                    <w:r>
                      <w:rPr>
                        <w:rFonts w:ascii="Times New Roman" w:cs="Times New Roman"/>
                        <w:szCs w:val="21"/>
                      </w:rPr>
                      <w:t>第八届董事会第一次会议</w:t>
                    </w:r>
                  </w:p>
                </w:tc>
                <w:tc>
                  <w:tcPr>
                    <w:tcW w:w="1017" w:type="pct"/>
                    <w:vAlign w:val="center"/>
                  </w:tcPr>
                  <w:p>
                    <w:pPr>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7</w:t>
                    </w:r>
                    <w:r>
                      <w:rPr>
                        <w:rFonts w:ascii="Times New Roman" w:cs="Times New Roman"/>
                        <w:szCs w:val="21"/>
                      </w:rPr>
                      <w:t>月</w:t>
                    </w:r>
                    <w:r>
                      <w:rPr>
                        <w:rFonts w:ascii="Times New Roman" w:hAnsi="Times New Roman" w:cs="Times New Roman"/>
                        <w:szCs w:val="21"/>
                      </w:rPr>
                      <w:t>16</w:t>
                    </w:r>
                    <w:r>
                      <w:rPr>
                        <w:rFonts w:ascii="Times New Roman" w:cs="Times New Roman"/>
                        <w:szCs w:val="21"/>
                      </w:rPr>
                      <w:t>日</w:t>
                    </w:r>
                  </w:p>
                </w:tc>
                <w:tc>
                  <w:tcPr>
                    <w:tcW w:w="2983" w:type="pct"/>
                    <w:vAlign w:val="center"/>
                  </w:tcPr>
                  <w:p>
                    <w:pPr>
                      <w:jc w:val="both"/>
                      <w:rPr>
                        <w:rFonts w:ascii="Times New Roman" w:hAnsi="Times New Roman" w:cs="Times New Roman"/>
                        <w:szCs w:val="21"/>
                      </w:rPr>
                    </w:pPr>
                    <w:r>
                      <w:rPr>
                        <w:rFonts w:ascii="Times New Roman" w:hAnsi="Times New Roman" w:cs="Times New Roman"/>
                        <w:szCs w:val="21"/>
                      </w:rPr>
                      <w:t>审议通过以下议案：</w:t>
                    </w:r>
                  </w:p>
                  <w:p>
                    <w:pPr>
                      <w:jc w:val="both"/>
                      <w:rPr>
                        <w:rFonts w:ascii="Times New Roman" w:hAnsi="Times New Roman" w:cs="Times New Roman"/>
                        <w:szCs w:val="21"/>
                      </w:rPr>
                    </w:pPr>
                    <w:r>
                      <w:rPr>
                        <w:rFonts w:ascii="Times New Roman" w:cs="Times New Roman"/>
                        <w:szCs w:val="21"/>
                      </w:rPr>
                      <w:t>《关于选举林钻煌先生为公司董事长的议案》</w:t>
                    </w:r>
                  </w:p>
                  <w:p>
                    <w:pPr>
                      <w:jc w:val="both"/>
                      <w:rPr>
                        <w:rFonts w:ascii="Times New Roman" w:hAnsi="Times New Roman" w:cs="Times New Roman"/>
                        <w:szCs w:val="21"/>
                      </w:rPr>
                    </w:pPr>
                    <w:r>
                      <w:rPr>
                        <w:rFonts w:ascii="Times New Roman" w:cs="Times New Roman"/>
                        <w:szCs w:val="21"/>
                      </w:rPr>
                      <w:t>《关于选举第八届董事会战略委员会成员的议案》</w:t>
                    </w:r>
                  </w:p>
                  <w:p>
                    <w:pPr>
                      <w:jc w:val="both"/>
                      <w:rPr>
                        <w:rFonts w:ascii="Times New Roman" w:hAnsi="Times New Roman" w:cs="Times New Roman"/>
                        <w:szCs w:val="21"/>
                      </w:rPr>
                    </w:pPr>
                    <w:r>
                      <w:rPr>
                        <w:rFonts w:ascii="Times New Roman" w:cs="Times New Roman"/>
                        <w:szCs w:val="21"/>
                      </w:rPr>
                      <w:t>《关于选举第八届董事会审计委员会成员的议案》</w:t>
                    </w:r>
                  </w:p>
                  <w:p>
                    <w:pPr>
                      <w:jc w:val="both"/>
                      <w:rPr>
                        <w:rFonts w:ascii="Times New Roman" w:hAnsi="Times New Roman" w:cs="Times New Roman"/>
                        <w:szCs w:val="21"/>
                      </w:rPr>
                    </w:pPr>
                    <w:r>
                      <w:rPr>
                        <w:rFonts w:ascii="Times New Roman" w:cs="Times New Roman"/>
                        <w:szCs w:val="21"/>
                      </w:rPr>
                      <w:t>《关于选举第八届董事会提名委员会成员的议案》</w:t>
                    </w:r>
                  </w:p>
                  <w:p>
                    <w:pPr>
                      <w:jc w:val="both"/>
                      <w:rPr>
                        <w:rFonts w:ascii="Times New Roman" w:hAnsi="Times New Roman" w:cs="Times New Roman"/>
                        <w:szCs w:val="21"/>
                      </w:rPr>
                    </w:pPr>
                    <w:r>
                      <w:rPr>
                        <w:rFonts w:ascii="Times New Roman" w:cs="Times New Roman"/>
                        <w:szCs w:val="21"/>
                      </w:rPr>
                      <w:t>《关于选举第八届董事会薪酬与考核委员会成员的议案》</w:t>
                    </w:r>
                  </w:p>
                  <w:p>
                    <w:pPr>
                      <w:jc w:val="both"/>
                      <w:rPr>
                        <w:rFonts w:ascii="Times New Roman" w:hAnsi="Times New Roman" w:cs="Times New Roman"/>
                        <w:szCs w:val="21"/>
                      </w:rPr>
                    </w:pPr>
                    <w:r>
                      <w:rPr>
                        <w:rFonts w:ascii="Times New Roman" w:cs="Times New Roman"/>
                        <w:szCs w:val="21"/>
                      </w:rPr>
                      <w:t>《关于聘任吴堃先生为公司总裁的议案》</w:t>
                    </w:r>
                  </w:p>
                  <w:p>
                    <w:pPr>
                      <w:jc w:val="both"/>
                      <w:rPr>
                        <w:rFonts w:ascii="Times New Roman" w:hAnsi="Times New Roman" w:cs="Times New Roman"/>
                        <w:szCs w:val="21"/>
                      </w:rPr>
                    </w:pPr>
                    <w:r>
                      <w:rPr>
                        <w:rFonts w:ascii="Times New Roman" w:cs="Times New Roman"/>
                        <w:szCs w:val="21"/>
                      </w:rPr>
                      <w:t>《关于聘任王为民先生为公司副总裁、财务总监的议案》</w:t>
                    </w:r>
                  </w:p>
                  <w:p>
                    <w:pPr>
                      <w:jc w:val="both"/>
                      <w:rPr>
                        <w:rFonts w:ascii="Times New Roman" w:hAnsi="Times New Roman" w:cs="Times New Roman"/>
                        <w:szCs w:val="21"/>
                      </w:rPr>
                    </w:pPr>
                    <w:r>
                      <w:rPr>
                        <w:rFonts w:ascii="Times New Roman" w:cs="Times New Roman"/>
                        <w:szCs w:val="21"/>
                      </w:rPr>
                      <w:t>《关于聘任莫善军先生为公司副总裁的议案》</w:t>
                    </w:r>
                  </w:p>
                  <w:p>
                    <w:pPr>
                      <w:jc w:val="both"/>
                      <w:rPr>
                        <w:rFonts w:ascii="Times New Roman" w:hAnsi="Times New Roman" w:cs="Times New Roman"/>
                        <w:szCs w:val="21"/>
                      </w:rPr>
                    </w:pPr>
                    <w:r>
                      <w:rPr>
                        <w:rFonts w:ascii="Times New Roman" w:cs="Times New Roman"/>
                        <w:szCs w:val="21"/>
                      </w:rPr>
                      <w:t>《关于聘任叶建平先生为公司副总裁的议案》</w:t>
                    </w:r>
                  </w:p>
                  <w:p>
                    <w:pPr>
                      <w:jc w:val="both"/>
                      <w:rPr>
                        <w:rFonts w:ascii="Times New Roman" w:hAnsi="Times New Roman" w:cs="Times New Roman"/>
                        <w:szCs w:val="21"/>
                      </w:rPr>
                    </w:pPr>
                    <w:r>
                      <w:rPr>
                        <w:rFonts w:ascii="Times New Roman" w:cs="Times New Roman"/>
                        <w:szCs w:val="21"/>
                      </w:rPr>
                      <w:t>《关于聘任杨玲女士为公司副总裁的议案》</w:t>
                    </w:r>
                  </w:p>
                  <w:p>
                    <w:pPr>
                      <w:jc w:val="both"/>
                      <w:rPr>
                        <w:rFonts w:ascii="Times New Roman" w:hAnsi="Times New Roman" w:cs="Times New Roman"/>
                        <w:szCs w:val="21"/>
                      </w:rPr>
                    </w:pPr>
                    <w:r>
                      <w:rPr>
                        <w:rFonts w:ascii="Times New Roman" w:cs="Times New Roman"/>
                        <w:szCs w:val="21"/>
                      </w:rPr>
                      <w:t>《关于聘任韦元贤先生为公司董事会秘书的议案》</w:t>
                    </w:r>
                  </w:p>
                  <w:p>
                    <w:pPr>
                      <w:jc w:val="both"/>
                      <w:rPr>
                        <w:rFonts w:ascii="Times New Roman" w:hAnsi="Times New Roman" w:cs="Times New Roman"/>
                        <w:szCs w:val="21"/>
                      </w:rPr>
                    </w:pPr>
                    <w:r>
                      <w:rPr>
                        <w:rFonts w:ascii="Times New Roman" w:cs="Times New Roman"/>
                        <w:szCs w:val="21"/>
                      </w:rPr>
                      <w:t>《关于聘任杨敏女士为公司证券事务代表的议案》</w:t>
                    </w:r>
                  </w:p>
                  <w:p>
                    <w:pPr>
                      <w:jc w:val="both"/>
                      <w:rPr>
                        <w:rFonts w:ascii="Times New Roman" w:hAnsi="Times New Roman" w:cs="Times New Roman"/>
                        <w:szCs w:val="21"/>
                      </w:rPr>
                    </w:pPr>
                    <w:r>
                      <w:rPr>
                        <w:rFonts w:ascii="Times New Roman" w:cs="Times New Roman"/>
                        <w:szCs w:val="21"/>
                      </w:rPr>
                      <w:t>《关于修订</w:t>
                    </w:r>
                    <w:r>
                      <w:rPr>
                        <w:rFonts w:ascii="Times New Roman" w:hAnsi="Times New Roman" w:cs="Times New Roman"/>
                        <w:szCs w:val="21"/>
                      </w:rPr>
                      <w:t>&lt;</w:t>
                    </w:r>
                    <w:r>
                      <w:rPr>
                        <w:rFonts w:ascii="Times New Roman" w:cs="Times New Roman"/>
                        <w:szCs w:val="21"/>
                      </w:rPr>
                      <w:t>内幕信息知情人登记管理制度</w:t>
                    </w:r>
                    <w:r>
                      <w:rPr>
                        <w:rFonts w:ascii="Times New Roman" w:hAnsi="Times New Roman" w:cs="Times New Roman"/>
                        <w:szCs w:val="21"/>
                      </w:rPr>
                      <w:t>&gt;</w:t>
                    </w:r>
                    <w:r>
                      <w:rPr>
                        <w:rFonts w:ascii="Times New Roman" w:cs="Times New Roman"/>
                        <w:szCs w:val="21"/>
                      </w:rPr>
                      <w:t>的议案》</w:t>
                    </w:r>
                  </w:p>
                </w:tc>
              </w:tr>
            </w:sdtContent>
          </w:sdt>
          <w:sdt>
            <w:sdtPr>
              <w:rPr>
                <w:rFonts w:ascii="Times New Roman" w:hAnsi="Times New Roman" w:cs="Times New Roman"/>
                <w:szCs w:val="21"/>
              </w:rPr>
              <w:alias w:val="报告期内召开的董事会有关情况明细"/>
              <w:tag w:val="_TUP_d2300a8afd5d45bcb80715a90b1a6cbc"/>
              <w:id w:val="86572273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0" w:type="pct"/>
                    <w:vAlign w:val="center"/>
                  </w:tcPr>
                  <w:p>
                    <w:pPr>
                      <w:jc w:val="both"/>
                      <w:rPr>
                        <w:rFonts w:ascii="Times New Roman" w:hAnsi="Times New Roman" w:cs="Times New Roman"/>
                        <w:szCs w:val="21"/>
                      </w:rPr>
                    </w:pPr>
                    <w:r>
                      <w:rPr>
                        <w:rFonts w:ascii="Times New Roman" w:cs="Times New Roman"/>
                        <w:szCs w:val="21"/>
                      </w:rPr>
                      <w:t>第八届董事会第二次会议</w:t>
                    </w:r>
                  </w:p>
                </w:tc>
                <w:tc>
                  <w:tcPr>
                    <w:tcW w:w="1017" w:type="pct"/>
                    <w:vAlign w:val="center"/>
                  </w:tcPr>
                  <w:p>
                    <w:pPr>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8</w:t>
                    </w:r>
                    <w:r>
                      <w:rPr>
                        <w:rFonts w:ascii="Times New Roman" w:cs="Times New Roman"/>
                        <w:szCs w:val="21"/>
                      </w:rPr>
                      <w:t>月</w:t>
                    </w:r>
                    <w:r>
                      <w:rPr>
                        <w:rFonts w:ascii="Times New Roman" w:hAnsi="Times New Roman" w:cs="Times New Roman"/>
                        <w:szCs w:val="21"/>
                      </w:rPr>
                      <w:t>25</w:t>
                    </w:r>
                    <w:r>
                      <w:rPr>
                        <w:rFonts w:ascii="Times New Roman" w:cs="Times New Roman"/>
                        <w:szCs w:val="21"/>
                      </w:rPr>
                      <w:t>日</w:t>
                    </w:r>
                  </w:p>
                </w:tc>
                <w:tc>
                  <w:tcPr>
                    <w:tcW w:w="2983" w:type="pct"/>
                    <w:vAlign w:val="center"/>
                  </w:tcPr>
                  <w:p>
                    <w:pPr>
                      <w:jc w:val="both"/>
                      <w:rPr>
                        <w:rFonts w:ascii="Times New Roman" w:hAnsi="Times New Roman" w:cs="Times New Roman"/>
                        <w:szCs w:val="21"/>
                      </w:rPr>
                    </w:pPr>
                    <w:r>
                      <w:rPr>
                        <w:rFonts w:ascii="Times New Roman" w:hAnsi="Times New Roman" w:cs="Times New Roman"/>
                        <w:szCs w:val="21"/>
                      </w:rPr>
                      <w:t>审议通过以下议案：</w:t>
                    </w:r>
                  </w:p>
                  <w:p>
                    <w:pPr>
                      <w:jc w:val="both"/>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2021</w:t>
                    </w:r>
                    <w:r>
                      <w:rPr>
                        <w:rFonts w:ascii="Times New Roman" w:cs="Times New Roman"/>
                        <w:szCs w:val="21"/>
                      </w:rPr>
                      <w:t>年半年度报告（全文及正文）》</w:t>
                    </w:r>
                  </w:p>
                </w:tc>
              </w:tr>
            </w:sdtContent>
          </w:sdt>
          <w:sdt>
            <w:sdtPr>
              <w:rPr>
                <w:rFonts w:ascii="Times New Roman" w:hAnsi="Times New Roman" w:cs="Times New Roman"/>
                <w:szCs w:val="21"/>
              </w:rPr>
              <w:alias w:val="报告期内召开的董事会有关情况明细"/>
              <w:tag w:val="_TUP_d2300a8afd5d45bcb80715a90b1a6cbc"/>
              <w:id w:val="86572273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0" w:type="pct"/>
                    <w:vAlign w:val="center"/>
                  </w:tcPr>
                  <w:p>
                    <w:pPr>
                      <w:jc w:val="both"/>
                      <w:rPr>
                        <w:rFonts w:ascii="Times New Roman" w:hAnsi="Times New Roman" w:cs="Times New Roman"/>
                        <w:szCs w:val="21"/>
                      </w:rPr>
                    </w:pPr>
                    <w:r>
                      <w:rPr>
                        <w:rFonts w:ascii="Times New Roman" w:cs="Times New Roman"/>
                        <w:szCs w:val="21"/>
                      </w:rPr>
                      <w:t>第八届董事会第三次会议</w:t>
                    </w:r>
                  </w:p>
                </w:tc>
                <w:tc>
                  <w:tcPr>
                    <w:tcW w:w="1017" w:type="pct"/>
                    <w:vAlign w:val="center"/>
                  </w:tcPr>
                  <w:p>
                    <w:pPr>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10</w:t>
                    </w:r>
                    <w:r>
                      <w:rPr>
                        <w:rFonts w:ascii="Times New Roman" w:cs="Times New Roman"/>
                        <w:szCs w:val="21"/>
                      </w:rPr>
                      <w:t>月</w:t>
                    </w:r>
                    <w:r>
                      <w:rPr>
                        <w:rFonts w:ascii="Times New Roman" w:hAnsi="Times New Roman" w:cs="Times New Roman"/>
                        <w:szCs w:val="21"/>
                      </w:rPr>
                      <w:t>28</w:t>
                    </w:r>
                    <w:r>
                      <w:rPr>
                        <w:rFonts w:ascii="Times New Roman" w:cs="Times New Roman"/>
                        <w:szCs w:val="21"/>
                      </w:rPr>
                      <w:t>日</w:t>
                    </w:r>
                  </w:p>
                </w:tc>
                <w:tc>
                  <w:tcPr>
                    <w:tcW w:w="2983" w:type="pct"/>
                    <w:vAlign w:val="center"/>
                  </w:tcPr>
                  <w:p>
                    <w:pPr>
                      <w:jc w:val="both"/>
                      <w:rPr>
                        <w:rFonts w:ascii="Times New Roman" w:hAnsi="Times New Roman" w:cs="Times New Roman"/>
                        <w:szCs w:val="21"/>
                      </w:rPr>
                    </w:pPr>
                    <w:r>
                      <w:rPr>
                        <w:rFonts w:ascii="Times New Roman" w:hAnsi="Times New Roman" w:cs="Times New Roman"/>
                        <w:szCs w:val="21"/>
                      </w:rPr>
                      <w:t>审议通过以下议案：</w:t>
                    </w:r>
                  </w:p>
                  <w:p>
                    <w:pPr>
                      <w:jc w:val="both"/>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2021</w:t>
                    </w:r>
                    <w:r>
                      <w:rPr>
                        <w:rFonts w:ascii="Times New Roman" w:cs="Times New Roman"/>
                        <w:szCs w:val="21"/>
                      </w:rPr>
                      <w:t>年第三季度报告》</w:t>
                    </w:r>
                  </w:p>
                  <w:p>
                    <w:pPr>
                      <w:jc w:val="both"/>
                      <w:rPr>
                        <w:rFonts w:ascii="Times New Roman" w:hAnsi="Times New Roman" w:cs="Times New Roman"/>
                        <w:szCs w:val="21"/>
                      </w:rPr>
                    </w:pPr>
                    <w:r>
                      <w:rPr>
                        <w:rFonts w:ascii="Times New Roman" w:cs="Times New Roman"/>
                        <w:szCs w:val="21"/>
                      </w:rPr>
                      <w:t>《投资者关系管理制度》</w:t>
                    </w:r>
                  </w:p>
                </w:tc>
              </w:tr>
            </w:sdtContent>
          </w:sdt>
        </w:tbl>
        <w:p>
          <w:pPr>
            <w:rPr>
              <w:szCs w:val="21"/>
            </w:rPr>
          </w:pPr>
        </w:p>
      </w:sdtContent>
    </w:sdt>
    <w:bookmarkEnd w:id="49"/>
    <w:p>
      <w:pPr>
        <w:rPr>
          <w:szCs w:val="21"/>
        </w:rPr>
      </w:pPr>
    </w:p>
    <w:p>
      <w:pPr>
        <w:pStyle w:val="3"/>
        <w:numPr>
          <w:ilvl w:val="0"/>
          <w:numId w:val="21"/>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865722777"/>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24"/>
            </w:numPr>
          </w:pPr>
          <w:r>
            <w:t>董事参加董事会和股东大会的情况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845"/>
            <w:gridCol w:w="1099"/>
            <w:gridCol w:w="853"/>
            <w:gridCol w:w="968"/>
            <w:gridCol w:w="905"/>
            <w:gridCol w:w="845"/>
            <w:gridCol w:w="1292"/>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sdt>
              <w:sdtPr>
                <w:rPr>
                  <w:rFonts w:ascii="Times New Roman" w:hAnsi="Times New Roman" w:cs="Times New Roman"/>
                </w:rPr>
                <w:tag w:val="_PLD_fdf987702b2e46a4aaa1e3f20787a76c"/>
                <w:id w:val="865722735"/>
                <w:lock w:val="sdtLocked"/>
              </w:sdtPr>
              <w:sdtEndPr>
                <w:rPr>
                  <w:rFonts w:ascii="Times New Roman" w:hAnsi="Times New Roman" w:cs="Times New Roman"/>
                </w:rPr>
              </w:sdtEndPr>
              <w:sdtContent>
                <w:tc>
                  <w:tcPr>
                    <w:tcW w:w="541" w:type="pct"/>
                    <w:vMerge w:val="restart"/>
                    <w:vAlign w:val="center"/>
                  </w:tcPr>
                  <w:p>
                    <w:pPr>
                      <w:widowControl w:val="0"/>
                      <w:jc w:val="center"/>
                      <w:rPr>
                        <w:rFonts w:ascii="Times New Roman" w:hAnsi="Times New Roman" w:cs="Times New Roman"/>
                        <w:szCs w:val="21"/>
                      </w:rPr>
                    </w:pPr>
                    <w:r>
                      <w:rPr>
                        <w:rFonts w:ascii="Times New Roman" w:cs="Times New Roman"/>
                        <w:szCs w:val="21"/>
                      </w:rPr>
                      <w:t>董事</w:t>
                    </w:r>
                  </w:p>
                  <w:p>
                    <w:pPr>
                      <w:widowControl w:val="0"/>
                      <w:jc w:val="center"/>
                      <w:rPr>
                        <w:rFonts w:ascii="Times New Roman" w:hAnsi="Times New Roman" w:cs="Times New Roman"/>
                        <w:szCs w:val="21"/>
                      </w:rPr>
                    </w:pPr>
                    <w:r>
                      <w:rPr>
                        <w:rFonts w:ascii="Times New Roman" w:cs="Times New Roman"/>
                        <w:szCs w:val="21"/>
                      </w:rPr>
                      <w:t>姓名</w:t>
                    </w:r>
                  </w:p>
                </w:tc>
              </w:sdtContent>
            </w:sdt>
            <w:sdt>
              <w:sdtPr>
                <w:rPr>
                  <w:rFonts w:ascii="Times New Roman" w:hAnsi="Times New Roman" w:cs="Times New Roman"/>
                </w:rPr>
                <w:tag w:val="_PLD_8c944f740a3a4784938038ab19e3a6ed"/>
                <w:id w:val="865722736"/>
                <w:lock w:val="sdtLocked"/>
              </w:sdtPr>
              <w:sdtEndPr>
                <w:rPr>
                  <w:rFonts w:ascii="Times New Roman" w:hAnsi="Times New Roman" w:cs="Times New Roman"/>
                </w:rPr>
              </w:sdtEndPr>
              <w:sdtContent>
                <w:tc>
                  <w:tcPr>
                    <w:tcW w:w="467" w:type="pct"/>
                    <w:vMerge w:val="restart"/>
                    <w:vAlign w:val="center"/>
                  </w:tcPr>
                  <w:p>
                    <w:pPr>
                      <w:widowControl w:val="0"/>
                      <w:jc w:val="center"/>
                      <w:rPr>
                        <w:rFonts w:ascii="Times New Roman" w:hAnsi="Times New Roman" w:cs="Times New Roman"/>
                        <w:szCs w:val="21"/>
                      </w:rPr>
                    </w:pPr>
                    <w:r>
                      <w:rPr>
                        <w:rFonts w:ascii="Times New Roman" w:cs="Times New Roman"/>
                        <w:szCs w:val="21"/>
                      </w:rPr>
                      <w:t>是否独立董事</w:t>
                    </w:r>
                  </w:p>
                </w:tc>
              </w:sdtContent>
            </w:sdt>
            <w:sdt>
              <w:sdtPr>
                <w:rPr>
                  <w:rFonts w:ascii="Times New Roman" w:hAnsi="Times New Roman" w:cs="Times New Roman"/>
                </w:rPr>
                <w:tag w:val="_PLD_41002b55426142459adadb76d790d586"/>
                <w:id w:val="865722737"/>
                <w:lock w:val="sdtLocked"/>
              </w:sdtPr>
              <w:sdtEndPr>
                <w:rPr>
                  <w:rFonts w:ascii="Times New Roman" w:hAnsi="Times New Roman" w:cs="Times New Roman"/>
                </w:rPr>
              </w:sdtEndPr>
              <w:sdtContent>
                <w:tc>
                  <w:tcPr>
                    <w:tcW w:w="3294" w:type="pct"/>
                    <w:gridSpan w:val="6"/>
                    <w:vAlign w:val="center"/>
                  </w:tcPr>
                  <w:p>
                    <w:pPr>
                      <w:widowControl w:val="0"/>
                      <w:jc w:val="center"/>
                      <w:rPr>
                        <w:rFonts w:ascii="Times New Roman" w:hAnsi="Times New Roman" w:cs="Times New Roman"/>
                        <w:szCs w:val="21"/>
                      </w:rPr>
                    </w:pPr>
                    <w:r>
                      <w:rPr>
                        <w:rFonts w:ascii="Times New Roman" w:cs="Times New Roman"/>
                        <w:szCs w:val="21"/>
                      </w:rPr>
                      <w:t>参加董事会情况</w:t>
                    </w:r>
                  </w:p>
                </w:tc>
              </w:sdtContent>
            </w:sdt>
            <w:sdt>
              <w:sdtPr>
                <w:rPr>
                  <w:rFonts w:ascii="Times New Roman" w:hAnsi="Times New Roman" w:cs="Times New Roman"/>
                </w:rPr>
                <w:tag w:val="_PLD_a86ab0ba65874193bf46821cd6a13f4f"/>
                <w:id w:val="865722738"/>
                <w:lock w:val="sdtLocked"/>
              </w:sdtPr>
              <w:sdtEndPr>
                <w:rPr>
                  <w:rFonts w:ascii="Times New Roman" w:hAnsi="Times New Roman" w:cs="Times New Roman"/>
                </w:rPr>
              </w:sdtEndPr>
              <w:sdtContent>
                <w:tc>
                  <w:tcPr>
                    <w:tcW w:w="697" w:type="pct"/>
                    <w:vAlign w:val="center"/>
                  </w:tcPr>
                  <w:p>
                    <w:pPr>
                      <w:widowControl w:val="0"/>
                      <w:jc w:val="center"/>
                      <w:rPr>
                        <w:rFonts w:ascii="Times New Roman" w:hAnsi="Times New Roman" w:cs="Times New Roman"/>
                        <w:szCs w:val="21"/>
                      </w:rPr>
                    </w:pPr>
                    <w:r>
                      <w:rPr>
                        <w:rFonts w:ascii="Times New Roman" w:cs="Times New Roman"/>
                        <w:szCs w:val="21"/>
                      </w:rPr>
                      <w:t>参加股东大会情况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1" w:type="pct"/>
                <w:vMerge w:val="continue"/>
                <w:vAlign w:val="center"/>
              </w:tcPr>
              <w:p>
                <w:pPr>
                  <w:widowControl w:val="0"/>
                  <w:jc w:val="center"/>
                  <w:rPr>
                    <w:rFonts w:ascii="Times New Roman" w:hAnsi="Times New Roman" w:cs="Times New Roman"/>
                    <w:szCs w:val="21"/>
                  </w:rPr>
                </w:pPr>
              </w:p>
            </w:tc>
            <w:tc>
              <w:tcPr>
                <w:tcW w:w="467" w:type="pct"/>
                <w:vMerge w:val="continue"/>
                <w:vAlign w:val="center"/>
              </w:tcPr>
              <w:p>
                <w:pPr>
                  <w:widowControl w:val="0"/>
                  <w:jc w:val="center"/>
                  <w:rPr>
                    <w:rFonts w:ascii="Times New Roman" w:hAnsi="Times New Roman" w:cs="Times New Roman"/>
                    <w:szCs w:val="21"/>
                  </w:rPr>
                </w:pPr>
              </w:p>
            </w:tc>
            <w:sdt>
              <w:sdtPr>
                <w:rPr>
                  <w:rFonts w:ascii="Times New Roman" w:hAnsi="Times New Roman" w:cs="Times New Roman"/>
                </w:rPr>
                <w:tag w:val="_PLD_1be3bc3a3d894e22b017b70a7c691233"/>
                <w:id w:val="865722739"/>
                <w:lock w:val="sdtLocked"/>
              </w:sdtPr>
              <w:sdtEndPr>
                <w:rPr>
                  <w:rFonts w:ascii="Times New Roman" w:hAnsi="Times New Roman" w:cs="Times New Roman"/>
                </w:rPr>
              </w:sdtEndPr>
              <w:sdtContent>
                <w:tc>
                  <w:tcPr>
                    <w:tcW w:w="607" w:type="pct"/>
                    <w:vAlign w:val="center"/>
                  </w:tcPr>
                  <w:p>
                    <w:pPr>
                      <w:widowControl w:val="0"/>
                      <w:jc w:val="center"/>
                      <w:rPr>
                        <w:rFonts w:ascii="Times New Roman" w:hAnsi="Times New Roman" w:cs="Times New Roman"/>
                        <w:szCs w:val="21"/>
                      </w:rPr>
                    </w:pPr>
                    <w:r>
                      <w:rPr>
                        <w:rFonts w:ascii="Times New Roman" w:cs="Times New Roman"/>
                        <w:szCs w:val="21"/>
                      </w:rPr>
                      <w:t>本年应参加董事会次数</w:t>
                    </w:r>
                  </w:p>
                </w:tc>
              </w:sdtContent>
            </w:sdt>
            <w:sdt>
              <w:sdtPr>
                <w:rPr>
                  <w:rFonts w:ascii="Times New Roman" w:hAnsi="Times New Roman" w:cs="Times New Roman"/>
                </w:rPr>
                <w:tag w:val="_PLD_3e45fc9802f241cb8e17735983417e9b"/>
                <w:id w:val="865722740"/>
                <w:lock w:val="sdtLocked"/>
              </w:sdtPr>
              <w:sdtEndPr>
                <w:rPr>
                  <w:rFonts w:ascii="Times New Roman" w:hAnsi="Times New Roman" w:cs="Times New Roman"/>
                </w:rPr>
              </w:sdtEndPr>
              <w:sdtContent>
                <w:tc>
                  <w:tcPr>
                    <w:tcW w:w="471" w:type="pct"/>
                    <w:vAlign w:val="center"/>
                  </w:tcPr>
                  <w:p>
                    <w:pPr>
                      <w:widowControl w:val="0"/>
                      <w:jc w:val="center"/>
                      <w:rPr>
                        <w:rFonts w:ascii="Times New Roman" w:hAnsi="Times New Roman" w:cs="Times New Roman"/>
                        <w:szCs w:val="21"/>
                      </w:rPr>
                    </w:pPr>
                    <w:r>
                      <w:rPr>
                        <w:rFonts w:ascii="Times New Roman" w:cs="Times New Roman"/>
                        <w:szCs w:val="21"/>
                      </w:rPr>
                      <w:t>亲自出席次数</w:t>
                    </w:r>
                  </w:p>
                </w:tc>
              </w:sdtContent>
            </w:sdt>
            <w:sdt>
              <w:sdtPr>
                <w:rPr>
                  <w:rFonts w:ascii="Times New Roman" w:hAnsi="Times New Roman" w:cs="Times New Roman"/>
                </w:rPr>
                <w:tag w:val="_PLD_5b2f1e699fe34def868fe8b765d768ba"/>
                <w:id w:val="865722741"/>
                <w:lock w:val="sdtLocked"/>
              </w:sdtPr>
              <w:sdtEndPr>
                <w:rPr>
                  <w:rFonts w:ascii="Times New Roman" w:hAnsi="Times New Roman" w:cs="Times New Roman"/>
                </w:rPr>
              </w:sdtEndPr>
              <w:sdtContent>
                <w:tc>
                  <w:tcPr>
                    <w:tcW w:w="535" w:type="pct"/>
                    <w:vAlign w:val="center"/>
                  </w:tcPr>
                  <w:p>
                    <w:pPr>
                      <w:widowControl w:val="0"/>
                      <w:jc w:val="center"/>
                      <w:rPr>
                        <w:rFonts w:ascii="Times New Roman" w:hAnsi="Times New Roman" w:cs="Times New Roman"/>
                        <w:szCs w:val="21"/>
                      </w:rPr>
                    </w:pPr>
                    <w:r>
                      <w:rPr>
                        <w:rFonts w:ascii="Times New Roman" w:cs="Times New Roman"/>
                        <w:szCs w:val="21"/>
                      </w:rPr>
                      <w:t>以通讯方式参加次数</w:t>
                    </w:r>
                  </w:p>
                </w:tc>
              </w:sdtContent>
            </w:sdt>
            <w:sdt>
              <w:sdtPr>
                <w:rPr>
                  <w:rFonts w:ascii="Times New Roman" w:hAnsi="Times New Roman" w:cs="Times New Roman"/>
                </w:rPr>
                <w:tag w:val="_PLD_981a0cb863d94703a5482c1ca67d4cb5"/>
                <w:id w:val="865722742"/>
                <w:lock w:val="sdtLocked"/>
              </w:sdtPr>
              <w:sdtEndPr>
                <w:rPr>
                  <w:rFonts w:ascii="Times New Roman" w:hAnsi="Times New Roman" w:cs="Times New Roman"/>
                </w:rPr>
              </w:sdtEndPr>
              <w:sdtContent>
                <w:tc>
                  <w:tcPr>
                    <w:tcW w:w="500" w:type="pct"/>
                    <w:vAlign w:val="center"/>
                  </w:tcPr>
                  <w:p>
                    <w:pPr>
                      <w:widowControl w:val="0"/>
                      <w:jc w:val="center"/>
                      <w:rPr>
                        <w:rFonts w:ascii="Times New Roman" w:hAnsi="Times New Roman" w:cs="Times New Roman"/>
                        <w:szCs w:val="21"/>
                      </w:rPr>
                    </w:pPr>
                    <w:r>
                      <w:rPr>
                        <w:rFonts w:ascii="Times New Roman" w:cs="Times New Roman"/>
                        <w:szCs w:val="21"/>
                      </w:rPr>
                      <w:t>委托出席次数</w:t>
                    </w:r>
                  </w:p>
                </w:tc>
              </w:sdtContent>
            </w:sdt>
            <w:sdt>
              <w:sdtPr>
                <w:rPr>
                  <w:rFonts w:ascii="Times New Roman" w:hAnsi="Times New Roman" w:cs="Times New Roman"/>
                </w:rPr>
                <w:tag w:val="_PLD_e955143b8973461bb11aa6e64e6bb542"/>
                <w:id w:val="865722743"/>
                <w:lock w:val="sdtLocked"/>
              </w:sdtPr>
              <w:sdtEndPr>
                <w:rPr>
                  <w:rFonts w:ascii="Times New Roman" w:hAnsi="Times New Roman" w:cs="Times New Roman"/>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缺席</w:t>
                    </w:r>
                  </w:p>
                  <w:p>
                    <w:pPr>
                      <w:widowControl w:val="0"/>
                      <w:jc w:val="center"/>
                      <w:rPr>
                        <w:rFonts w:ascii="Times New Roman" w:hAnsi="Times New Roman" w:cs="Times New Roman"/>
                        <w:szCs w:val="21"/>
                      </w:rPr>
                    </w:pPr>
                    <w:r>
                      <w:rPr>
                        <w:rFonts w:ascii="Times New Roman" w:cs="Times New Roman"/>
                        <w:szCs w:val="21"/>
                      </w:rPr>
                      <w:t>次数</w:t>
                    </w:r>
                  </w:p>
                </w:tc>
              </w:sdtContent>
            </w:sdt>
            <w:sdt>
              <w:sdtPr>
                <w:rPr>
                  <w:rFonts w:ascii="Times New Roman" w:hAnsi="Times New Roman" w:cs="Times New Roman"/>
                </w:rPr>
                <w:tag w:val="_PLD_c94de7a455d94af5b8ffe4cc736c4b46"/>
                <w:id w:val="865722744"/>
                <w:lock w:val="sdtLocked"/>
              </w:sdtPr>
              <w:sdtEndPr>
                <w:rPr>
                  <w:rFonts w:ascii="Times New Roman" w:hAnsi="Times New Roman" w:cs="Times New Roman"/>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是否连续两次未亲自参加会议</w:t>
                    </w:r>
                  </w:p>
                </w:tc>
              </w:sdtContent>
            </w:sdt>
            <w:sdt>
              <w:sdtPr>
                <w:rPr>
                  <w:rFonts w:ascii="Times New Roman" w:hAnsi="Times New Roman" w:cs="Times New Roman"/>
                </w:rPr>
                <w:tag w:val="_PLD_7f17c2a5ff9540709fafff9460b0756d"/>
                <w:id w:val="865722745"/>
                <w:lock w:val="sdtLocked"/>
              </w:sdtPr>
              <w:sdtEndPr>
                <w:rPr>
                  <w:rFonts w:ascii="Times New Roman" w:hAnsi="Times New Roman" w:cs="Times New Roman"/>
                </w:rPr>
              </w:sdtEndPr>
              <w:sdtContent>
                <w:tc>
                  <w:tcPr>
                    <w:tcW w:w="697" w:type="pct"/>
                    <w:vAlign w:val="center"/>
                  </w:tcPr>
                  <w:p>
                    <w:pPr>
                      <w:widowControl w:val="0"/>
                      <w:jc w:val="center"/>
                      <w:rPr>
                        <w:rFonts w:ascii="Times New Roman" w:hAnsi="Times New Roman" w:cs="Times New Roman"/>
                        <w:b/>
                        <w:szCs w:val="21"/>
                      </w:rPr>
                    </w:pPr>
                    <w:r>
                      <w:rPr>
                        <w:rFonts w:ascii="Times New Roman" w:cs="Times New Roman"/>
                        <w:szCs w:val="21"/>
                      </w:rPr>
                      <w:t>出席股东大会的次数</w:t>
                    </w:r>
                  </w:p>
                </w:tc>
              </w:sdtContent>
            </w:sdt>
          </w:tr>
          <w:sdt>
            <w:sdtPr>
              <w:rPr>
                <w:rFonts w:ascii="Times New Roman" w:hAnsi="Times New Roman" w:cs="Times New Roman" w:eastAsiaTheme="minorEastAsia"/>
                <w:kern w:val="2"/>
                <w:szCs w:val="21"/>
              </w:rPr>
              <w:alias w:val="董事参加董事会的出席情况明细"/>
              <w:tag w:val="_TUP_21f02a2c29cc41bba590120cf14b9bc6"/>
              <w:id w:val="865722748"/>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ascii="Times New Roman" w:hAnsi="Times New Roman" w:cs="Times New Roman"/>
                        <w:szCs w:val="21"/>
                      </w:rPr>
                    </w:pPr>
                    <w:r>
                      <w:rPr>
                        <w:rFonts w:ascii="Times New Roman" w:cs="Times New Roman" w:hAnsiTheme="minorHAnsi" w:eastAsiaTheme="minorEastAsia"/>
                        <w:kern w:val="2"/>
                        <w:szCs w:val="21"/>
                      </w:rPr>
                      <w:t>林钻煌</w:t>
                    </w:r>
                  </w:p>
                </w:tc>
                <w:sdt>
                  <w:sdtPr>
                    <w:rPr>
                      <w:rFonts w:ascii="Times New Roman" w:hAnsi="Times New Roman" w:cs="Times New Roman"/>
                      <w:szCs w:val="21"/>
                    </w:rPr>
                    <w:alias w:val="董事参加董事会的出席情况明细-是否独立董事"/>
                    <w:tag w:val="_GBC_8f65cf2d483747a58ee92c8a36ee6375"/>
                    <w:id w:val="865722746"/>
                    <w:lock w:val="sdtLocked"/>
                    <w:comboBox>
                      <w:listItem w:displayText="是" w:value="true"/>
                      <w:listItem w:displayText="否" w:value="false"/>
                    </w:comboBox>
                  </w:sdtPr>
                  <w:sdtEndPr>
                    <w:rPr>
                      <w:rFonts w:ascii="Times New Roman" w:hAnsi="Times New Roman" w:cs="Times New Roman"/>
                      <w:szCs w:val="21"/>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07" w:type="pct"/>
                    <w:vAlign w:val="center"/>
                  </w:tcPr>
                  <w:p>
                    <w:pPr>
                      <w:widowControl w:val="0"/>
                      <w:jc w:val="center"/>
                      <w:rPr>
                        <w:rFonts w:ascii="Times New Roman" w:hAnsi="Times New Roman" w:cs="Times New Roman"/>
                        <w:szCs w:val="21"/>
                      </w:rPr>
                    </w:pPr>
                    <w:r>
                      <w:rPr>
                        <w:rFonts w:ascii="Times New Roman" w:hAnsi="Times New Roman" w:cs="Times New Roman"/>
                        <w:szCs w:val="21"/>
                      </w:rPr>
                      <w:t>7</w:t>
                    </w:r>
                  </w:p>
                </w:tc>
                <w:tc>
                  <w:tcPr>
                    <w:tcW w:w="471" w:type="pct"/>
                    <w:vAlign w:val="center"/>
                  </w:tcPr>
                  <w:p>
                    <w:pPr>
                      <w:widowControl w:val="0"/>
                      <w:jc w:val="center"/>
                      <w:rPr>
                        <w:rFonts w:ascii="Times New Roman" w:hAnsi="Times New Roman" w:cs="Times New Roman"/>
                        <w:szCs w:val="21"/>
                      </w:rPr>
                    </w:pPr>
                    <w:r>
                      <w:rPr>
                        <w:rFonts w:ascii="Times New Roman" w:hAnsi="Times New Roman" w:cs="Times New Roman"/>
                        <w:szCs w:val="21"/>
                      </w:rPr>
                      <w:t>7</w:t>
                    </w:r>
                  </w:p>
                </w:tc>
                <w:tc>
                  <w:tcPr>
                    <w:tcW w:w="535" w:type="pct"/>
                    <w:vAlign w:val="center"/>
                  </w:tcPr>
                  <w:p>
                    <w:pPr>
                      <w:widowControl w:val="0"/>
                      <w:jc w:val="center"/>
                      <w:rPr>
                        <w:rFonts w:ascii="Times New Roman" w:hAnsi="Times New Roman" w:cs="Times New Roman"/>
                        <w:szCs w:val="21"/>
                      </w:rPr>
                    </w:pPr>
                    <w:r>
                      <w:rPr>
                        <w:rFonts w:ascii="Times New Roman" w:hAnsi="Times New Roman" w:cs="Times New Roman"/>
                        <w:szCs w:val="21"/>
                      </w:rPr>
                      <w:t>4</w:t>
                    </w:r>
                  </w:p>
                </w:tc>
                <w:tc>
                  <w:tcPr>
                    <w:tcW w:w="500" w:type="pct"/>
                    <w:vAlign w:val="center"/>
                  </w:tcPr>
                  <w:p>
                    <w:pPr>
                      <w:widowControl w:val="0"/>
                      <w:jc w:val="center"/>
                      <w:rPr>
                        <w:rFonts w:ascii="Times New Roman" w:hAnsi="Times New Roman" w:cs="Times New Roman"/>
                        <w:szCs w:val="21"/>
                      </w:rPr>
                    </w:pPr>
                    <w:r>
                      <w:rPr>
                        <w:rFonts w:ascii="Times New Roman" w:hAnsi="Times New Roman" w:cs="Times New Roman"/>
                        <w:szCs w:val="21"/>
                      </w:rPr>
                      <w:t>0</w:t>
                    </w:r>
                  </w:p>
                </w:tc>
                <w:tc>
                  <w:tcPr>
                    <w:tcW w:w="467" w:type="pct"/>
                    <w:vAlign w:val="center"/>
                  </w:tcPr>
                  <w:p>
                    <w:pPr>
                      <w:widowControl w:val="0"/>
                      <w:jc w:val="center"/>
                      <w:rPr>
                        <w:rFonts w:ascii="Times New Roman" w:hAnsi="Times New Roman" w:cs="Times New Roman"/>
                        <w:szCs w:val="21"/>
                      </w:rPr>
                    </w:pPr>
                    <w:r>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865722747"/>
                    <w:lock w:val="sdtLocked"/>
                    <w:comboBox>
                      <w:listItem w:displayText="是" w:value="true"/>
                      <w:listItem w:displayText="否" w:value="false"/>
                    </w:comboBox>
                  </w:sdtPr>
                  <w:sdtEndPr>
                    <w:rPr>
                      <w:rFonts w:ascii="Times New Roman" w:hAnsi="Times New Roman" w:cs="Times New Roman"/>
                      <w:szCs w:val="21"/>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97" w:type="pct"/>
                    <w:vAlign w:val="center"/>
                  </w:tcPr>
                  <w:p>
                    <w:pPr>
                      <w:widowControl w:val="0"/>
                      <w:jc w:val="center"/>
                      <w:rPr>
                        <w:rFonts w:ascii="Times New Roman" w:hAnsi="Times New Roman" w:cs="Times New Roman"/>
                        <w:szCs w:val="21"/>
                      </w:rPr>
                    </w:pPr>
                    <w:r>
                      <w:rPr>
                        <w:rFonts w:ascii="Times New Roman" w:hAnsi="Times New Roman" w:cs="Times New Roman"/>
                        <w:szCs w:val="21"/>
                      </w:rPr>
                      <w:t>2</w:t>
                    </w:r>
                  </w:p>
                </w:tc>
              </w:tr>
            </w:sdtContent>
          </w:sdt>
          <w:sdt>
            <w:sdtPr>
              <w:rPr>
                <w:rFonts w:ascii="Times New Roman" w:hAnsi="Times New Roman" w:cs="Times New Roman" w:eastAsiaTheme="minorEastAsia"/>
                <w:kern w:val="2"/>
                <w:szCs w:val="21"/>
              </w:rPr>
              <w:alias w:val="董事参加董事会的出席情况明细"/>
              <w:tag w:val="_TUP_21f02a2c29cc41bba590120cf14b9bc6"/>
              <w:id w:val="865722751"/>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ascii="Times New Roman" w:hAnsi="Times New Roman" w:cs="Times New Roman"/>
                        <w:szCs w:val="21"/>
                      </w:rPr>
                    </w:pPr>
                    <w:r>
                      <w:rPr>
                        <w:rFonts w:ascii="Times New Roman" w:cs="Times New Roman" w:hAnsiTheme="minorHAnsi" w:eastAsiaTheme="minorEastAsia"/>
                        <w:kern w:val="2"/>
                        <w:szCs w:val="21"/>
                      </w:rPr>
                      <w:t>吴堃</w:t>
                    </w:r>
                  </w:p>
                </w:tc>
                <w:sdt>
                  <w:sdtPr>
                    <w:rPr>
                      <w:rFonts w:ascii="Times New Roman" w:hAnsi="Times New Roman" w:cs="Times New Roman"/>
                      <w:szCs w:val="21"/>
                    </w:rPr>
                    <w:alias w:val="董事参加董事会的出席情况明细-是否独立董事"/>
                    <w:tag w:val="_GBC_8f65cf2d483747a58ee92c8a36ee6375"/>
                    <w:id w:val="865722749"/>
                    <w:lock w:val="sdtLocked"/>
                    <w:comboBox>
                      <w:listItem w:displayText="是" w:value="true"/>
                      <w:listItem w:displayText="否" w:value="false"/>
                    </w:comboBox>
                  </w:sdtPr>
                  <w:sdtEndPr>
                    <w:rPr>
                      <w:rFonts w:ascii="Times New Roman" w:hAnsi="Times New Roman" w:cs="Times New Roman"/>
                      <w:szCs w:val="21"/>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07" w:type="pct"/>
                    <w:vAlign w:val="center"/>
                  </w:tcPr>
                  <w:p>
                    <w:pPr>
                      <w:widowControl w:val="0"/>
                      <w:jc w:val="center"/>
                      <w:rPr>
                        <w:rFonts w:ascii="Times New Roman" w:hAnsi="Times New Roman" w:cs="Times New Roman"/>
                        <w:szCs w:val="21"/>
                      </w:rPr>
                    </w:pPr>
                    <w:r>
                      <w:rPr>
                        <w:rFonts w:ascii="Times New Roman" w:hAnsi="Times New Roman" w:cs="Times New Roman"/>
                        <w:szCs w:val="21"/>
                      </w:rPr>
                      <w:t>7</w:t>
                    </w:r>
                  </w:p>
                </w:tc>
                <w:tc>
                  <w:tcPr>
                    <w:tcW w:w="471" w:type="pct"/>
                    <w:vAlign w:val="center"/>
                  </w:tcPr>
                  <w:p>
                    <w:pPr>
                      <w:widowControl w:val="0"/>
                      <w:jc w:val="center"/>
                      <w:rPr>
                        <w:rFonts w:ascii="Times New Roman" w:hAnsi="Times New Roman" w:cs="Times New Roman"/>
                        <w:szCs w:val="21"/>
                      </w:rPr>
                    </w:pPr>
                    <w:r>
                      <w:rPr>
                        <w:rFonts w:ascii="Times New Roman" w:hAnsi="Times New Roman" w:cs="Times New Roman"/>
                        <w:szCs w:val="21"/>
                      </w:rPr>
                      <w:t>7</w:t>
                    </w:r>
                  </w:p>
                </w:tc>
                <w:tc>
                  <w:tcPr>
                    <w:tcW w:w="535" w:type="pct"/>
                    <w:vAlign w:val="center"/>
                  </w:tcPr>
                  <w:p>
                    <w:pPr>
                      <w:widowControl w:val="0"/>
                      <w:jc w:val="center"/>
                      <w:rPr>
                        <w:rFonts w:ascii="Times New Roman" w:hAnsi="Times New Roman" w:cs="Times New Roman"/>
                        <w:szCs w:val="21"/>
                      </w:rPr>
                    </w:pPr>
                    <w:r>
                      <w:rPr>
                        <w:rFonts w:ascii="Times New Roman" w:hAnsi="Times New Roman" w:cs="Times New Roman"/>
                        <w:szCs w:val="21"/>
                      </w:rPr>
                      <w:t>4</w:t>
                    </w:r>
                  </w:p>
                </w:tc>
                <w:tc>
                  <w:tcPr>
                    <w:tcW w:w="500" w:type="pct"/>
                    <w:vAlign w:val="center"/>
                  </w:tcPr>
                  <w:p>
                    <w:pPr>
                      <w:widowControl w:val="0"/>
                      <w:jc w:val="center"/>
                      <w:rPr>
                        <w:rFonts w:ascii="Times New Roman" w:hAnsi="Times New Roman" w:cs="Times New Roman"/>
                        <w:szCs w:val="21"/>
                      </w:rPr>
                    </w:pPr>
                    <w:r>
                      <w:rPr>
                        <w:rFonts w:ascii="Times New Roman" w:hAnsi="Times New Roman" w:cs="Times New Roman"/>
                        <w:szCs w:val="21"/>
                      </w:rPr>
                      <w:t>0</w:t>
                    </w:r>
                  </w:p>
                </w:tc>
                <w:tc>
                  <w:tcPr>
                    <w:tcW w:w="467" w:type="pct"/>
                    <w:vAlign w:val="center"/>
                  </w:tcPr>
                  <w:p>
                    <w:pPr>
                      <w:widowControl w:val="0"/>
                      <w:jc w:val="center"/>
                      <w:rPr>
                        <w:rFonts w:ascii="Times New Roman" w:hAnsi="Times New Roman" w:cs="Times New Roman"/>
                        <w:szCs w:val="21"/>
                      </w:rPr>
                    </w:pPr>
                    <w:r>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865722750"/>
                    <w:lock w:val="sdtLocked"/>
                    <w:comboBox>
                      <w:listItem w:displayText="是" w:value="true"/>
                      <w:listItem w:displayText="否" w:value="false"/>
                    </w:comboBox>
                  </w:sdtPr>
                  <w:sdtEndPr>
                    <w:rPr>
                      <w:rFonts w:ascii="Times New Roman" w:hAnsi="Times New Roman" w:cs="Times New Roman"/>
                      <w:szCs w:val="21"/>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97" w:type="pct"/>
                    <w:vAlign w:val="center"/>
                  </w:tcPr>
                  <w:p>
                    <w:pPr>
                      <w:widowControl w:val="0"/>
                      <w:jc w:val="center"/>
                      <w:rPr>
                        <w:rFonts w:ascii="Times New Roman" w:hAnsi="Times New Roman" w:cs="Times New Roman"/>
                        <w:szCs w:val="21"/>
                      </w:rPr>
                    </w:pPr>
                    <w:r>
                      <w:rPr>
                        <w:rFonts w:ascii="Times New Roman" w:hAnsi="Times New Roman" w:cs="Times New Roman"/>
                        <w:szCs w:val="21"/>
                      </w:rPr>
                      <w:t>2</w:t>
                    </w:r>
                  </w:p>
                </w:tc>
              </w:tr>
            </w:sdtContent>
          </w:sdt>
          <w:sdt>
            <w:sdtPr>
              <w:rPr>
                <w:rFonts w:ascii="Times New Roman" w:hAnsi="Times New Roman" w:cs="Times New Roman" w:eastAsiaTheme="minorEastAsia"/>
                <w:kern w:val="2"/>
                <w:szCs w:val="21"/>
              </w:rPr>
              <w:alias w:val="董事参加董事会的出席情况明细"/>
              <w:tag w:val="_TUP_21f02a2c29cc41bba590120cf14b9bc6"/>
              <w:id w:val="86572275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ascii="Times New Roman" w:hAnsi="Times New Roman" w:cs="Times New Roman"/>
                        <w:szCs w:val="21"/>
                      </w:rPr>
                    </w:pPr>
                    <w:r>
                      <w:rPr>
                        <w:rFonts w:ascii="Times New Roman" w:cs="Times New Roman" w:hAnsiTheme="minorHAnsi" w:eastAsiaTheme="minorEastAsia"/>
                        <w:kern w:val="2"/>
                        <w:szCs w:val="21"/>
                      </w:rPr>
                      <w:t>王为民</w:t>
                    </w:r>
                  </w:p>
                </w:tc>
                <w:sdt>
                  <w:sdtPr>
                    <w:rPr>
                      <w:rFonts w:ascii="Times New Roman" w:hAnsi="Times New Roman" w:cs="Times New Roman"/>
                      <w:szCs w:val="21"/>
                    </w:rPr>
                    <w:alias w:val="董事参加董事会的出席情况明细-是否独立董事"/>
                    <w:tag w:val="_GBC_8f65cf2d483747a58ee92c8a36ee6375"/>
                    <w:id w:val="865722752"/>
                    <w:lock w:val="sdtLocked"/>
                    <w:comboBox>
                      <w:listItem w:displayText="是" w:value="true"/>
                      <w:listItem w:displayText="否" w:value="false"/>
                    </w:comboBox>
                  </w:sdtPr>
                  <w:sdtEndPr>
                    <w:rPr>
                      <w:rFonts w:ascii="Times New Roman" w:hAnsi="Times New Roman" w:cs="Times New Roman"/>
                      <w:szCs w:val="21"/>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07"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471"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535" w:type="pct"/>
                    <w:vAlign w:val="center"/>
                  </w:tcPr>
                  <w:p>
                    <w:pPr>
                      <w:widowControl w:val="0"/>
                      <w:jc w:val="center"/>
                      <w:rPr>
                        <w:rFonts w:ascii="Times New Roman" w:hAnsi="Times New Roman" w:cs="Times New Roman"/>
                        <w:szCs w:val="21"/>
                      </w:rPr>
                    </w:pPr>
                    <w:r>
                      <w:rPr>
                        <w:rFonts w:ascii="Times New Roman" w:hAnsi="Times New Roman" w:cs="Times New Roman"/>
                      </w:rPr>
                      <w:t>4</w:t>
                    </w:r>
                  </w:p>
                </w:tc>
                <w:tc>
                  <w:tcPr>
                    <w:tcW w:w="500" w:type="pct"/>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467" w:type="pct"/>
                    <w:vAlign w:val="center"/>
                  </w:tcPr>
                  <w:p>
                    <w:pPr>
                      <w:widowControl w:val="0"/>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865722753"/>
                    <w:lock w:val="sdtLocked"/>
                    <w:comboBox>
                      <w:listItem w:displayText="是" w:value="true"/>
                      <w:listItem w:displayText="否" w:value="false"/>
                    </w:comboBox>
                  </w:sdtPr>
                  <w:sdtEndPr>
                    <w:rPr>
                      <w:rFonts w:ascii="Times New Roman" w:hAnsi="Times New Roman" w:cs="Times New Roman"/>
                      <w:szCs w:val="21"/>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97" w:type="pct"/>
                    <w:vAlign w:val="center"/>
                  </w:tcPr>
                  <w:p>
                    <w:pPr>
                      <w:widowControl w:val="0"/>
                      <w:jc w:val="center"/>
                      <w:rPr>
                        <w:rFonts w:ascii="Times New Roman" w:hAnsi="Times New Roman" w:cs="Times New Roman"/>
                        <w:szCs w:val="21"/>
                      </w:rPr>
                    </w:pPr>
                    <w:r>
                      <w:rPr>
                        <w:rFonts w:ascii="Times New Roman" w:hAnsi="Times New Roman" w:cs="Times New Roman"/>
                      </w:rPr>
                      <w:t>2</w:t>
                    </w:r>
                  </w:p>
                </w:tc>
              </w:tr>
            </w:sdtContent>
          </w:sdt>
          <w:sdt>
            <w:sdtPr>
              <w:rPr>
                <w:rFonts w:ascii="Times New Roman" w:hAnsi="Times New Roman" w:cs="Times New Roman" w:eastAsiaTheme="minorEastAsia"/>
                <w:kern w:val="2"/>
                <w:szCs w:val="21"/>
              </w:rPr>
              <w:alias w:val="董事参加董事会的出席情况明细"/>
              <w:tag w:val="_TUP_21f02a2c29cc41bba590120cf14b9bc6"/>
              <w:id w:val="865722757"/>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ascii="Times New Roman" w:hAnsi="Times New Roman" w:cs="Times New Roman"/>
                        <w:szCs w:val="21"/>
                      </w:rPr>
                    </w:pPr>
                    <w:r>
                      <w:rPr>
                        <w:rFonts w:ascii="Times New Roman" w:cs="Times New Roman" w:hAnsiTheme="minorHAnsi" w:eastAsiaTheme="minorEastAsia"/>
                        <w:kern w:val="2"/>
                        <w:szCs w:val="21"/>
                      </w:rPr>
                      <w:t>莫善军</w:t>
                    </w:r>
                  </w:p>
                </w:tc>
                <w:sdt>
                  <w:sdtPr>
                    <w:rPr>
                      <w:rFonts w:ascii="Times New Roman" w:hAnsi="Times New Roman" w:cs="Times New Roman"/>
                      <w:szCs w:val="21"/>
                    </w:rPr>
                    <w:alias w:val="董事参加董事会的出席情况明细-是否独立董事"/>
                    <w:tag w:val="_GBC_8f65cf2d483747a58ee92c8a36ee6375"/>
                    <w:id w:val="865722755"/>
                    <w:lock w:val="sdtLocked"/>
                    <w:comboBox>
                      <w:listItem w:displayText="是" w:value="true"/>
                      <w:listItem w:displayText="否" w:value="false"/>
                    </w:comboBox>
                  </w:sdtPr>
                  <w:sdtEndPr>
                    <w:rPr>
                      <w:rFonts w:ascii="Times New Roman" w:hAnsi="Times New Roman" w:cs="Times New Roman"/>
                      <w:szCs w:val="21"/>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07"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471"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535" w:type="pct"/>
                    <w:vAlign w:val="center"/>
                  </w:tcPr>
                  <w:p>
                    <w:pPr>
                      <w:widowControl w:val="0"/>
                      <w:jc w:val="center"/>
                      <w:rPr>
                        <w:rFonts w:ascii="Times New Roman" w:hAnsi="Times New Roman" w:cs="Times New Roman"/>
                        <w:szCs w:val="21"/>
                      </w:rPr>
                    </w:pPr>
                    <w:r>
                      <w:rPr>
                        <w:rFonts w:ascii="Times New Roman" w:hAnsi="Times New Roman" w:cs="Times New Roman"/>
                      </w:rPr>
                      <w:t>4</w:t>
                    </w:r>
                  </w:p>
                </w:tc>
                <w:tc>
                  <w:tcPr>
                    <w:tcW w:w="500" w:type="pct"/>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467" w:type="pct"/>
                    <w:vAlign w:val="center"/>
                  </w:tcPr>
                  <w:p>
                    <w:pPr>
                      <w:widowControl w:val="0"/>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865722756"/>
                    <w:lock w:val="sdtLocked"/>
                    <w:comboBox>
                      <w:listItem w:displayText="是" w:value="true"/>
                      <w:listItem w:displayText="否" w:value="false"/>
                    </w:comboBox>
                  </w:sdtPr>
                  <w:sdtEndPr>
                    <w:rPr>
                      <w:rFonts w:ascii="Times New Roman" w:hAnsi="Times New Roman" w:cs="Times New Roman"/>
                      <w:szCs w:val="21"/>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97" w:type="pct"/>
                    <w:vAlign w:val="center"/>
                  </w:tcPr>
                  <w:p>
                    <w:pPr>
                      <w:widowControl w:val="0"/>
                      <w:jc w:val="center"/>
                      <w:rPr>
                        <w:rFonts w:ascii="Times New Roman" w:hAnsi="Times New Roman" w:cs="Times New Roman"/>
                        <w:szCs w:val="21"/>
                      </w:rPr>
                    </w:pPr>
                    <w:r>
                      <w:rPr>
                        <w:rFonts w:ascii="Times New Roman" w:hAnsi="Times New Roman" w:cs="Times New Roman"/>
                      </w:rPr>
                      <w:t>2</w:t>
                    </w:r>
                  </w:p>
                </w:tc>
              </w:tr>
            </w:sdtContent>
          </w:sdt>
          <w:sdt>
            <w:sdtPr>
              <w:rPr>
                <w:rFonts w:ascii="Times New Roman" w:hAnsi="Times New Roman" w:cs="Times New Roman" w:eastAsiaTheme="minorEastAsia"/>
                <w:kern w:val="2"/>
                <w:szCs w:val="21"/>
              </w:rPr>
              <w:alias w:val="董事参加董事会的出席情况明细"/>
              <w:tag w:val="_TUP_21f02a2c29cc41bba590120cf14b9bc6"/>
              <w:id w:val="865722760"/>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ascii="Times New Roman" w:hAnsi="Times New Roman" w:cs="Times New Roman"/>
                        <w:szCs w:val="21"/>
                      </w:rPr>
                    </w:pPr>
                    <w:r>
                      <w:rPr>
                        <w:rFonts w:ascii="Times New Roman" w:cs="Times New Roman" w:hAnsiTheme="minorHAnsi" w:eastAsiaTheme="minorEastAsia"/>
                        <w:kern w:val="2"/>
                        <w:szCs w:val="21"/>
                      </w:rPr>
                      <w:t>龚慧泉</w:t>
                    </w:r>
                  </w:p>
                </w:tc>
                <w:sdt>
                  <w:sdtPr>
                    <w:rPr>
                      <w:rFonts w:ascii="Times New Roman" w:hAnsi="Times New Roman" w:cs="Times New Roman"/>
                      <w:szCs w:val="21"/>
                    </w:rPr>
                    <w:alias w:val="董事参加董事会的出席情况明细-是否独立董事"/>
                    <w:tag w:val="_GBC_8f65cf2d483747a58ee92c8a36ee6375"/>
                    <w:id w:val="865722758"/>
                    <w:lock w:val="sdtLocked"/>
                    <w:comboBox>
                      <w:listItem w:displayText="是" w:value="true"/>
                      <w:listItem w:displayText="否" w:value="false"/>
                    </w:comboBox>
                  </w:sdtPr>
                  <w:sdtEndPr>
                    <w:rPr>
                      <w:rFonts w:ascii="Times New Roman" w:hAnsi="Times New Roman" w:cs="Times New Roman"/>
                      <w:szCs w:val="21"/>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07"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471"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535" w:type="pct"/>
                    <w:vAlign w:val="center"/>
                  </w:tcPr>
                  <w:p>
                    <w:pPr>
                      <w:widowControl w:val="0"/>
                      <w:jc w:val="center"/>
                      <w:rPr>
                        <w:rFonts w:ascii="Times New Roman" w:hAnsi="Times New Roman" w:cs="Times New Roman"/>
                        <w:szCs w:val="21"/>
                      </w:rPr>
                    </w:pPr>
                    <w:r>
                      <w:rPr>
                        <w:rFonts w:ascii="Times New Roman" w:hAnsi="Times New Roman" w:cs="Times New Roman"/>
                      </w:rPr>
                      <w:t>4</w:t>
                    </w:r>
                  </w:p>
                </w:tc>
                <w:tc>
                  <w:tcPr>
                    <w:tcW w:w="500" w:type="pct"/>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467" w:type="pct"/>
                    <w:vAlign w:val="center"/>
                  </w:tcPr>
                  <w:p>
                    <w:pPr>
                      <w:widowControl w:val="0"/>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865722759"/>
                    <w:lock w:val="sdtLocked"/>
                    <w:comboBox>
                      <w:listItem w:displayText="是" w:value="true"/>
                      <w:listItem w:displayText="否" w:value="false"/>
                    </w:comboBox>
                  </w:sdtPr>
                  <w:sdtEndPr>
                    <w:rPr>
                      <w:rFonts w:ascii="Times New Roman" w:hAnsi="Times New Roman" w:cs="Times New Roman"/>
                      <w:szCs w:val="21"/>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97" w:type="pct"/>
                    <w:vAlign w:val="center"/>
                  </w:tcPr>
                  <w:p>
                    <w:pPr>
                      <w:widowControl w:val="0"/>
                      <w:jc w:val="center"/>
                      <w:rPr>
                        <w:rFonts w:ascii="Times New Roman" w:hAnsi="Times New Roman" w:cs="Times New Roman"/>
                        <w:szCs w:val="21"/>
                      </w:rPr>
                    </w:pPr>
                    <w:r>
                      <w:rPr>
                        <w:rFonts w:ascii="Times New Roman" w:hAnsi="Times New Roman" w:cs="Times New Roman"/>
                      </w:rPr>
                      <w:t>1</w:t>
                    </w:r>
                  </w:p>
                </w:tc>
              </w:tr>
            </w:sdtContent>
          </w:sdt>
          <w:sdt>
            <w:sdtPr>
              <w:rPr>
                <w:rFonts w:ascii="Times New Roman" w:hAnsi="Times New Roman" w:cs="Times New Roman" w:eastAsiaTheme="minorEastAsia"/>
                <w:kern w:val="2"/>
                <w:szCs w:val="21"/>
              </w:rPr>
              <w:alias w:val="董事参加董事会的出席情况明细"/>
              <w:tag w:val="_TUP_21f02a2c29cc41bba590120cf14b9bc6"/>
              <w:id w:val="865722763"/>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ascii="Times New Roman" w:hAnsi="Times New Roman" w:cs="Times New Roman" w:eastAsiaTheme="minorEastAsia"/>
                        <w:kern w:val="2"/>
                        <w:szCs w:val="21"/>
                      </w:rPr>
                    </w:pPr>
                    <w:r>
                      <w:rPr>
                        <w:rFonts w:ascii="Times New Roman" w:cs="Times New Roman" w:hAnsiTheme="minorHAnsi" w:eastAsiaTheme="minorEastAsia"/>
                        <w:kern w:val="2"/>
                        <w:szCs w:val="21"/>
                      </w:rPr>
                      <w:t>方宇</w:t>
                    </w:r>
                  </w:p>
                </w:tc>
                <w:sdt>
                  <w:sdtPr>
                    <w:rPr>
                      <w:rFonts w:ascii="Times New Roman" w:hAnsi="Times New Roman" w:cs="Times New Roman"/>
                      <w:szCs w:val="21"/>
                    </w:rPr>
                    <w:alias w:val="董事参加董事会的出席情况明细-是否独立董事"/>
                    <w:tag w:val="_GBC_8f65cf2d483747a58ee92c8a36ee6375"/>
                    <w:id w:val="865722761"/>
                    <w:lock w:val="sdtLocked"/>
                    <w:comboBox>
                      <w:listItem w:displayText="是" w:value="true"/>
                      <w:listItem w:displayText="否" w:value="false"/>
                    </w:comboBox>
                  </w:sdtPr>
                  <w:sdtEndPr>
                    <w:rPr>
                      <w:rFonts w:ascii="Times New Roman" w:hAnsi="Times New Roman" w:cs="Times New Roman"/>
                      <w:szCs w:val="21"/>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07" w:type="pct"/>
                    <w:vAlign w:val="center"/>
                  </w:tcPr>
                  <w:p>
                    <w:pPr>
                      <w:widowControl w:val="0"/>
                      <w:jc w:val="center"/>
                      <w:rPr>
                        <w:rFonts w:ascii="Times New Roman" w:hAnsi="Times New Roman" w:cs="Times New Roman"/>
                        <w:szCs w:val="21"/>
                      </w:rPr>
                    </w:pPr>
                    <w:r>
                      <w:rPr>
                        <w:rFonts w:ascii="Times New Roman" w:hAnsi="Times New Roman" w:cs="Times New Roman"/>
                        <w:szCs w:val="21"/>
                      </w:rPr>
                      <w:t>4</w:t>
                    </w:r>
                  </w:p>
                </w:tc>
                <w:tc>
                  <w:tcPr>
                    <w:tcW w:w="471" w:type="pct"/>
                    <w:vAlign w:val="center"/>
                  </w:tcPr>
                  <w:p>
                    <w:pPr>
                      <w:widowControl w:val="0"/>
                      <w:jc w:val="center"/>
                      <w:rPr>
                        <w:rFonts w:ascii="Times New Roman" w:hAnsi="Times New Roman" w:cs="Times New Roman"/>
                        <w:szCs w:val="21"/>
                      </w:rPr>
                    </w:pPr>
                    <w:r>
                      <w:rPr>
                        <w:rFonts w:ascii="Times New Roman" w:hAnsi="Times New Roman" w:cs="Times New Roman"/>
                        <w:szCs w:val="21"/>
                      </w:rPr>
                      <w:t>2</w:t>
                    </w:r>
                  </w:p>
                </w:tc>
                <w:tc>
                  <w:tcPr>
                    <w:tcW w:w="535" w:type="pct"/>
                    <w:vAlign w:val="center"/>
                  </w:tcPr>
                  <w:p>
                    <w:pPr>
                      <w:widowControl w:val="0"/>
                      <w:jc w:val="center"/>
                      <w:rPr>
                        <w:rFonts w:ascii="Times New Roman" w:hAnsi="Times New Roman" w:cs="Times New Roman"/>
                        <w:szCs w:val="21"/>
                      </w:rPr>
                    </w:pPr>
                    <w:r>
                      <w:rPr>
                        <w:rFonts w:ascii="Times New Roman" w:hAnsi="Times New Roman" w:cs="Times New Roman"/>
                        <w:szCs w:val="21"/>
                      </w:rPr>
                      <w:t>2</w:t>
                    </w:r>
                  </w:p>
                </w:tc>
                <w:tc>
                  <w:tcPr>
                    <w:tcW w:w="500" w:type="pct"/>
                    <w:vAlign w:val="center"/>
                  </w:tcPr>
                  <w:p>
                    <w:pPr>
                      <w:widowControl w:val="0"/>
                      <w:jc w:val="center"/>
                      <w:rPr>
                        <w:rFonts w:ascii="Times New Roman" w:hAnsi="Times New Roman" w:cs="Times New Roman"/>
                        <w:szCs w:val="21"/>
                      </w:rPr>
                    </w:pPr>
                    <w:r>
                      <w:rPr>
                        <w:rFonts w:ascii="Times New Roman" w:hAnsi="Times New Roman" w:cs="Times New Roman"/>
                        <w:szCs w:val="21"/>
                      </w:rPr>
                      <w:t>2</w:t>
                    </w:r>
                  </w:p>
                </w:tc>
                <w:tc>
                  <w:tcPr>
                    <w:tcW w:w="467" w:type="pct"/>
                    <w:vAlign w:val="center"/>
                  </w:tcPr>
                  <w:p>
                    <w:pPr>
                      <w:widowControl w:val="0"/>
                      <w:jc w:val="center"/>
                      <w:rPr>
                        <w:rFonts w:ascii="Times New Roman" w:hAnsi="Times New Roman" w:cs="Times New Roman"/>
                        <w:szCs w:val="21"/>
                      </w:rPr>
                    </w:pPr>
                    <w:r>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865722762"/>
                    <w:lock w:val="sdtLocked"/>
                    <w:comboBox>
                      <w:listItem w:displayText="是" w:value="true"/>
                      <w:listItem w:displayText="否" w:value="false"/>
                    </w:comboBox>
                  </w:sdtPr>
                  <w:sdtEndPr>
                    <w:rPr>
                      <w:rFonts w:ascii="Times New Roman" w:hAnsi="Times New Roman" w:cs="Times New Roman"/>
                      <w:szCs w:val="21"/>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97" w:type="pct"/>
                    <w:vAlign w:val="center"/>
                  </w:tcPr>
                  <w:p>
                    <w:pPr>
                      <w:widowControl w:val="0"/>
                      <w:jc w:val="center"/>
                      <w:rPr>
                        <w:rFonts w:ascii="Times New Roman" w:hAnsi="Times New Roman" w:cs="Times New Roman" w:eastAsiaTheme="minorEastAsia"/>
                        <w:kern w:val="2"/>
                        <w:szCs w:val="21"/>
                      </w:rPr>
                    </w:pPr>
                    <w:r>
                      <w:rPr>
                        <w:rFonts w:ascii="Times New Roman" w:hAnsi="Times New Roman" w:cs="Times New Roman" w:eastAsiaTheme="minorEastAsia"/>
                        <w:kern w:val="2"/>
                        <w:szCs w:val="21"/>
                      </w:rPr>
                      <w:t>0</w:t>
                    </w:r>
                  </w:p>
                </w:tc>
              </w:tr>
            </w:sdtContent>
          </w:sdt>
          <w:sdt>
            <w:sdtPr>
              <w:rPr>
                <w:rFonts w:ascii="Times New Roman" w:hAnsi="Times New Roman" w:cs="Times New Roman" w:eastAsiaTheme="minorEastAsia"/>
                <w:kern w:val="2"/>
                <w:szCs w:val="21"/>
              </w:rPr>
              <w:alias w:val="董事参加董事会的出席情况明细"/>
              <w:tag w:val="_TUP_21f02a2c29cc41bba590120cf14b9bc6"/>
              <w:id w:val="865722766"/>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ascii="Times New Roman" w:hAnsi="Times New Roman" w:cs="Times New Roman"/>
                        <w:szCs w:val="21"/>
                      </w:rPr>
                    </w:pPr>
                    <w:r>
                      <w:rPr>
                        <w:rFonts w:ascii="Times New Roman" w:cs="Times New Roman" w:hAnsiTheme="minorHAnsi" w:eastAsiaTheme="minorEastAsia"/>
                        <w:kern w:val="2"/>
                        <w:szCs w:val="21"/>
                      </w:rPr>
                      <w:t>唐鹏</w:t>
                    </w:r>
                  </w:p>
                </w:tc>
                <w:sdt>
                  <w:sdtPr>
                    <w:rPr>
                      <w:rFonts w:ascii="Times New Roman" w:hAnsi="Times New Roman" w:cs="Times New Roman"/>
                      <w:szCs w:val="21"/>
                    </w:rPr>
                    <w:alias w:val="董事参加董事会的出席情况明细-是否独立董事"/>
                    <w:tag w:val="_GBC_8f65cf2d483747a58ee92c8a36ee6375"/>
                    <w:id w:val="865722764"/>
                    <w:lock w:val="sdtLocked"/>
                    <w:comboBox>
                      <w:listItem w:displayText="是" w:value="true"/>
                      <w:listItem w:displayText="否" w:value="false"/>
                    </w:comboBox>
                  </w:sdtPr>
                  <w:sdtEndPr>
                    <w:rPr>
                      <w:rFonts w:ascii="Times New Roman" w:hAnsi="Times New Roman" w:cs="Times New Roman"/>
                      <w:szCs w:val="21"/>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07" w:type="pct"/>
                    <w:vAlign w:val="center"/>
                  </w:tcPr>
                  <w:p>
                    <w:pPr>
                      <w:widowControl w:val="0"/>
                      <w:jc w:val="center"/>
                      <w:rPr>
                        <w:rFonts w:ascii="Times New Roman" w:hAnsi="Times New Roman" w:cs="Times New Roman"/>
                        <w:szCs w:val="21"/>
                      </w:rPr>
                    </w:pPr>
                    <w:r>
                      <w:rPr>
                        <w:rFonts w:ascii="Times New Roman" w:hAnsi="Times New Roman" w:cs="Times New Roman"/>
                        <w:szCs w:val="21"/>
                      </w:rPr>
                      <w:t>3</w:t>
                    </w:r>
                  </w:p>
                </w:tc>
                <w:tc>
                  <w:tcPr>
                    <w:tcW w:w="471" w:type="pct"/>
                    <w:vAlign w:val="center"/>
                  </w:tcPr>
                  <w:p>
                    <w:pPr>
                      <w:widowControl w:val="0"/>
                      <w:jc w:val="center"/>
                      <w:rPr>
                        <w:rFonts w:ascii="Times New Roman" w:hAnsi="Times New Roman" w:cs="Times New Roman"/>
                        <w:szCs w:val="21"/>
                      </w:rPr>
                    </w:pPr>
                    <w:r>
                      <w:rPr>
                        <w:rFonts w:ascii="Times New Roman" w:hAnsi="Times New Roman" w:cs="Times New Roman"/>
                        <w:szCs w:val="21"/>
                      </w:rPr>
                      <w:t>3</w:t>
                    </w:r>
                  </w:p>
                </w:tc>
                <w:tc>
                  <w:tcPr>
                    <w:tcW w:w="535" w:type="pct"/>
                    <w:vAlign w:val="center"/>
                  </w:tcPr>
                  <w:p>
                    <w:pPr>
                      <w:widowControl w:val="0"/>
                      <w:jc w:val="center"/>
                      <w:rPr>
                        <w:rFonts w:ascii="Times New Roman" w:hAnsi="Times New Roman" w:cs="Times New Roman"/>
                        <w:szCs w:val="21"/>
                      </w:rPr>
                    </w:pPr>
                    <w:r>
                      <w:rPr>
                        <w:rFonts w:ascii="Times New Roman" w:hAnsi="Times New Roman" w:cs="Times New Roman"/>
                        <w:szCs w:val="21"/>
                      </w:rPr>
                      <w:t>2</w:t>
                    </w:r>
                  </w:p>
                </w:tc>
                <w:tc>
                  <w:tcPr>
                    <w:tcW w:w="500" w:type="pct"/>
                    <w:vAlign w:val="center"/>
                  </w:tcPr>
                  <w:p>
                    <w:pPr>
                      <w:widowControl w:val="0"/>
                      <w:jc w:val="center"/>
                      <w:rPr>
                        <w:rFonts w:ascii="Times New Roman" w:hAnsi="Times New Roman" w:cs="Times New Roman"/>
                        <w:szCs w:val="21"/>
                      </w:rPr>
                    </w:pPr>
                    <w:r>
                      <w:rPr>
                        <w:rFonts w:ascii="Times New Roman" w:hAnsi="Times New Roman" w:cs="Times New Roman"/>
                        <w:szCs w:val="21"/>
                      </w:rPr>
                      <w:t>0</w:t>
                    </w:r>
                  </w:p>
                </w:tc>
                <w:tc>
                  <w:tcPr>
                    <w:tcW w:w="467" w:type="pct"/>
                    <w:vAlign w:val="center"/>
                  </w:tcPr>
                  <w:p>
                    <w:pPr>
                      <w:widowControl w:val="0"/>
                      <w:jc w:val="center"/>
                      <w:rPr>
                        <w:rFonts w:ascii="Times New Roman" w:hAnsi="Times New Roman" w:cs="Times New Roman"/>
                        <w:szCs w:val="21"/>
                      </w:rPr>
                    </w:pPr>
                    <w:r>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865722765"/>
                    <w:lock w:val="sdtLocked"/>
                    <w:comboBox>
                      <w:listItem w:displayText="是" w:value="true"/>
                      <w:listItem w:displayText="否" w:value="false"/>
                    </w:comboBox>
                  </w:sdtPr>
                  <w:sdtEndPr>
                    <w:rPr>
                      <w:rFonts w:ascii="Times New Roman" w:hAnsi="Times New Roman" w:cs="Times New Roman"/>
                      <w:szCs w:val="21"/>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97" w:type="pct"/>
                    <w:vAlign w:val="center"/>
                  </w:tcPr>
                  <w:p>
                    <w:pPr>
                      <w:widowControl w:val="0"/>
                      <w:jc w:val="center"/>
                      <w:rPr>
                        <w:rFonts w:ascii="Times New Roman" w:hAnsi="Times New Roman" w:cs="Times New Roman"/>
                        <w:szCs w:val="21"/>
                      </w:rPr>
                    </w:pPr>
                    <w:r>
                      <w:rPr>
                        <w:rFonts w:ascii="Times New Roman" w:hAnsi="Times New Roman" w:cs="Times New Roman"/>
                        <w:szCs w:val="21"/>
                      </w:rPr>
                      <w:t>0</w:t>
                    </w:r>
                  </w:p>
                </w:tc>
              </w:tr>
            </w:sdtContent>
          </w:sdt>
          <w:sdt>
            <w:sdtPr>
              <w:rPr>
                <w:rFonts w:ascii="Times New Roman" w:hAnsi="Times New Roman" w:cs="Times New Roman" w:eastAsiaTheme="minorEastAsia"/>
                <w:kern w:val="2"/>
                <w:szCs w:val="21"/>
              </w:rPr>
              <w:alias w:val="董事参加董事会的出席情况明细"/>
              <w:tag w:val="_TUP_21f02a2c29cc41bba590120cf14b9bc6"/>
              <w:id w:val="865722769"/>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ascii="Times New Roman" w:hAnsi="Times New Roman" w:cs="Times New Roman"/>
                        <w:szCs w:val="21"/>
                      </w:rPr>
                    </w:pPr>
                    <w:r>
                      <w:rPr>
                        <w:rFonts w:ascii="Times New Roman" w:cs="Times New Roman" w:hAnsiTheme="minorHAnsi" w:eastAsiaTheme="minorEastAsia"/>
                        <w:kern w:val="2"/>
                        <w:szCs w:val="21"/>
                      </w:rPr>
                      <w:t>张重义</w:t>
                    </w:r>
                  </w:p>
                </w:tc>
                <w:sdt>
                  <w:sdtPr>
                    <w:rPr>
                      <w:rFonts w:ascii="Times New Roman" w:hAnsi="Times New Roman" w:cs="Times New Roman"/>
                      <w:szCs w:val="21"/>
                    </w:rPr>
                    <w:alias w:val="董事参加董事会的出席情况明细-是否独立董事"/>
                    <w:tag w:val="_GBC_8f65cf2d483747a58ee92c8a36ee6375"/>
                    <w:id w:val="865722767"/>
                    <w:lock w:val="sdtLocked"/>
                    <w:comboBox>
                      <w:listItem w:displayText="是" w:value="true"/>
                      <w:listItem w:displayText="否" w:value="false"/>
                    </w:comboBox>
                  </w:sdtPr>
                  <w:sdtEndPr>
                    <w:rPr>
                      <w:rFonts w:ascii="Times New Roman" w:hAnsi="Times New Roman" w:cs="Times New Roman"/>
                      <w:szCs w:val="21"/>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是</w:t>
                        </w:r>
                      </w:p>
                    </w:tc>
                  </w:sdtContent>
                </w:sdt>
                <w:tc>
                  <w:tcPr>
                    <w:tcW w:w="607"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471"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535" w:type="pct"/>
                    <w:vAlign w:val="center"/>
                  </w:tcPr>
                  <w:p>
                    <w:pPr>
                      <w:widowControl w:val="0"/>
                      <w:jc w:val="center"/>
                      <w:rPr>
                        <w:rFonts w:ascii="Times New Roman" w:hAnsi="Times New Roman" w:cs="Times New Roman"/>
                        <w:szCs w:val="21"/>
                      </w:rPr>
                    </w:pPr>
                    <w:r>
                      <w:rPr>
                        <w:rFonts w:ascii="Times New Roman" w:hAnsi="Times New Roman" w:cs="Times New Roman"/>
                      </w:rPr>
                      <w:t>4</w:t>
                    </w:r>
                  </w:p>
                </w:tc>
                <w:tc>
                  <w:tcPr>
                    <w:tcW w:w="500" w:type="pct"/>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467" w:type="pct"/>
                    <w:vAlign w:val="center"/>
                  </w:tcPr>
                  <w:p>
                    <w:pPr>
                      <w:widowControl w:val="0"/>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865722768"/>
                    <w:lock w:val="sdtLocked"/>
                    <w:comboBox>
                      <w:listItem w:displayText="是" w:value="true"/>
                      <w:listItem w:displayText="否" w:value="false"/>
                    </w:comboBox>
                  </w:sdtPr>
                  <w:sdtEndPr>
                    <w:rPr>
                      <w:rFonts w:ascii="Times New Roman" w:hAnsi="Times New Roman" w:cs="Times New Roman"/>
                      <w:szCs w:val="21"/>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97" w:type="pct"/>
                    <w:vAlign w:val="center"/>
                  </w:tcPr>
                  <w:p>
                    <w:pPr>
                      <w:widowControl w:val="0"/>
                      <w:jc w:val="center"/>
                      <w:rPr>
                        <w:rFonts w:ascii="Times New Roman" w:hAnsi="Times New Roman" w:cs="Times New Roman"/>
                        <w:szCs w:val="21"/>
                      </w:rPr>
                    </w:pPr>
                    <w:r>
                      <w:rPr>
                        <w:rFonts w:ascii="Times New Roman" w:hAnsi="Times New Roman" w:cs="Times New Roman"/>
                      </w:rPr>
                      <w:t>2</w:t>
                    </w:r>
                  </w:p>
                </w:tc>
              </w:tr>
            </w:sdtContent>
          </w:sdt>
          <w:sdt>
            <w:sdtPr>
              <w:rPr>
                <w:rFonts w:ascii="Times New Roman" w:hAnsi="Times New Roman" w:cs="Times New Roman" w:eastAsiaTheme="minorEastAsia"/>
                <w:kern w:val="2"/>
                <w:szCs w:val="21"/>
              </w:rPr>
              <w:alias w:val="董事参加董事会的出席情况明细"/>
              <w:tag w:val="_TUP_21f02a2c29cc41bba590120cf14b9bc6"/>
              <w:id w:val="86572277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ascii="Times New Roman" w:hAnsi="Times New Roman" w:cs="Times New Roman"/>
                        <w:szCs w:val="21"/>
                      </w:rPr>
                    </w:pPr>
                    <w:r>
                      <w:rPr>
                        <w:rFonts w:ascii="Times New Roman" w:cs="Times New Roman" w:hAnsiTheme="minorHAnsi" w:eastAsiaTheme="minorEastAsia"/>
                        <w:kern w:val="2"/>
                        <w:szCs w:val="21"/>
                      </w:rPr>
                      <w:t>余兵</w:t>
                    </w:r>
                  </w:p>
                </w:tc>
                <w:sdt>
                  <w:sdtPr>
                    <w:rPr>
                      <w:rFonts w:ascii="Times New Roman" w:hAnsi="Times New Roman" w:cs="Times New Roman"/>
                      <w:szCs w:val="21"/>
                    </w:rPr>
                    <w:alias w:val="董事参加董事会的出席情况明细-是否独立董事"/>
                    <w:tag w:val="_GBC_8f65cf2d483747a58ee92c8a36ee6375"/>
                    <w:id w:val="865722770"/>
                    <w:lock w:val="sdtLocked"/>
                    <w:comboBox>
                      <w:listItem w:displayText="是" w:value="true"/>
                      <w:listItem w:displayText="否" w:value="false"/>
                    </w:comboBox>
                  </w:sdtPr>
                  <w:sdtEndPr>
                    <w:rPr>
                      <w:rFonts w:ascii="Times New Roman" w:hAnsi="Times New Roman" w:cs="Times New Roman"/>
                      <w:szCs w:val="21"/>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是</w:t>
                        </w:r>
                      </w:p>
                    </w:tc>
                  </w:sdtContent>
                </w:sdt>
                <w:tc>
                  <w:tcPr>
                    <w:tcW w:w="607"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471"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535" w:type="pct"/>
                    <w:vAlign w:val="center"/>
                  </w:tcPr>
                  <w:p>
                    <w:pPr>
                      <w:widowControl w:val="0"/>
                      <w:jc w:val="center"/>
                      <w:rPr>
                        <w:rFonts w:ascii="Times New Roman" w:hAnsi="Times New Roman" w:cs="Times New Roman"/>
                        <w:szCs w:val="21"/>
                      </w:rPr>
                    </w:pPr>
                    <w:r>
                      <w:rPr>
                        <w:rFonts w:ascii="Times New Roman" w:hAnsi="Times New Roman" w:cs="Times New Roman"/>
                      </w:rPr>
                      <w:t>4</w:t>
                    </w:r>
                  </w:p>
                </w:tc>
                <w:tc>
                  <w:tcPr>
                    <w:tcW w:w="500" w:type="pct"/>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467" w:type="pct"/>
                    <w:vAlign w:val="center"/>
                  </w:tcPr>
                  <w:p>
                    <w:pPr>
                      <w:widowControl w:val="0"/>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865722771"/>
                    <w:lock w:val="sdtLocked"/>
                    <w:comboBox>
                      <w:listItem w:displayText="是" w:value="true"/>
                      <w:listItem w:displayText="否" w:value="false"/>
                    </w:comboBox>
                  </w:sdtPr>
                  <w:sdtEndPr>
                    <w:rPr>
                      <w:rFonts w:ascii="Times New Roman" w:hAnsi="Times New Roman" w:cs="Times New Roman"/>
                      <w:szCs w:val="21"/>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97" w:type="pct"/>
                    <w:vAlign w:val="center"/>
                  </w:tcPr>
                  <w:p>
                    <w:pPr>
                      <w:widowControl w:val="0"/>
                      <w:jc w:val="center"/>
                      <w:rPr>
                        <w:rFonts w:ascii="Times New Roman" w:hAnsi="Times New Roman" w:cs="Times New Roman"/>
                        <w:szCs w:val="21"/>
                      </w:rPr>
                    </w:pPr>
                    <w:r>
                      <w:rPr>
                        <w:rFonts w:ascii="Times New Roman" w:hAnsi="Times New Roman" w:cs="Times New Roman"/>
                      </w:rPr>
                      <w:t>2</w:t>
                    </w:r>
                  </w:p>
                </w:tc>
              </w:tr>
            </w:sdtContent>
          </w:sdt>
          <w:sdt>
            <w:sdtPr>
              <w:rPr>
                <w:rFonts w:ascii="Times New Roman" w:hAnsi="Times New Roman" w:cs="Times New Roman" w:eastAsiaTheme="minorEastAsia"/>
                <w:kern w:val="2"/>
                <w:szCs w:val="21"/>
              </w:rPr>
              <w:alias w:val="董事参加董事会的出席情况明细"/>
              <w:tag w:val="_TUP_21f02a2c29cc41bba590120cf14b9bc6"/>
              <w:id w:val="865722775"/>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vAlign w:val="center"/>
                  </w:tcPr>
                  <w:p>
                    <w:pPr>
                      <w:widowControl w:val="0"/>
                      <w:jc w:val="center"/>
                      <w:rPr>
                        <w:rFonts w:ascii="Times New Roman" w:hAnsi="Times New Roman" w:cs="Times New Roman"/>
                        <w:szCs w:val="21"/>
                      </w:rPr>
                    </w:pPr>
                    <w:r>
                      <w:rPr>
                        <w:rFonts w:ascii="Times New Roman" w:cs="Times New Roman" w:hAnsiTheme="minorHAnsi" w:eastAsiaTheme="minorEastAsia"/>
                        <w:kern w:val="2"/>
                        <w:szCs w:val="21"/>
                      </w:rPr>
                      <w:t>魏佳</w:t>
                    </w:r>
                  </w:p>
                </w:tc>
                <w:sdt>
                  <w:sdtPr>
                    <w:rPr>
                      <w:rFonts w:ascii="Times New Roman" w:hAnsi="Times New Roman" w:cs="Times New Roman"/>
                      <w:szCs w:val="21"/>
                    </w:rPr>
                    <w:alias w:val="董事参加董事会的出席情况明细-是否独立董事"/>
                    <w:tag w:val="_GBC_8f65cf2d483747a58ee92c8a36ee6375"/>
                    <w:id w:val="865722773"/>
                    <w:lock w:val="sdtLocked"/>
                    <w:comboBox>
                      <w:listItem w:displayText="是" w:value="true"/>
                      <w:listItem w:displayText="否" w:value="false"/>
                    </w:comboBox>
                  </w:sdtPr>
                  <w:sdtEndPr>
                    <w:rPr>
                      <w:rFonts w:ascii="Times New Roman" w:hAnsi="Times New Roman" w:cs="Times New Roman"/>
                      <w:szCs w:val="21"/>
                    </w:rPr>
                  </w:sdtEndPr>
                  <w:sdtContent>
                    <w:tc>
                      <w:tcPr>
                        <w:tcW w:w="467" w:type="pct"/>
                        <w:vAlign w:val="center"/>
                      </w:tcPr>
                      <w:p>
                        <w:pPr>
                          <w:widowControl w:val="0"/>
                          <w:jc w:val="center"/>
                          <w:rPr>
                            <w:rFonts w:ascii="Times New Roman" w:hAnsi="Times New Roman" w:cs="Times New Roman"/>
                            <w:szCs w:val="21"/>
                          </w:rPr>
                        </w:pPr>
                        <w:r>
                          <w:rPr>
                            <w:rFonts w:ascii="Times New Roman" w:cs="Times New Roman"/>
                            <w:szCs w:val="21"/>
                          </w:rPr>
                          <w:t>是</w:t>
                        </w:r>
                      </w:p>
                    </w:tc>
                  </w:sdtContent>
                </w:sdt>
                <w:tc>
                  <w:tcPr>
                    <w:tcW w:w="607"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471" w:type="pct"/>
                    <w:vAlign w:val="center"/>
                  </w:tcPr>
                  <w:p>
                    <w:pPr>
                      <w:widowControl w:val="0"/>
                      <w:jc w:val="center"/>
                      <w:rPr>
                        <w:rFonts w:ascii="Times New Roman" w:hAnsi="Times New Roman" w:cs="Times New Roman"/>
                        <w:szCs w:val="21"/>
                      </w:rPr>
                    </w:pPr>
                    <w:r>
                      <w:rPr>
                        <w:rFonts w:ascii="Times New Roman" w:hAnsi="Times New Roman" w:cs="Times New Roman"/>
                      </w:rPr>
                      <w:t>7</w:t>
                    </w:r>
                  </w:p>
                </w:tc>
                <w:tc>
                  <w:tcPr>
                    <w:tcW w:w="535" w:type="pct"/>
                    <w:vAlign w:val="center"/>
                  </w:tcPr>
                  <w:p>
                    <w:pPr>
                      <w:widowControl w:val="0"/>
                      <w:jc w:val="center"/>
                      <w:rPr>
                        <w:rFonts w:ascii="Times New Roman" w:hAnsi="Times New Roman" w:cs="Times New Roman"/>
                        <w:szCs w:val="21"/>
                      </w:rPr>
                    </w:pPr>
                    <w:r>
                      <w:rPr>
                        <w:rFonts w:ascii="Times New Roman" w:hAnsi="Times New Roman" w:cs="Times New Roman"/>
                      </w:rPr>
                      <w:t>4</w:t>
                    </w:r>
                  </w:p>
                </w:tc>
                <w:tc>
                  <w:tcPr>
                    <w:tcW w:w="500" w:type="pct"/>
                    <w:vAlign w:val="center"/>
                  </w:tcPr>
                  <w:p>
                    <w:pPr>
                      <w:widowControl w:val="0"/>
                      <w:jc w:val="center"/>
                      <w:rPr>
                        <w:rFonts w:ascii="Times New Roman" w:hAnsi="Times New Roman" w:cs="Times New Roman"/>
                        <w:szCs w:val="21"/>
                      </w:rPr>
                    </w:pPr>
                    <w:r>
                      <w:rPr>
                        <w:rFonts w:ascii="Times New Roman" w:hAnsi="Times New Roman" w:cs="Times New Roman"/>
                      </w:rPr>
                      <w:t>0</w:t>
                    </w:r>
                  </w:p>
                </w:tc>
                <w:tc>
                  <w:tcPr>
                    <w:tcW w:w="467" w:type="pct"/>
                    <w:vAlign w:val="center"/>
                  </w:tcPr>
                  <w:p>
                    <w:pPr>
                      <w:widowControl w:val="0"/>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865722774"/>
                    <w:lock w:val="sdtLocked"/>
                    <w:comboBox>
                      <w:listItem w:displayText="是" w:value="true"/>
                      <w:listItem w:displayText="否" w:value="false"/>
                    </w:comboBox>
                  </w:sdtPr>
                  <w:sdtEndPr>
                    <w:rPr>
                      <w:rFonts w:ascii="Times New Roman" w:hAnsi="Times New Roman" w:cs="Times New Roman"/>
                      <w:szCs w:val="21"/>
                    </w:rPr>
                  </w:sdtEndPr>
                  <w:sdtContent>
                    <w:tc>
                      <w:tcPr>
                        <w:tcW w:w="714" w:type="pct"/>
                        <w:vAlign w:val="center"/>
                      </w:tcPr>
                      <w:p>
                        <w:pPr>
                          <w:widowControl w:val="0"/>
                          <w:jc w:val="center"/>
                          <w:rPr>
                            <w:rFonts w:ascii="Times New Roman" w:hAnsi="Times New Roman" w:cs="Times New Roman"/>
                            <w:szCs w:val="21"/>
                          </w:rPr>
                        </w:pPr>
                        <w:r>
                          <w:rPr>
                            <w:rFonts w:ascii="Times New Roman" w:cs="Times New Roman"/>
                            <w:szCs w:val="21"/>
                          </w:rPr>
                          <w:t>否</w:t>
                        </w:r>
                      </w:p>
                    </w:tc>
                  </w:sdtContent>
                </w:sdt>
                <w:tc>
                  <w:tcPr>
                    <w:tcW w:w="697" w:type="pct"/>
                    <w:vAlign w:val="center"/>
                  </w:tcPr>
                  <w:p>
                    <w:pPr>
                      <w:widowControl w:val="0"/>
                      <w:jc w:val="center"/>
                      <w:rPr>
                        <w:rFonts w:ascii="Times New Roman" w:hAnsi="Times New Roman" w:cs="Times New Roman"/>
                        <w:szCs w:val="21"/>
                      </w:rPr>
                    </w:pPr>
                    <w:r>
                      <w:rPr>
                        <w:rFonts w:ascii="Times New Roman" w:hAnsi="Times New Roman" w:cs="Times New Roman"/>
                      </w:rPr>
                      <w:t>2</w:t>
                    </w:r>
                  </w:p>
                </w:tc>
              </w:tr>
            </w:sdtContent>
          </w:sdt>
        </w:tbl>
        <w:p/>
        <w:p>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865722776"/>
            <w:lock w:val="sdtLocked"/>
            <w:placeholder>
              <w:docPart w:val="GBC22222222222222222222222222222"/>
            </w:placeholder>
          </w:sdtPr>
          <w:sdtEndPr>
            <w:rPr>
              <w:szCs w:val="21"/>
            </w:rPr>
          </w:sdtEndPr>
          <w:sdtContent>
            <w:p>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ascii="Times New Roman" w:hAnsi="Times New Roman" w:cs="Times New Roman"/>
          <w:szCs w:val="21"/>
        </w:rPr>
        <w:alias w:val="模块:召开董事会会议次数"/>
        <w:tag w:val="_SEC_2e2eb2c5022048f7a720555ef5553771"/>
        <w:id w:val="865722783"/>
        <w:lock w:val="sdtLocked"/>
        <w:placeholder>
          <w:docPart w:val="GBC22222222222222222222222222222"/>
        </w:placeholder>
      </w:sdtPr>
      <w:sdtEndPr>
        <w:rPr>
          <w:rFonts w:ascii="宋体" w:hAnsi="宋体" w:cs="宋体"/>
          <w:szCs w:val="24"/>
        </w:rPr>
      </w:sdtEndPr>
      <w:sdtConten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Cs w:val="21"/>
                </w:rPr>
                <w:tag w:val="_PLD_0fc68bf164f04edda97a907df4cc747d"/>
                <w:id w:val="865722778"/>
                <w:lock w:val="sdtLocked"/>
              </w:sdtPr>
              <w:sdtEndPr>
                <w:rPr>
                  <w:rFonts w:ascii="Times New Roman" w:hAnsi="Times New Roman" w:cs="Times New Roman"/>
                  <w:szCs w:val="24"/>
                </w:rPr>
              </w:sdtEndPr>
              <w:sdtContent>
                <w:tc>
                  <w:tcPr>
                    <w:tcW w:w="4524" w:type="dxa"/>
                  </w:tcPr>
                  <w:p>
                    <w:pPr>
                      <w:widowControl w:val="0"/>
                      <w:jc w:val="both"/>
                      <w:rPr>
                        <w:rFonts w:ascii="Times New Roman" w:hAnsi="Times New Roman" w:cs="Times New Roman"/>
                        <w:szCs w:val="21"/>
                      </w:rPr>
                    </w:pPr>
                    <w:r>
                      <w:rPr>
                        <w:rFonts w:ascii="Times New Roman" w:cs="Times New Roman"/>
                        <w:szCs w:val="21"/>
                      </w:rPr>
                      <w:t>年内召开董事会会议次数</w:t>
                    </w:r>
                  </w:p>
                </w:tc>
              </w:sdtContent>
            </w:sdt>
            <w:sdt>
              <w:sdtPr>
                <w:rPr>
                  <w:rFonts w:ascii="Times New Roman" w:hAnsi="Times New Roman" w:cs="Times New Roman"/>
                  <w:szCs w:val="21"/>
                </w:rPr>
                <w:alias w:val="报告期内召开董事会会议次数"/>
                <w:tag w:val="_GBC_cabd294ab90e40d0afb59e61df002667"/>
                <w:id w:val="865722779"/>
                <w:lock w:val="sdtLocked"/>
              </w:sdtPr>
              <w:sdtEndPr>
                <w:rPr>
                  <w:rFonts w:ascii="Times New Roman" w:hAnsi="Times New Roman" w:cs="Times New Roman"/>
                  <w:szCs w:val="21"/>
                </w:rPr>
              </w:sdtEndPr>
              <w:sdtContent>
                <w:tc>
                  <w:tcPr>
                    <w:tcW w:w="4525" w:type="dxa"/>
                  </w:tcPr>
                  <w:p>
                    <w:pPr>
                      <w:widowControl w:val="0"/>
                      <w:jc w:val="both"/>
                      <w:rPr>
                        <w:rFonts w:ascii="Times New Roman" w:hAnsi="Times New Roman" w:cs="Times New Roman"/>
                        <w:szCs w:val="21"/>
                      </w:rPr>
                    </w:pPr>
                    <w:r>
                      <w:rPr>
                        <w:rFonts w:ascii="Times New Roman" w:hAnsi="Times New Roman" w:cs="Times New Roman"/>
                        <w:szCs w:val="21"/>
                      </w:rPr>
                      <w:t>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b8c260bccff4db1858924291237c1f5"/>
                <w:id w:val="865722780"/>
                <w:lock w:val="sdtLocked"/>
              </w:sdtPr>
              <w:sdtEndPr>
                <w:rPr>
                  <w:rFonts w:ascii="Times New Roman" w:hAnsi="Times New Roman" w:cs="Times New Roman"/>
                </w:rPr>
              </w:sdtEndPr>
              <w:sdtContent>
                <w:tc>
                  <w:tcPr>
                    <w:tcW w:w="4524" w:type="dxa"/>
                  </w:tcPr>
                  <w:p>
                    <w:pPr>
                      <w:widowControl w:val="0"/>
                      <w:jc w:val="both"/>
                      <w:rPr>
                        <w:rFonts w:ascii="Times New Roman" w:hAnsi="Times New Roman" w:cs="Times New Roman"/>
                        <w:szCs w:val="21"/>
                      </w:rPr>
                    </w:pPr>
                    <w:r>
                      <w:rPr>
                        <w:rFonts w:ascii="Times New Roman" w:cs="Times New Roman"/>
                        <w:szCs w:val="21"/>
                      </w:rPr>
                      <w:t>其中：现场会议次数</w:t>
                    </w:r>
                  </w:p>
                </w:tc>
              </w:sdtContent>
            </w:sdt>
            <w:tc>
              <w:tcPr>
                <w:tcW w:w="4525" w:type="dxa"/>
              </w:tcPr>
              <w:p>
                <w:pPr>
                  <w:widowControl w:val="0"/>
                  <w:jc w:val="both"/>
                  <w:rPr>
                    <w:rFonts w:ascii="Times New Roman" w:hAnsi="Times New Roman" w:cs="Times New Roman"/>
                    <w:szCs w:val="21"/>
                  </w:rPr>
                </w:pPr>
                <w:r>
                  <w:rPr>
                    <w:rFonts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f23f45437624d3eb28d9b3b0c444b8c"/>
                <w:id w:val="865722781"/>
                <w:lock w:val="sdtLocked"/>
              </w:sdtPr>
              <w:sdtEndPr>
                <w:rPr>
                  <w:rFonts w:ascii="Times New Roman" w:hAnsi="Times New Roman" w:cs="Times New Roman"/>
                </w:rPr>
              </w:sdtEndPr>
              <w:sdtContent>
                <w:tc>
                  <w:tcPr>
                    <w:tcW w:w="4524" w:type="dxa"/>
                  </w:tcPr>
                  <w:p>
                    <w:pPr>
                      <w:widowControl w:val="0"/>
                      <w:jc w:val="both"/>
                      <w:rPr>
                        <w:rFonts w:ascii="Times New Roman" w:hAnsi="Times New Roman" w:cs="Times New Roman"/>
                        <w:szCs w:val="21"/>
                      </w:rPr>
                    </w:pPr>
                    <w:r>
                      <w:rPr>
                        <w:rFonts w:ascii="Times New Roman" w:cs="Times New Roman"/>
                        <w:szCs w:val="21"/>
                      </w:rPr>
                      <w:t>通讯方式召开会议次数</w:t>
                    </w:r>
                  </w:p>
                </w:tc>
              </w:sdtContent>
            </w:sdt>
            <w:tc>
              <w:tcPr>
                <w:tcW w:w="4525" w:type="dxa"/>
              </w:tcPr>
              <w:p>
                <w:pPr>
                  <w:widowControl w:val="0"/>
                  <w:jc w:val="both"/>
                  <w:rPr>
                    <w:rFonts w:ascii="Times New Roman" w:hAnsi="Times New Roman" w:cs="Times New Roman"/>
                    <w:szCs w:val="21"/>
                  </w:rPr>
                </w:pPr>
                <w:r>
                  <w:rPr>
                    <w:rFonts w:ascii="Times New Roman" w:hAnsi="Times New Roman"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62bf2274fd043da9e03bf0d73a8e1bd"/>
                <w:id w:val="865722782"/>
                <w:lock w:val="sdtLocked"/>
              </w:sdtPr>
              <w:sdtEndPr>
                <w:rPr>
                  <w:rFonts w:ascii="Times New Roman" w:hAnsi="Times New Roman" w:cs="Times New Roman"/>
                </w:rPr>
              </w:sdtEndPr>
              <w:sdtContent>
                <w:tc>
                  <w:tcPr>
                    <w:tcW w:w="4524" w:type="dxa"/>
                  </w:tcPr>
                  <w:p>
                    <w:pPr>
                      <w:widowControl w:val="0"/>
                      <w:jc w:val="both"/>
                      <w:rPr>
                        <w:rFonts w:ascii="Times New Roman" w:hAnsi="Times New Roman" w:cs="Times New Roman"/>
                        <w:szCs w:val="21"/>
                      </w:rPr>
                    </w:pPr>
                    <w:r>
                      <w:rPr>
                        <w:rFonts w:ascii="Times New Roman" w:cs="Times New Roman"/>
                        <w:szCs w:val="21"/>
                      </w:rPr>
                      <w:t>现场结合通讯方式召开会议次数</w:t>
                    </w:r>
                  </w:p>
                </w:tc>
              </w:sdtContent>
            </w:sdt>
            <w:tc>
              <w:tcPr>
                <w:tcW w:w="4525" w:type="dxa"/>
              </w:tcPr>
              <w:p>
                <w:pPr>
                  <w:widowControl w:val="0"/>
                  <w:jc w:val="both"/>
                  <w:rPr>
                    <w:rFonts w:ascii="Times New Roman" w:hAnsi="Times New Roman" w:cs="Times New Roman"/>
                    <w:szCs w:val="21"/>
                  </w:rPr>
                </w:pPr>
                <w:r>
                  <w:rPr>
                    <w:rFonts w:ascii="Times New Roman" w:hAnsi="Times New Roman" w:cs="Times New Roman"/>
                    <w:szCs w:val="21"/>
                  </w:rPr>
                  <w:t>0</w:t>
                </w:r>
              </w:p>
            </w:tc>
          </w:tr>
        </w:tbl>
        <w:p/>
      </w:sdtContent>
    </w:sdt>
    <w:sdt>
      <w:sdtPr>
        <w:rPr>
          <w:rFonts w:ascii="宋体" w:hAnsi="宋体" w:cs="宋体"/>
          <w:b w:val="0"/>
          <w:bCs w:val="0"/>
          <w:kern w:val="0"/>
          <w:szCs w:val="21"/>
        </w:rPr>
        <w:alias w:val="模块:独立董事对公司有关事项提出异议的情况"/>
        <w:tag w:val="_SEC_b081c22d491d456ea3f9900a0a6757d2"/>
        <w:id w:val="865722785"/>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24"/>
            </w:numPr>
            <w:rPr>
              <w:szCs w:val="21"/>
            </w:rPr>
          </w:pPr>
          <w:r>
            <w:rPr>
              <w:szCs w:val="21"/>
            </w:rPr>
            <w:t>董事对公司有关事项提出异议的情况</w:t>
          </w:r>
        </w:p>
        <w:sdt>
          <w:sdtPr>
            <w:alias w:val="是否适用：独立董事对公司有关事项提出异议的情况[双击切换]"/>
            <w:tag w:val="_GBC_1369df39a53747ff843be7f892cb0cbd"/>
            <w:id w:val="86572278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ascii="宋体" w:hAnsi="宋体" w:cs="宋体"/>
          <w:b w:val="0"/>
          <w:bCs w:val="0"/>
          <w:kern w:val="0"/>
          <w:szCs w:val="21"/>
        </w:rPr>
        <w:alias w:val="模块:其他"/>
        <w:tag w:val="_SEC_bbf6d8e9e0c34286a1bb4f1de8b79fa7"/>
        <w:id w:val="865722787"/>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24"/>
            </w:numPr>
            <w:rPr>
              <w:szCs w:val="21"/>
            </w:rPr>
          </w:pPr>
          <w:r>
            <w:rPr>
              <w:szCs w:val="21"/>
            </w:rPr>
            <w:t>其他</w:t>
          </w:r>
        </w:p>
        <w:sdt>
          <w:sdtPr>
            <w:rPr>
              <w:rFonts w:hint="eastAsia"/>
              <w:szCs w:val="21"/>
            </w:rPr>
            <w:alias w:val="是否适用：其他董事履行职责情况说明[双击切换]"/>
            <w:tag w:val="_GBC_ba1a70dda14046559f72c5b524ca1125"/>
            <w:id w:val="86572278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pStyle w:val="3"/>
        <w:numPr>
          <w:ilvl w:val="0"/>
          <w:numId w:val="21"/>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865722788"/>
        <w:lock w:val="sdtConten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宋体" w:hAnsi="宋体" w:cs="宋体"/>
          <w:b/>
          <w:bCs/>
          <w:kern w:val="0"/>
          <w:szCs w:val="24"/>
        </w:rPr>
        <w:alias w:val="模块:董事会下设专门委员会成员情况专门委员会类别成员姓名 审计..."/>
        <w:tag w:val="_SEC_63280ca6bc7d4a03bf45626bc1c8022c"/>
        <w:id w:val="865722795"/>
        <w:lock w:val="sdtLocked"/>
        <w:placeholder>
          <w:docPart w:val="GBC22222222222222222222222222222"/>
        </w:placeholder>
      </w:sdtPr>
      <w:sdtEndPr>
        <w:rPr>
          <w:rFonts w:hint="eastAsia" w:ascii="宋体" w:hAnsi="宋体" w:cs="宋体"/>
          <w:b w:val="0"/>
          <w:bCs w:val="0"/>
          <w:kern w:val="0"/>
          <w:szCs w:val="21"/>
        </w:rPr>
      </w:sdtEndPr>
      <w:sdtContent>
        <w:p>
          <w:pPr>
            <w:pStyle w:val="55"/>
            <w:numPr>
              <w:ilvl w:val="0"/>
              <w:numId w:val="25"/>
            </w:numPr>
            <w:ind w:firstLineChars="0"/>
            <w:rPr>
              <w:b/>
              <w:bCs/>
            </w:rPr>
          </w:pPr>
          <w:r>
            <w:rPr>
              <w:rFonts w:hint="eastAsia"/>
              <w:b/>
              <w:bCs/>
            </w:rPr>
            <w:t>董事会下设专门委员会成员情况</w:t>
          </w:r>
        </w:p>
        <w:tbl>
          <w:tblPr>
            <w:tblStyle w:val="107"/>
            <w:tblW w:w="9051" w:type="dxa"/>
            <w:jc w:val="center"/>
            <w:tblLayout w:type="autofit"/>
            <w:tblCellMar>
              <w:top w:w="0" w:type="dxa"/>
              <w:left w:w="108" w:type="dxa"/>
              <w:bottom w:w="0" w:type="dxa"/>
              <w:right w:w="108" w:type="dxa"/>
            </w:tblCellMar>
          </w:tblPr>
          <w:tblGrid>
            <w:gridCol w:w="2586"/>
            <w:gridCol w:w="6465"/>
          </w:tblGrid>
          <w:tr>
            <w:tblPrEx>
              <w:tblCellMar>
                <w:top w:w="0" w:type="dxa"/>
                <w:left w:w="108" w:type="dxa"/>
                <w:bottom w:w="0" w:type="dxa"/>
                <w:right w:w="108" w:type="dxa"/>
              </w:tblCellMar>
            </w:tblPrEx>
            <w:trPr>
              <w:trHeight w:val="270" w:hRule="atLeast"/>
              <w:jc w:val="center"/>
            </w:trPr>
            <w:sdt>
              <w:sdtPr>
                <w:rPr>
                  <w:rFonts w:hint="eastAsia"/>
                  <w:color w:val="000000"/>
                  <w:szCs w:val="21"/>
                </w:rPr>
                <w:tag w:val="_PLD_d469fc77cfdc44b0b043e0b1ab52e604"/>
                <w:id w:val="865722789"/>
                <w:lock w:val="sdtLocked"/>
              </w:sdtPr>
              <w:sdtEndPr>
                <w:rPr>
                  <w:rFonts w:hint="eastAsia"/>
                  <w:color w:val="000000"/>
                  <w:szCs w:val="21"/>
                </w:rPr>
              </w:sdtEndPr>
              <w:sdtContent>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color w:val="000000"/>
                        <w:szCs w:val="21"/>
                      </w:rPr>
                    </w:pPr>
                    <w:r>
                      <w:rPr>
                        <w:rFonts w:hint="eastAsia"/>
                        <w:color w:val="000000"/>
                        <w:szCs w:val="21"/>
                      </w:rPr>
                      <w:t>专门委员会类别</w:t>
                    </w:r>
                  </w:p>
                </w:tc>
              </w:sdtContent>
            </w:sdt>
            <w:sdt>
              <w:sdtPr>
                <w:rPr>
                  <w:rFonts w:hint="eastAsia"/>
                  <w:color w:val="000000"/>
                  <w:szCs w:val="21"/>
                </w:rPr>
                <w:tag w:val="_PLD_32d037161ea94d0eb907c4e766b75044"/>
                <w:id w:val="865722790"/>
                <w:lock w:val="sdtLocked"/>
              </w:sdtPr>
              <w:sdtEndPr>
                <w:rPr>
                  <w:rFonts w:hint="eastAsia"/>
                  <w:color w:val="000000"/>
                  <w:szCs w:val="21"/>
                </w:rPr>
              </w:sdtEndPr>
              <w:sdtContent>
                <w:tc>
                  <w:tcPr>
                    <w:tcW w:w="6465" w:type="dxa"/>
                    <w:tcBorders>
                      <w:top w:val="single" w:color="auto" w:sz="4" w:space="0"/>
                      <w:left w:val="nil"/>
                      <w:bottom w:val="single" w:color="auto" w:sz="4" w:space="0"/>
                      <w:right w:val="single" w:color="auto" w:sz="4" w:space="0"/>
                    </w:tcBorders>
                    <w:shd w:val="clear" w:color="auto" w:fill="auto"/>
                    <w:noWrap/>
                    <w:vAlign w:val="center"/>
                  </w:tcPr>
                  <w:p>
                    <w:pPr>
                      <w:jc w:val="center"/>
                      <w:rPr>
                        <w:color w:val="000000"/>
                        <w:szCs w:val="21"/>
                      </w:rPr>
                    </w:pPr>
                    <w:r>
                      <w:rPr>
                        <w:rFonts w:hint="eastAsia"/>
                        <w:color w:val="000000"/>
                        <w:szCs w:val="21"/>
                      </w:rPr>
                      <w:t>成员姓名</w:t>
                    </w:r>
                  </w:p>
                </w:tc>
              </w:sdtContent>
            </w:sdt>
          </w:tr>
          <w:tr>
            <w:tblPrEx>
              <w:tblCellMar>
                <w:top w:w="0" w:type="dxa"/>
                <w:left w:w="108" w:type="dxa"/>
                <w:bottom w:w="0" w:type="dxa"/>
                <w:right w:w="108" w:type="dxa"/>
              </w:tblCellMar>
            </w:tblPrEx>
            <w:trPr>
              <w:trHeight w:val="270" w:hRule="atLeast"/>
              <w:jc w:val="center"/>
            </w:trPr>
            <w:sdt>
              <w:sdtPr>
                <w:rPr>
                  <w:rFonts w:hint="eastAsia"/>
                  <w:color w:val="000000"/>
                  <w:szCs w:val="21"/>
                </w:rPr>
                <w:tag w:val="_PLD_4f651a236a71471681339e395abe2d3e"/>
                <w:id w:val="865722791"/>
                <w:lock w:val="sdtLocked"/>
              </w:sdtPr>
              <w:sdtEndPr>
                <w:rPr>
                  <w:rFonts w:hint="eastAsia"/>
                  <w:color w:val="000000"/>
                  <w:szCs w:val="21"/>
                </w:rPr>
              </w:sdtEndPr>
              <w:sdtContent>
                <w:tc>
                  <w:tcPr>
                    <w:tcW w:w="2586" w:type="dxa"/>
                    <w:tcBorders>
                      <w:top w:val="nil"/>
                      <w:left w:val="single" w:color="auto" w:sz="4" w:space="0"/>
                      <w:bottom w:val="single" w:color="auto" w:sz="4" w:space="0"/>
                      <w:right w:val="single" w:color="auto" w:sz="4" w:space="0"/>
                    </w:tcBorders>
                    <w:shd w:val="clear" w:color="auto" w:fill="auto"/>
                    <w:noWrap/>
                    <w:vAlign w:val="center"/>
                  </w:tcPr>
                  <w:p>
                    <w:pPr>
                      <w:rPr>
                        <w:color w:val="000000"/>
                        <w:szCs w:val="21"/>
                      </w:rPr>
                    </w:pPr>
                    <w:r>
                      <w:rPr>
                        <w:rFonts w:hint="eastAsia"/>
                        <w:color w:val="000000"/>
                        <w:szCs w:val="21"/>
                      </w:rPr>
                      <w:t>审计委员会</w:t>
                    </w:r>
                  </w:p>
                </w:tc>
              </w:sdtContent>
            </w:sdt>
            <w:tc>
              <w:tcPr>
                <w:tcW w:w="6465" w:type="dxa"/>
                <w:tcBorders>
                  <w:top w:val="nil"/>
                  <w:left w:val="nil"/>
                  <w:bottom w:val="single" w:color="auto" w:sz="4" w:space="0"/>
                  <w:right w:val="single" w:color="auto" w:sz="4" w:space="0"/>
                </w:tcBorders>
                <w:shd w:val="clear" w:color="auto" w:fill="auto"/>
                <w:noWrap/>
                <w:vAlign w:val="center"/>
              </w:tcPr>
              <w:p>
                <w:pPr>
                  <w:rPr>
                    <w:szCs w:val="21"/>
                  </w:rPr>
                </w:pPr>
                <w:r>
                  <w:rPr>
                    <w:rFonts w:hint="eastAsia"/>
                    <w:szCs w:val="21"/>
                  </w:rPr>
                  <w:t>余兵、王为民、魏佳</w:t>
                </w:r>
              </w:p>
            </w:tc>
          </w:tr>
          <w:tr>
            <w:trPr>
              <w:trHeight w:val="270" w:hRule="atLeast"/>
              <w:jc w:val="center"/>
            </w:trPr>
            <w:sdt>
              <w:sdtPr>
                <w:rPr>
                  <w:rFonts w:hint="eastAsia"/>
                  <w:color w:val="000000"/>
                  <w:szCs w:val="21"/>
                </w:rPr>
                <w:tag w:val="_PLD_d58b9a2a2437447ba19ee3dd26c72f97"/>
                <w:id w:val="865722792"/>
                <w:lock w:val="sdtLocked"/>
              </w:sdtPr>
              <w:sdtEndPr>
                <w:rPr>
                  <w:rFonts w:hint="eastAsia"/>
                  <w:color w:val="000000"/>
                  <w:szCs w:val="21"/>
                </w:rPr>
              </w:sdtEndPr>
              <w:sdtContent>
                <w:tc>
                  <w:tcPr>
                    <w:tcW w:w="2586" w:type="dxa"/>
                    <w:tcBorders>
                      <w:top w:val="nil"/>
                      <w:left w:val="single" w:color="auto" w:sz="4" w:space="0"/>
                      <w:bottom w:val="single" w:color="auto" w:sz="4" w:space="0"/>
                      <w:right w:val="single" w:color="auto" w:sz="4" w:space="0"/>
                    </w:tcBorders>
                    <w:shd w:val="clear" w:color="auto" w:fill="auto"/>
                    <w:noWrap/>
                    <w:vAlign w:val="center"/>
                  </w:tcPr>
                  <w:p>
                    <w:pPr>
                      <w:rPr>
                        <w:color w:val="000000"/>
                        <w:szCs w:val="21"/>
                      </w:rPr>
                    </w:pPr>
                    <w:r>
                      <w:rPr>
                        <w:rFonts w:hint="eastAsia"/>
                        <w:color w:val="000000"/>
                        <w:szCs w:val="21"/>
                      </w:rPr>
                      <w:t>提名委员会</w:t>
                    </w:r>
                  </w:p>
                </w:tc>
              </w:sdtContent>
            </w:sdt>
            <w:tc>
              <w:tcPr>
                <w:tcW w:w="6465" w:type="dxa"/>
                <w:tcBorders>
                  <w:top w:val="nil"/>
                  <w:left w:val="nil"/>
                  <w:bottom w:val="single" w:color="auto" w:sz="4" w:space="0"/>
                  <w:right w:val="single" w:color="auto" w:sz="4" w:space="0"/>
                </w:tcBorders>
                <w:shd w:val="clear" w:color="auto" w:fill="auto"/>
                <w:noWrap/>
                <w:vAlign w:val="center"/>
              </w:tcPr>
              <w:p>
                <w:pPr>
                  <w:rPr>
                    <w:szCs w:val="21"/>
                  </w:rPr>
                </w:pPr>
                <w:r>
                  <w:rPr>
                    <w:rFonts w:hint="eastAsia"/>
                    <w:szCs w:val="21"/>
                  </w:rPr>
                  <w:t>张重义、林钻煌、魏佳</w:t>
                </w:r>
              </w:p>
            </w:tc>
          </w:tr>
          <w:tr>
            <w:tblPrEx>
              <w:tblCellMar>
                <w:top w:w="0" w:type="dxa"/>
                <w:left w:w="108" w:type="dxa"/>
                <w:bottom w:w="0" w:type="dxa"/>
                <w:right w:w="108" w:type="dxa"/>
              </w:tblCellMar>
            </w:tblPrEx>
            <w:trPr>
              <w:trHeight w:val="270" w:hRule="atLeast"/>
              <w:jc w:val="center"/>
            </w:trPr>
            <w:sdt>
              <w:sdtPr>
                <w:rPr>
                  <w:rFonts w:hint="eastAsia"/>
                  <w:color w:val="000000"/>
                  <w:szCs w:val="21"/>
                </w:rPr>
                <w:tag w:val="_PLD_19c89dae0d414340a6a6a86aa2beba6d"/>
                <w:id w:val="865722793"/>
                <w:lock w:val="sdtLocked"/>
              </w:sdtPr>
              <w:sdtEndPr>
                <w:rPr>
                  <w:rFonts w:hint="eastAsia"/>
                  <w:color w:val="000000"/>
                  <w:szCs w:val="21"/>
                </w:rPr>
              </w:sdtEndPr>
              <w:sdtContent>
                <w:tc>
                  <w:tcPr>
                    <w:tcW w:w="2586" w:type="dxa"/>
                    <w:tcBorders>
                      <w:top w:val="nil"/>
                      <w:left w:val="single" w:color="auto" w:sz="4" w:space="0"/>
                      <w:bottom w:val="single" w:color="auto" w:sz="4" w:space="0"/>
                      <w:right w:val="single" w:color="auto" w:sz="4" w:space="0"/>
                    </w:tcBorders>
                    <w:shd w:val="clear" w:color="auto" w:fill="auto"/>
                    <w:noWrap/>
                    <w:vAlign w:val="center"/>
                  </w:tcPr>
                  <w:p>
                    <w:pPr>
                      <w:rPr>
                        <w:color w:val="000000"/>
                        <w:szCs w:val="21"/>
                      </w:rPr>
                    </w:pPr>
                    <w:r>
                      <w:rPr>
                        <w:rFonts w:hint="eastAsia"/>
                        <w:color w:val="000000"/>
                        <w:szCs w:val="21"/>
                      </w:rPr>
                      <w:t>薪酬与考核委员会</w:t>
                    </w:r>
                  </w:p>
                </w:tc>
              </w:sdtContent>
            </w:sdt>
            <w:tc>
              <w:tcPr>
                <w:tcW w:w="6465" w:type="dxa"/>
                <w:tcBorders>
                  <w:top w:val="nil"/>
                  <w:left w:val="nil"/>
                  <w:bottom w:val="single" w:color="auto" w:sz="4" w:space="0"/>
                  <w:right w:val="single" w:color="auto" w:sz="4" w:space="0"/>
                </w:tcBorders>
                <w:shd w:val="clear" w:color="auto" w:fill="auto"/>
                <w:noWrap/>
                <w:vAlign w:val="center"/>
              </w:tcPr>
              <w:p>
                <w:pPr>
                  <w:rPr>
                    <w:szCs w:val="21"/>
                  </w:rPr>
                </w:pPr>
                <w:r>
                  <w:rPr>
                    <w:rFonts w:hint="eastAsia"/>
                    <w:szCs w:val="21"/>
                  </w:rPr>
                  <w:t>魏佳、吴堃、张重义</w:t>
                </w:r>
              </w:p>
            </w:tc>
          </w:tr>
          <w:tr>
            <w:trPr>
              <w:trHeight w:val="270" w:hRule="atLeast"/>
              <w:jc w:val="center"/>
            </w:trPr>
            <w:sdt>
              <w:sdtPr>
                <w:rPr>
                  <w:rFonts w:hint="eastAsia"/>
                  <w:color w:val="000000"/>
                  <w:szCs w:val="21"/>
                </w:rPr>
                <w:tag w:val="_PLD_12c5e418d6c54148af62a22bed7a134c"/>
                <w:id w:val="865722794"/>
                <w:lock w:val="sdtLocked"/>
              </w:sdtPr>
              <w:sdtEndPr>
                <w:rPr>
                  <w:rFonts w:hint="eastAsia"/>
                  <w:color w:val="000000"/>
                  <w:szCs w:val="21"/>
                </w:rPr>
              </w:sdtEndPr>
              <w:sdtContent>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Cs w:val="21"/>
                      </w:rPr>
                    </w:pPr>
                    <w:r>
                      <w:rPr>
                        <w:rFonts w:hint="eastAsia"/>
                        <w:color w:val="000000"/>
                        <w:szCs w:val="21"/>
                      </w:rPr>
                      <w:t>战略委员会</w:t>
                    </w:r>
                  </w:p>
                </w:tc>
              </w:sdtContent>
            </w:sdt>
            <w:tc>
              <w:tcPr>
                <w:tcW w:w="6465" w:type="dxa"/>
                <w:tcBorders>
                  <w:top w:val="single" w:color="auto" w:sz="4" w:space="0"/>
                  <w:left w:val="nil"/>
                  <w:bottom w:val="single" w:color="auto" w:sz="4" w:space="0"/>
                  <w:right w:val="single" w:color="auto" w:sz="4" w:space="0"/>
                </w:tcBorders>
                <w:shd w:val="clear" w:color="auto" w:fill="auto"/>
                <w:noWrap/>
                <w:vAlign w:val="center"/>
              </w:tcPr>
              <w:p>
                <w:pPr>
                  <w:rPr>
                    <w:szCs w:val="21"/>
                  </w:rPr>
                </w:pPr>
                <w:r>
                  <w:rPr>
                    <w:rFonts w:hint="eastAsia"/>
                    <w:szCs w:val="21"/>
                  </w:rPr>
                  <w:t>林钻煌、吴堃、王为民、龚慧泉、张重义</w:t>
                </w:r>
              </w:p>
            </w:tc>
          </w:tr>
        </w:tbl>
        <w:p>
          <w:pPr>
            <w:rPr>
              <w:szCs w:val="21"/>
            </w:rPr>
          </w:pPr>
        </w:p>
      </w:sdtContent>
    </w:sdt>
    <w:sdt>
      <w:sdtPr>
        <w:rPr>
          <w:rFonts w:hint="eastAsia" w:ascii="宋体" w:hAnsi="宋体" w:cs="宋体"/>
          <w:b/>
          <w:bCs/>
          <w:color w:val="FF0000"/>
          <w:kern w:val="0"/>
          <w:szCs w:val="24"/>
        </w:rPr>
        <w:alias w:val="模块:报告期内召开__次会议召开日期会议内容重要意见和建议其他履..."/>
        <w:tag w:val="_SEC_1e3a9c0a15ba40d1bda51574352f1bf7"/>
        <w:id w:val="865722806"/>
        <w:lock w:val="sdtLocked"/>
        <w:placeholder>
          <w:docPart w:val="GBC22222222222222222222222222222"/>
        </w:placeholder>
      </w:sdtPr>
      <w:sdtEndPr>
        <w:rPr>
          <w:rFonts w:hint="eastAsia" w:ascii="宋体" w:hAnsi="宋体" w:cs="宋体"/>
          <w:b w:val="0"/>
          <w:bCs w:val="0"/>
          <w:color w:val="auto"/>
          <w:kern w:val="0"/>
          <w:szCs w:val="24"/>
        </w:rPr>
      </w:sdtEndPr>
      <w:sdtContent>
        <w:p>
          <w:pPr>
            <w:pStyle w:val="55"/>
            <w:numPr>
              <w:ilvl w:val="0"/>
              <w:numId w:val="25"/>
            </w:numPr>
            <w:ind w:firstLineChars="0"/>
            <w:rPr>
              <w:b/>
              <w:bCs/>
            </w:rPr>
          </w:pPr>
          <w:r>
            <w:rPr>
              <w:rFonts w:hint="eastAsia"/>
              <w:b/>
              <w:bCs/>
            </w:rPr>
            <w:t>报告期内</w:t>
          </w:r>
          <w:sdt>
            <w:sdtPr>
              <w:rPr>
                <w:rFonts w:hint="eastAsia"/>
                <w:b/>
                <w:bCs/>
              </w:rPr>
              <w:alias w:val="召开会议的专门委员会类别"/>
              <w:tag w:val="_GBC_adf76ecbe3584f07b573642215a867bd"/>
              <w:id w:val="865722796"/>
              <w:lock w:val="sdtLocked"/>
            </w:sdtPr>
            <w:sdtEndPr>
              <w:rPr>
                <w:rFonts w:hint="eastAsia"/>
                <w:b/>
                <w:bCs/>
              </w:rPr>
            </w:sdtEndPr>
            <w:sdtContent>
              <w:r>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865722797"/>
              <w:lock w:val="sdtLocked"/>
            </w:sdtPr>
            <w:sdtEndPr>
              <w:rPr>
                <w:rFonts w:hint="eastAsia"/>
                <w:b/>
                <w:bCs/>
              </w:rPr>
            </w:sdtEndPr>
            <w:sdtContent>
              <w:r>
                <w:rPr>
                  <w:rFonts w:hint="eastAsia"/>
                  <w:b/>
                  <w:bCs/>
                </w:rPr>
                <w:t>4</w:t>
              </w:r>
            </w:sdtContent>
          </w:sdt>
          <w:r>
            <w:rPr>
              <w:rFonts w:hint="eastAsia"/>
              <w:b/>
              <w:bCs/>
            </w:rPr>
            <w:t>次会议</w:t>
          </w:r>
        </w:p>
        <w:tbl>
          <w:tblPr>
            <w:tblStyle w:val="10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2552"/>
            <w:gridCol w:w="3828"/>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Cs w:val="21"/>
                </w:rPr>
                <w:tag w:val="_PLD_81aefc289fbf48b1865138608d8bd14f"/>
                <w:id w:val="865722798"/>
                <w:lock w:val="sdtLocked"/>
              </w:sdtPr>
              <w:sdtEndPr>
                <w:rPr>
                  <w:rFonts w:ascii="Times New Roman" w:hAnsi="Times New Roman" w:cs="Times New Roman"/>
                  <w:szCs w:val="21"/>
                </w:rPr>
              </w:sdtEndPr>
              <w:sdtContent>
                <w:tc>
                  <w:tcPr>
                    <w:tcW w:w="766" w:type="pct"/>
                    <w:shd w:val="clear" w:color="auto" w:fill="auto"/>
                    <w:vAlign w:val="center"/>
                  </w:tcPr>
                  <w:p>
                    <w:pPr>
                      <w:widowControl w:val="0"/>
                      <w:jc w:val="center"/>
                      <w:rPr>
                        <w:rFonts w:ascii="Times New Roman" w:hAnsi="Times New Roman" w:cs="Times New Roman"/>
                        <w:szCs w:val="21"/>
                      </w:rPr>
                    </w:pPr>
                    <w:r>
                      <w:rPr>
                        <w:rFonts w:ascii="Times New Roman" w:cs="Times New Roman"/>
                        <w:szCs w:val="21"/>
                      </w:rPr>
                      <w:t>召开日期</w:t>
                    </w:r>
                  </w:p>
                </w:tc>
              </w:sdtContent>
            </w:sdt>
            <w:sdt>
              <w:sdtPr>
                <w:rPr>
                  <w:rFonts w:ascii="Times New Roman" w:hAnsi="Times New Roman" w:cs="Times New Roman"/>
                  <w:szCs w:val="21"/>
                </w:rPr>
                <w:tag w:val="_PLD_9d24b601ec70414eb969daf6b393edc8"/>
                <w:id w:val="865722799"/>
                <w:lock w:val="sdtLocked"/>
              </w:sdtPr>
              <w:sdtEndPr>
                <w:rPr>
                  <w:rFonts w:ascii="Times New Roman" w:hAnsi="Times New Roman" w:cs="Times New Roman"/>
                  <w:szCs w:val="21"/>
                </w:rPr>
              </w:sdtEndPr>
              <w:sdtContent>
                <w:tc>
                  <w:tcPr>
                    <w:tcW w:w="1412" w:type="pct"/>
                    <w:shd w:val="clear" w:color="auto" w:fill="auto"/>
                    <w:vAlign w:val="center"/>
                  </w:tcPr>
                  <w:p>
                    <w:pPr>
                      <w:widowControl w:val="0"/>
                      <w:jc w:val="center"/>
                      <w:rPr>
                        <w:rFonts w:ascii="Times New Roman" w:hAnsi="Times New Roman" w:cs="Times New Roman"/>
                        <w:szCs w:val="21"/>
                      </w:rPr>
                    </w:pPr>
                    <w:r>
                      <w:rPr>
                        <w:rFonts w:ascii="Times New Roman" w:cs="Times New Roman"/>
                        <w:szCs w:val="21"/>
                      </w:rPr>
                      <w:t>会议内容</w:t>
                    </w:r>
                  </w:p>
                </w:tc>
              </w:sdtContent>
            </w:sdt>
            <w:sdt>
              <w:sdtPr>
                <w:rPr>
                  <w:rFonts w:ascii="Times New Roman" w:hAnsi="Times New Roman" w:cs="Times New Roman"/>
                  <w:szCs w:val="21"/>
                </w:rPr>
                <w:tag w:val="_PLD_6ea19dadc3684e98a6d98faaf035a9d9"/>
                <w:id w:val="865722800"/>
                <w:lock w:val="sdtLocked"/>
              </w:sdtPr>
              <w:sdtEndPr>
                <w:rPr>
                  <w:rFonts w:ascii="Times New Roman" w:hAnsi="Times New Roman" w:cs="Times New Roman"/>
                  <w:szCs w:val="21"/>
                </w:rPr>
              </w:sdtEndPr>
              <w:sdtContent>
                <w:tc>
                  <w:tcPr>
                    <w:tcW w:w="2118" w:type="pct"/>
                    <w:shd w:val="clear" w:color="auto" w:fill="auto"/>
                    <w:vAlign w:val="center"/>
                  </w:tcPr>
                  <w:p>
                    <w:pPr>
                      <w:widowControl w:val="0"/>
                      <w:jc w:val="center"/>
                      <w:rPr>
                        <w:rFonts w:ascii="Times New Roman" w:hAnsi="Times New Roman" w:cs="Times New Roman"/>
                        <w:szCs w:val="21"/>
                      </w:rPr>
                    </w:pPr>
                    <w:r>
                      <w:rPr>
                        <w:rFonts w:ascii="Times New Roman" w:cs="Times New Roman"/>
                        <w:szCs w:val="21"/>
                      </w:rPr>
                      <w:t>重要意见和建议</w:t>
                    </w:r>
                  </w:p>
                </w:tc>
              </w:sdtContent>
            </w:sdt>
            <w:sdt>
              <w:sdtPr>
                <w:rPr>
                  <w:rFonts w:ascii="Times New Roman" w:hAnsi="Times New Roman" w:cs="Times New Roman"/>
                  <w:szCs w:val="21"/>
                </w:rPr>
                <w:tag w:val="_PLD_ef03d3ffb00740008011022cb6a96805"/>
                <w:id w:val="865722801"/>
                <w:lock w:val="sdtLocked"/>
              </w:sdtPr>
              <w:sdtEndPr>
                <w:rPr>
                  <w:rFonts w:ascii="Times New Roman" w:hAnsi="Times New Roman" w:cs="Times New Roman"/>
                  <w:szCs w:val="21"/>
                </w:rPr>
              </w:sdtEndPr>
              <w:sdtContent>
                <w:tc>
                  <w:tcPr>
                    <w:tcW w:w="704" w:type="pct"/>
                    <w:shd w:val="clear" w:color="auto" w:fill="auto"/>
                    <w:vAlign w:val="center"/>
                  </w:tcPr>
                  <w:p>
                    <w:pPr>
                      <w:widowControl w:val="0"/>
                      <w:jc w:val="center"/>
                      <w:rPr>
                        <w:rFonts w:ascii="Times New Roman" w:hAnsi="Times New Roman" w:cs="Times New Roman"/>
                        <w:szCs w:val="21"/>
                      </w:rPr>
                    </w:pPr>
                    <w:r>
                      <w:rPr>
                        <w:rFonts w:ascii="Times New Roman" w:cs="Times New Roman"/>
                        <w:szCs w:val="21"/>
                      </w:rPr>
                      <w:t>其他履行职责情况</w:t>
                    </w:r>
                  </w:p>
                </w:tc>
              </w:sdtContent>
            </w:sdt>
          </w:tr>
          <w:sdt>
            <w:sdtPr>
              <w:rPr>
                <w:rFonts w:ascii="Times New Roman" w:hAnsi="Times New Roman" w:cs="Times New Roman"/>
                <w:szCs w:val="21"/>
              </w:rPr>
              <w:alias w:val="董事会下设专门委员会情况明细"/>
              <w:tag w:val="_TUP_ba8ed794bebb4cad9c2e7f1db76b0a19"/>
              <w:id w:val="86572280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shd w:val="clear" w:color="auto" w:fill="auto"/>
                    <w:vAlign w:val="center"/>
                  </w:tcPr>
                  <w:p>
                    <w:pPr>
                      <w:widowControl w:val="0"/>
                      <w:jc w:val="both"/>
                      <w:rPr>
                        <w:rFonts w:ascii="Times New Roman" w:hAnsi="Times New Roman" w:cs="Times New Roman"/>
                        <w:szCs w:val="21"/>
                      </w:rPr>
                    </w:pPr>
                    <w:r>
                      <w:rPr>
                        <w:rStyle w:val="70"/>
                        <w:rFonts w:ascii="Times New Roman" w:hAnsi="Times New Roman" w:cs="Times New Roman"/>
                      </w:rPr>
                      <w:t>2021</w:t>
                    </w:r>
                    <w:r>
                      <w:rPr>
                        <w:rStyle w:val="70"/>
                        <w:rFonts w:ascii="Times New Roman" w:cs="Times New Roman"/>
                      </w:rPr>
                      <w:t>年</w:t>
                    </w:r>
                    <w:r>
                      <w:rPr>
                        <w:rStyle w:val="70"/>
                        <w:rFonts w:ascii="Times New Roman" w:hAnsi="Times New Roman" w:cs="Times New Roman"/>
                      </w:rPr>
                      <w:t>01</w:t>
                    </w:r>
                    <w:r>
                      <w:rPr>
                        <w:rStyle w:val="70"/>
                        <w:rFonts w:ascii="Times New Roman" w:cs="Times New Roman"/>
                      </w:rPr>
                      <w:t>月</w:t>
                    </w:r>
                    <w:r>
                      <w:rPr>
                        <w:rStyle w:val="70"/>
                        <w:rFonts w:ascii="Times New Roman" w:hAnsi="Times New Roman" w:cs="Times New Roman"/>
                      </w:rPr>
                      <w:t>28</w:t>
                    </w:r>
                    <w:r>
                      <w:rPr>
                        <w:rStyle w:val="70"/>
                        <w:rFonts w:ascii="Times New Roman" w:cs="Times New Roman"/>
                      </w:rPr>
                      <w:t>日</w:t>
                    </w:r>
                  </w:p>
                </w:tc>
                <w:tc>
                  <w:tcPr>
                    <w:tcW w:w="1412" w:type="pct"/>
                    <w:shd w:val="clear" w:color="auto" w:fill="auto"/>
                    <w:vAlign w:val="center"/>
                  </w:tcPr>
                  <w:p>
                    <w:pPr>
                      <w:widowControl w:val="0"/>
                      <w:jc w:val="both"/>
                      <w:rPr>
                        <w:rFonts w:ascii="Times New Roman" w:hAnsi="Times New Roman" w:cs="Times New Roman"/>
                        <w:szCs w:val="21"/>
                      </w:rPr>
                    </w:pPr>
                    <w:r>
                      <w:rPr>
                        <w:rStyle w:val="70"/>
                        <w:rFonts w:ascii="Times New Roman" w:cs="Times New Roman"/>
                      </w:rPr>
                      <w:t>讨论</w:t>
                    </w:r>
                    <w:r>
                      <w:rPr>
                        <w:rStyle w:val="70"/>
                        <w:rFonts w:ascii="Times New Roman" w:hAnsi="Times New Roman" w:cs="Times New Roman"/>
                      </w:rPr>
                      <w:t>2021</w:t>
                    </w:r>
                    <w:r>
                      <w:rPr>
                        <w:rStyle w:val="70"/>
                        <w:rFonts w:ascii="Times New Roman" w:cs="Times New Roman"/>
                      </w:rPr>
                      <w:t>年度业绩预告的有关事项及</w:t>
                    </w:r>
                    <w:r>
                      <w:rPr>
                        <w:rStyle w:val="70"/>
                        <w:rFonts w:ascii="Times New Roman" w:hAnsi="Times New Roman" w:cs="Times New Roman"/>
                      </w:rPr>
                      <w:t>2020</w:t>
                    </w:r>
                    <w:r>
                      <w:rPr>
                        <w:rStyle w:val="70"/>
                        <w:rFonts w:ascii="Times New Roman" w:cs="Times New Roman"/>
                      </w:rPr>
                      <w:t>年年报审计的有关情况</w:t>
                    </w:r>
                  </w:p>
                </w:tc>
                <w:tc>
                  <w:tcPr>
                    <w:tcW w:w="2118" w:type="pct"/>
                    <w:shd w:val="clear" w:color="auto" w:fill="auto"/>
                    <w:vAlign w:val="center"/>
                  </w:tcPr>
                  <w:p>
                    <w:pPr>
                      <w:widowControl w:val="0"/>
                      <w:jc w:val="both"/>
                      <w:rPr>
                        <w:rFonts w:ascii="Times New Roman" w:hAnsi="Times New Roman" w:cs="Times New Roman"/>
                        <w:szCs w:val="21"/>
                      </w:rPr>
                    </w:pPr>
                    <w:r>
                      <w:rPr>
                        <w:rStyle w:val="70"/>
                        <w:rFonts w:ascii="Times New Roman" w:cs="Times New Roman"/>
                      </w:rPr>
                      <w:t>确认了业绩预告的披露口径。督促各方及时解决工作遇到的问题。</w:t>
                    </w:r>
                  </w:p>
                </w:tc>
                <w:tc>
                  <w:tcPr>
                    <w:tcW w:w="704" w:type="pct"/>
                    <w:shd w:val="clear" w:color="auto" w:fill="auto"/>
                  </w:tcPr>
                  <w:p>
                    <w:pPr>
                      <w:widowControl w:val="0"/>
                      <w:jc w:val="both"/>
                      <w:rPr>
                        <w:rFonts w:ascii="Times New Roman" w:hAnsi="Times New Roman" w:cs="Times New Roman"/>
                        <w:szCs w:val="21"/>
                      </w:rPr>
                    </w:pPr>
                    <w:r>
                      <w:rPr>
                        <w:rStyle w:val="70"/>
                        <w:rFonts w:ascii="Times New Roman" w:hAnsi="Times New Roman" w:cs="Times New Roman"/>
                      </w:rPr>
                      <w:t>-</w:t>
                    </w:r>
                  </w:p>
                </w:tc>
              </w:tr>
            </w:sdtContent>
          </w:sdt>
          <w:sdt>
            <w:sdtPr>
              <w:rPr>
                <w:rFonts w:ascii="Times New Roman" w:hAnsi="Times New Roman" w:cs="Times New Roman"/>
                <w:szCs w:val="21"/>
              </w:rPr>
              <w:alias w:val="董事会下设专门委员会情况明细"/>
              <w:tag w:val="_TUP_ba8ed794bebb4cad9c2e7f1db76b0a19"/>
              <w:id w:val="86572280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shd w:val="clear" w:color="auto" w:fill="auto"/>
                    <w:vAlign w:val="center"/>
                  </w:tcPr>
                  <w:p>
                    <w:pPr>
                      <w:widowControl w:val="0"/>
                      <w:jc w:val="both"/>
                      <w:rPr>
                        <w:rFonts w:ascii="Times New Roman" w:hAnsi="Times New Roman" w:cs="Times New Roman"/>
                        <w:szCs w:val="21"/>
                      </w:rPr>
                    </w:pPr>
                    <w:r>
                      <w:rPr>
                        <w:rStyle w:val="70"/>
                        <w:rFonts w:ascii="Times New Roman" w:hAnsi="Times New Roman" w:cs="Times New Roman"/>
                      </w:rPr>
                      <w:t>2021</w:t>
                    </w:r>
                    <w:r>
                      <w:rPr>
                        <w:rStyle w:val="70"/>
                        <w:rFonts w:ascii="Times New Roman" w:cs="Times New Roman"/>
                      </w:rPr>
                      <w:t>年</w:t>
                    </w:r>
                    <w:r>
                      <w:rPr>
                        <w:rStyle w:val="70"/>
                        <w:rFonts w:ascii="Times New Roman" w:hAnsi="Times New Roman" w:cs="Times New Roman"/>
                      </w:rPr>
                      <w:t>03</w:t>
                    </w:r>
                    <w:r>
                      <w:rPr>
                        <w:rStyle w:val="70"/>
                        <w:rFonts w:ascii="Times New Roman" w:cs="Times New Roman"/>
                      </w:rPr>
                      <w:t>月</w:t>
                    </w:r>
                    <w:r>
                      <w:rPr>
                        <w:rStyle w:val="70"/>
                        <w:rFonts w:ascii="Times New Roman" w:hAnsi="Times New Roman" w:cs="Times New Roman"/>
                      </w:rPr>
                      <w:t>28</w:t>
                    </w:r>
                    <w:r>
                      <w:rPr>
                        <w:rStyle w:val="70"/>
                        <w:rFonts w:ascii="Times New Roman" w:cs="Times New Roman"/>
                      </w:rPr>
                      <w:t>日</w:t>
                    </w:r>
                  </w:p>
                </w:tc>
                <w:tc>
                  <w:tcPr>
                    <w:tcW w:w="1412" w:type="pct"/>
                    <w:shd w:val="clear" w:color="auto" w:fill="auto"/>
                    <w:vAlign w:val="center"/>
                  </w:tcPr>
                  <w:p>
                    <w:pPr>
                      <w:widowControl w:val="0"/>
                      <w:jc w:val="both"/>
                      <w:rPr>
                        <w:rFonts w:ascii="Times New Roman" w:hAnsi="Times New Roman" w:cs="Times New Roman"/>
                        <w:szCs w:val="21"/>
                      </w:rPr>
                    </w:pPr>
                    <w:r>
                      <w:rPr>
                        <w:rStyle w:val="70"/>
                        <w:rFonts w:ascii="Times New Roman" w:cs="Times New Roman"/>
                      </w:rPr>
                      <w:t>审议《</w:t>
                    </w:r>
                    <w:r>
                      <w:rPr>
                        <w:rStyle w:val="70"/>
                        <w:rFonts w:ascii="Times New Roman" w:hAnsi="Times New Roman" w:cs="Times New Roman"/>
                      </w:rPr>
                      <w:t>2020</w:t>
                    </w:r>
                    <w:r>
                      <w:rPr>
                        <w:rStyle w:val="70"/>
                        <w:rFonts w:ascii="Times New Roman" w:cs="Times New Roman"/>
                      </w:rPr>
                      <w:t>年年度报告（全文及摘要）》；审阅《</w:t>
                    </w:r>
                    <w:r>
                      <w:rPr>
                        <w:rStyle w:val="70"/>
                        <w:rFonts w:ascii="Times New Roman" w:hAnsi="Times New Roman" w:cs="Times New Roman"/>
                      </w:rPr>
                      <w:t>2020</w:t>
                    </w:r>
                    <w:r>
                      <w:rPr>
                        <w:rStyle w:val="70"/>
                        <w:rFonts w:ascii="Times New Roman" w:cs="Times New Roman"/>
                      </w:rPr>
                      <w:t>年度审计报告》中</w:t>
                    </w:r>
                    <w:r>
                      <w:rPr>
                        <w:rStyle w:val="70"/>
                        <w:rFonts w:ascii="Times New Roman" w:hAnsi="Times New Roman" w:cs="Times New Roman"/>
                      </w:rPr>
                      <w:t>“</w:t>
                    </w:r>
                    <w:r>
                      <w:rPr>
                        <w:rStyle w:val="70"/>
                        <w:rFonts w:ascii="Times New Roman" w:cs="Times New Roman"/>
                      </w:rPr>
                      <w:t>关键审计事项</w:t>
                    </w:r>
                    <w:r>
                      <w:rPr>
                        <w:rStyle w:val="70"/>
                        <w:rFonts w:ascii="Times New Roman" w:hAnsi="Times New Roman" w:cs="Times New Roman"/>
                      </w:rPr>
                      <w:t>”</w:t>
                    </w:r>
                    <w:r>
                      <w:rPr>
                        <w:rStyle w:val="70"/>
                        <w:rFonts w:ascii="Times New Roman" w:cs="Times New Roman"/>
                      </w:rPr>
                      <w:t>。</w:t>
                    </w:r>
                  </w:p>
                </w:tc>
                <w:tc>
                  <w:tcPr>
                    <w:tcW w:w="2118" w:type="pct"/>
                    <w:shd w:val="clear" w:color="auto" w:fill="auto"/>
                    <w:vAlign w:val="center"/>
                  </w:tcPr>
                  <w:p>
                    <w:pPr>
                      <w:widowControl w:val="0"/>
                      <w:jc w:val="both"/>
                      <w:rPr>
                        <w:rFonts w:ascii="Times New Roman" w:hAnsi="Times New Roman" w:cs="Times New Roman"/>
                        <w:szCs w:val="21"/>
                      </w:rPr>
                    </w:pPr>
                    <w:r>
                      <w:rPr>
                        <w:rStyle w:val="70"/>
                        <w:rFonts w:ascii="Times New Roman" w:cs="Times New Roman"/>
                      </w:rPr>
                      <w:t>认为公司已严格按企业会计准则和有关财务制度编制报表，能真实反映公司经营情况，同意将《</w:t>
                    </w:r>
                    <w:r>
                      <w:rPr>
                        <w:rStyle w:val="70"/>
                        <w:rFonts w:ascii="Times New Roman" w:hAnsi="Times New Roman" w:cs="Times New Roman"/>
                      </w:rPr>
                      <w:t>2020</w:t>
                    </w:r>
                    <w:r>
                      <w:rPr>
                        <w:rStyle w:val="70"/>
                        <w:rFonts w:ascii="Times New Roman" w:cs="Times New Roman"/>
                      </w:rPr>
                      <w:t>年年度报告（全文及摘要）》提交董事会审议。</w:t>
                    </w:r>
                  </w:p>
                </w:tc>
                <w:tc>
                  <w:tcPr>
                    <w:tcW w:w="704" w:type="pct"/>
                    <w:shd w:val="clear" w:color="auto" w:fill="auto"/>
                  </w:tcPr>
                  <w:p>
                    <w:pPr>
                      <w:widowControl w:val="0"/>
                      <w:jc w:val="both"/>
                      <w:rPr>
                        <w:rFonts w:ascii="Times New Roman" w:hAnsi="Times New Roman" w:cs="Times New Roman"/>
                        <w:szCs w:val="21"/>
                      </w:rPr>
                    </w:pPr>
                    <w:r>
                      <w:rPr>
                        <w:rStyle w:val="70"/>
                        <w:rFonts w:ascii="Times New Roman" w:hAnsi="Times New Roman" w:cs="Times New Roman"/>
                      </w:rPr>
                      <w:t>-</w:t>
                    </w:r>
                  </w:p>
                </w:tc>
              </w:tr>
            </w:sdtContent>
          </w:sdt>
          <w:sdt>
            <w:sdtPr>
              <w:rPr>
                <w:rFonts w:ascii="Times New Roman" w:hAnsi="Times New Roman" w:cs="Times New Roman"/>
                <w:szCs w:val="21"/>
              </w:rPr>
              <w:alias w:val="董事会下设专门委员会情况明细"/>
              <w:tag w:val="_TUP_ba8ed794bebb4cad9c2e7f1db76b0a19"/>
              <w:id w:val="86572280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shd w:val="clear" w:color="auto" w:fill="auto"/>
                    <w:vAlign w:val="center"/>
                  </w:tcPr>
                  <w:p>
                    <w:pPr>
                      <w:widowControl w:val="0"/>
                      <w:jc w:val="both"/>
                      <w:rPr>
                        <w:rFonts w:ascii="Times New Roman" w:hAnsi="Times New Roman" w:cs="Times New Roman"/>
                        <w:szCs w:val="21"/>
                      </w:rPr>
                    </w:pPr>
                    <w:r>
                      <w:rPr>
                        <w:rStyle w:val="70"/>
                        <w:rFonts w:ascii="Times New Roman" w:hAnsi="Times New Roman" w:cs="Times New Roman"/>
                      </w:rPr>
                      <w:t>2021</w:t>
                    </w:r>
                    <w:r>
                      <w:rPr>
                        <w:rStyle w:val="70"/>
                        <w:rFonts w:ascii="Times New Roman" w:cs="Times New Roman"/>
                      </w:rPr>
                      <w:t>年</w:t>
                    </w:r>
                    <w:r>
                      <w:rPr>
                        <w:rStyle w:val="70"/>
                        <w:rFonts w:ascii="Times New Roman" w:hAnsi="Times New Roman" w:cs="Times New Roman"/>
                      </w:rPr>
                      <w:t>06</w:t>
                    </w:r>
                    <w:r>
                      <w:rPr>
                        <w:rStyle w:val="70"/>
                        <w:rFonts w:ascii="Times New Roman" w:cs="Times New Roman"/>
                      </w:rPr>
                      <w:t>月</w:t>
                    </w:r>
                    <w:r>
                      <w:rPr>
                        <w:rStyle w:val="70"/>
                        <w:rFonts w:ascii="Times New Roman" w:hAnsi="Times New Roman" w:cs="Times New Roman"/>
                      </w:rPr>
                      <w:t>29</w:t>
                    </w:r>
                    <w:r>
                      <w:rPr>
                        <w:rStyle w:val="70"/>
                        <w:rFonts w:ascii="Times New Roman" w:cs="Times New Roman"/>
                      </w:rPr>
                      <w:t>日</w:t>
                    </w:r>
                  </w:p>
                </w:tc>
                <w:tc>
                  <w:tcPr>
                    <w:tcW w:w="1412" w:type="pct"/>
                    <w:shd w:val="clear" w:color="auto" w:fill="auto"/>
                    <w:vAlign w:val="center"/>
                  </w:tcPr>
                  <w:p>
                    <w:pPr>
                      <w:widowControl w:val="0"/>
                      <w:jc w:val="both"/>
                      <w:rPr>
                        <w:rFonts w:ascii="Times New Roman" w:hAnsi="Times New Roman" w:cs="Times New Roman"/>
                        <w:szCs w:val="21"/>
                      </w:rPr>
                    </w:pPr>
                    <w:r>
                      <w:rPr>
                        <w:rStyle w:val="70"/>
                        <w:rFonts w:ascii="Times New Roman" w:cs="Times New Roman"/>
                      </w:rPr>
                      <w:t>审议《关于聘请永拓会计师事务所（特殊普通合伙）为公司</w:t>
                    </w:r>
                    <w:r>
                      <w:rPr>
                        <w:rStyle w:val="70"/>
                        <w:rFonts w:ascii="Times New Roman" w:hAnsi="Times New Roman" w:cs="Times New Roman"/>
                      </w:rPr>
                      <w:t>2021</w:t>
                    </w:r>
                    <w:r>
                      <w:rPr>
                        <w:rStyle w:val="70"/>
                        <w:rFonts w:ascii="Times New Roman" w:cs="Times New Roman"/>
                      </w:rPr>
                      <w:t>年度财务报表及内部控制审计机构的议案》</w:t>
                    </w:r>
                  </w:p>
                </w:tc>
                <w:tc>
                  <w:tcPr>
                    <w:tcW w:w="2118" w:type="pct"/>
                    <w:shd w:val="clear" w:color="auto" w:fill="auto"/>
                    <w:vAlign w:val="center"/>
                  </w:tcPr>
                  <w:p>
                    <w:pPr>
                      <w:widowControl w:val="0"/>
                      <w:jc w:val="both"/>
                      <w:rPr>
                        <w:rFonts w:ascii="Times New Roman" w:hAnsi="Times New Roman" w:cs="Times New Roman"/>
                        <w:szCs w:val="21"/>
                      </w:rPr>
                    </w:pPr>
                    <w:r>
                      <w:rPr>
                        <w:rStyle w:val="70"/>
                        <w:rFonts w:ascii="Times New Roman" w:cs="Times New Roman"/>
                      </w:rPr>
                      <w:t>认为永拓会计师事务所具备为上市公司提供审计服务的经验和能力，同意聘请永拓会计师事务所为公司</w:t>
                    </w:r>
                    <w:r>
                      <w:rPr>
                        <w:rStyle w:val="70"/>
                        <w:rFonts w:ascii="Times New Roman" w:hAnsi="Times New Roman" w:cs="Times New Roman"/>
                      </w:rPr>
                      <w:t>2021</w:t>
                    </w:r>
                    <w:r>
                      <w:rPr>
                        <w:rStyle w:val="70"/>
                        <w:rFonts w:ascii="Times New Roman" w:cs="Times New Roman"/>
                      </w:rPr>
                      <w:t>年度财务报表及内部控制审计机构并提交公司董事会审议。</w:t>
                    </w:r>
                  </w:p>
                </w:tc>
                <w:tc>
                  <w:tcPr>
                    <w:tcW w:w="704" w:type="pct"/>
                    <w:shd w:val="clear" w:color="auto" w:fill="auto"/>
                  </w:tcPr>
                  <w:p>
                    <w:pPr>
                      <w:widowControl w:val="0"/>
                      <w:jc w:val="both"/>
                      <w:rPr>
                        <w:rFonts w:ascii="Times New Roman" w:hAnsi="Times New Roman" w:cs="Times New Roman"/>
                        <w:szCs w:val="21"/>
                      </w:rPr>
                    </w:pPr>
                    <w:r>
                      <w:rPr>
                        <w:rStyle w:val="70"/>
                        <w:rFonts w:ascii="Times New Roman" w:hAnsi="Times New Roman" w:cs="Times New Roman"/>
                      </w:rPr>
                      <w:t>-</w:t>
                    </w:r>
                  </w:p>
                </w:tc>
              </w:tr>
            </w:sdtContent>
          </w:sdt>
          <w:sdt>
            <w:sdtPr>
              <w:rPr>
                <w:rFonts w:ascii="Times New Roman" w:hAnsi="Times New Roman" w:cs="Times New Roman"/>
                <w:szCs w:val="21"/>
              </w:rPr>
              <w:alias w:val="董事会下设专门委员会情况明细"/>
              <w:tag w:val="_TUP_ba8ed794bebb4cad9c2e7f1db76b0a19"/>
              <w:id w:val="86572280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pct"/>
                    <w:shd w:val="clear" w:color="auto" w:fill="auto"/>
                    <w:vAlign w:val="center"/>
                  </w:tcPr>
                  <w:p>
                    <w:pPr>
                      <w:widowControl w:val="0"/>
                      <w:jc w:val="both"/>
                      <w:rPr>
                        <w:rFonts w:ascii="Times New Roman" w:hAnsi="Times New Roman" w:cs="Times New Roman"/>
                        <w:szCs w:val="21"/>
                      </w:rPr>
                    </w:pPr>
                    <w:r>
                      <w:rPr>
                        <w:rStyle w:val="70"/>
                        <w:rFonts w:ascii="Times New Roman" w:hAnsi="Times New Roman" w:cs="Times New Roman"/>
                      </w:rPr>
                      <w:t>2021</w:t>
                    </w:r>
                    <w:r>
                      <w:rPr>
                        <w:rStyle w:val="70"/>
                        <w:rFonts w:ascii="Times New Roman" w:cs="Times New Roman"/>
                      </w:rPr>
                      <w:t>年</w:t>
                    </w:r>
                    <w:r>
                      <w:rPr>
                        <w:rStyle w:val="70"/>
                        <w:rFonts w:ascii="Times New Roman" w:hAnsi="Times New Roman" w:cs="Times New Roman"/>
                      </w:rPr>
                      <w:t>12</w:t>
                    </w:r>
                    <w:r>
                      <w:rPr>
                        <w:rStyle w:val="70"/>
                        <w:rFonts w:ascii="Times New Roman" w:cs="Times New Roman"/>
                      </w:rPr>
                      <w:t>月</w:t>
                    </w:r>
                    <w:r>
                      <w:rPr>
                        <w:rStyle w:val="70"/>
                        <w:rFonts w:ascii="Times New Roman" w:hAnsi="Times New Roman" w:cs="Times New Roman"/>
                      </w:rPr>
                      <w:t>20</w:t>
                    </w:r>
                    <w:r>
                      <w:rPr>
                        <w:rStyle w:val="70"/>
                        <w:rFonts w:ascii="Times New Roman" w:cs="Times New Roman"/>
                      </w:rPr>
                      <w:t>日</w:t>
                    </w:r>
                  </w:p>
                </w:tc>
                <w:tc>
                  <w:tcPr>
                    <w:tcW w:w="1412" w:type="pct"/>
                    <w:shd w:val="clear" w:color="auto" w:fill="auto"/>
                    <w:vAlign w:val="center"/>
                  </w:tcPr>
                  <w:p>
                    <w:pPr>
                      <w:widowControl w:val="0"/>
                      <w:jc w:val="both"/>
                      <w:rPr>
                        <w:rFonts w:ascii="Times New Roman" w:hAnsi="Times New Roman" w:cs="Times New Roman"/>
                        <w:szCs w:val="21"/>
                      </w:rPr>
                    </w:pPr>
                    <w:r>
                      <w:rPr>
                        <w:rStyle w:val="70"/>
                        <w:rFonts w:ascii="Times New Roman" w:hAnsi="Times New Roman" w:cs="Times New Roman"/>
                      </w:rPr>
                      <w:t>2022</w:t>
                    </w:r>
                    <w:r>
                      <w:rPr>
                        <w:rStyle w:val="70"/>
                        <w:rFonts w:ascii="Times New Roman" w:cs="Times New Roman"/>
                      </w:rPr>
                      <w:t>年业绩预告相关事项讨论及年报工作时间和审计工作安排及沟通</w:t>
                    </w:r>
                  </w:p>
                </w:tc>
                <w:tc>
                  <w:tcPr>
                    <w:tcW w:w="2118" w:type="pct"/>
                    <w:shd w:val="clear" w:color="auto" w:fill="auto"/>
                    <w:vAlign w:val="center"/>
                  </w:tcPr>
                  <w:p>
                    <w:pPr>
                      <w:widowControl w:val="0"/>
                      <w:jc w:val="both"/>
                      <w:rPr>
                        <w:rFonts w:ascii="Times New Roman" w:hAnsi="Times New Roman" w:cs="Times New Roman"/>
                        <w:szCs w:val="21"/>
                      </w:rPr>
                    </w:pPr>
                    <w:r>
                      <w:rPr>
                        <w:rStyle w:val="70"/>
                        <w:rFonts w:ascii="Times New Roman" w:cs="Times New Roman"/>
                      </w:rPr>
                      <w:t>以披露时间的要求，合理安排各项工作。及时沟通工作中的困难，落实解决方案。</w:t>
                    </w:r>
                  </w:p>
                </w:tc>
                <w:tc>
                  <w:tcPr>
                    <w:tcW w:w="704" w:type="pct"/>
                    <w:shd w:val="clear" w:color="auto" w:fill="auto"/>
                  </w:tcPr>
                  <w:p>
                    <w:pPr>
                      <w:widowControl w:val="0"/>
                      <w:jc w:val="both"/>
                      <w:rPr>
                        <w:rFonts w:ascii="Times New Roman" w:hAnsi="Times New Roman" w:cs="Times New Roman"/>
                        <w:szCs w:val="21"/>
                      </w:rPr>
                    </w:pPr>
                    <w:r>
                      <w:rPr>
                        <w:rStyle w:val="70"/>
                        <w:rFonts w:ascii="Times New Roman" w:hAnsi="Times New Roman" w:cs="Times New Roman"/>
                      </w:rPr>
                      <w:t>-</w:t>
                    </w:r>
                  </w:p>
                </w:tc>
              </w:tr>
            </w:sdtContent>
          </w:sdt>
        </w:tbl>
        <w:p/>
        <w:p/>
      </w:sdtContent>
    </w:sdt>
    <w:sdt>
      <w:sdtPr>
        <w:rPr>
          <w:rFonts w:ascii="宋体" w:hAnsi="宋体" w:cs="宋体"/>
          <w:kern w:val="0"/>
          <w:szCs w:val="24"/>
        </w:rPr>
        <w:alias w:val="模块:专门委员会召开会议情况"/>
        <w:tag w:val="_SEC_1e3a9c0a15ba40d1bda51574352f1bf7"/>
        <w:id w:val="865722815"/>
        <w:lock w:val="sdtLocked"/>
      </w:sdtPr>
      <w:sdtEndPr>
        <w:rPr>
          <w:rFonts w:ascii="宋体" w:hAnsi="宋体" w:cs="宋体"/>
          <w:kern w:val="0"/>
          <w:szCs w:val="24"/>
        </w:rPr>
      </w:sdtEndPr>
      <w:sdtContent>
        <w:p>
          <w:pPr>
            <w:pStyle w:val="55"/>
            <w:numPr>
              <w:ilvl w:val="0"/>
              <w:numId w:val="25"/>
            </w:numPr>
            <w:ind w:firstLineChars="0"/>
            <w:rPr>
              <w:b/>
              <w:bCs/>
            </w:rPr>
          </w:pPr>
          <w:r>
            <w:rPr>
              <w:rFonts w:hint="eastAsia"/>
              <w:b/>
              <w:bCs/>
            </w:rPr>
            <w:t>报告期内</w:t>
          </w:r>
          <w:sdt>
            <w:sdtPr>
              <w:rPr>
                <w:rFonts w:hint="eastAsia"/>
                <w:b/>
                <w:bCs/>
              </w:rPr>
              <w:alias w:val="召开会议的专门委员会类别"/>
              <w:tag w:val="_GBC_adf76ecbe3584f07b573642215a867bd"/>
              <w:id w:val="865722807"/>
              <w:lock w:val="sdtLocked"/>
            </w:sdtPr>
            <w:sdtEndPr>
              <w:rPr>
                <w:rFonts w:hint="eastAsia"/>
                <w:b/>
                <w:bCs/>
              </w:rPr>
            </w:sdtEndPr>
            <w:sdtContent>
              <w:r>
                <w:rPr>
                  <w:rFonts w:hint="eastAsia"/>
                  <w:b/>
                  <w:bCs/>
                </w:rPr>
                <w:t>提名</w:t>
              </w:r>
            </w:sdtContent>
          </w:sdt>
          <w:r>
            <w:rPr>
              <w:rFonts w:hint="eastAsia"/>
              <w:b/>
              <w:bCs/>
            </w:rPr>
            <w:t>委员会召开</w:t>
          </w:r>
          <w:sdt>
            <w:sdtPr>
              <w:rPr>
                <w:rFonts w:hint="eastAsia"/>
                <w:b/>
                <w:bCs/>
              </w:rPr>
              <w:alias w:val="报告期内召开专门委员会会议次数"/>
              <w:tag w:val="_GBC_7bf2cd7c3a6a4685ac9c89ee396352a0"/>
              <w:id w:val="865722808"/>
              <w:lock w:val="sdtLocked"/>
            </w:sdtPr>
            <w:sdtEndPr>
              <w:rPr>
                <w:rFonts w:hint="eastAsia"/>
                <w:b/>
                <w:bCs/>
              </w:rPr>
            </w:sdtEndPr>
            <w:sdtContent>
              <w:r>
                <w:rPr>
                  <w:rFonts w:hint="eastAsia"/>
                  <w:b/>
                  <w:bCs/>
                </w:rPr>
                <w:t>2</w:t>
              </w:r>
            </w:sdtContent>
          </w:sdt>
          <w:r>
            <w:rPr>
              <w:rFonts w:hint="eastAsia"/>
              <w:b/>
              <w:bCs/>
            </w:rPr>
            <w:t>次会议</w:t>
          </w:r>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2072"/>
            <w:gridCol w:w="4702"/>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Cs w:val="21"/>
                </w:rPr>
                <w:tag w:val="_PLD_81aefc289fbf48b1865138608d8bd14f"/>
                <w:id w:val="865722809"/>
                <w:lock w:val="sdtLocked"/>
              </w:sdtPr>
              <w:sdtEndPr>
                <w:rPr>
                  <w:rFonts w:ascii="Times New Roman" w:hAnsi="Times New Roman" w:cs="Times New Roman"/>
                  <w:szCs w:val="21"/>
                </w:rPr>
              </w:sdtEndPr>
              <w:sdtContent>
                <w:tc>
                  <w:tcPr>
                    <w:tcW w:w="722" w:type="pct"/>
                    <w:shd w:val="clear" w:color="auto" w:fill="auto"/>
                    <w:vAlign w:val="center"/>
                  </w:tcPr>
                  <w:p>
                    <w:pPr>
                      <w:widowControl w:val="0"/>
                      <w:jc w:val="center"/>
                      <w:rPr>
                        <w:rFonts w:ascii="Times New Roman" w:hAnsi="Times New Roman" w:cs="Times New Roman"/>
                        <w:szCs w:val="21"/>
                      </w:rPr>
                    </w:pPr>
                    <w:r>
                      <w:rPr>
                        <w:rFonts w:ascii="Times New Roman" w:cs="Times New Roman"/>
                        <w:szCs w:val="21"/>
                      </w:rPr>
                      <w:t>召开日期</w:t>
                    </w:r>
                  </w:p>
                </w:tc>
              </w:sdtContent>
            </w:sdt>
            <w:sdt>
              <w:sdtPr>
                <w:rPr>
                  <w:rFonts w:ascii="Times New Roman" w:hAnsi="Times New Roman" w:cs="Times New Roman"/>
                  <w:szCs w:val="21"/>
                </w:rPr>
                <w:tag w:val="_PLD_9d24b601ec70414eb969daf6b393edc8"/>
                <w:id w:val="865722810"/>
                <w:lock w:val="sdtLocked"/>
              </w:sdtPr>
              <w:sdtEndPr>
                <w:rPr>
                  <w:rFonts w:ascii="Times New Roman" w:hAnsi="Times New Roman" w:cs="Times New Roman"/>
                  <w:szCs w:val="21"/>
                </w:rPr>
              </w:sdtEndPr>
              <w:sdtContent>
                <w:tc>
                  <w:tcPr>
                    <w:tcW w:w="1145" w:type="pct"/>
                    <w:shd w:val="clear" w:color="auto" w:fill="auto"/>
                    <w:vAlign w:val="center"/>
                  </w:tcPr>
                  <w:p>
                    <w:pPr>
                      <w:widowControl w:val="0"/>
                      <w:jc w:val="center"/>
                      <w:rPr>
                        <w:rFonts w:ascii="Times New Roman" w:hAnsi="Times New Roman" w:cs="Times New Roman"/>
                        <w:szCs w:val="21"/>
                      </w:rPr>
                    </w:pPr>
                    <w:r>
                      <w:rPr>
                        <w:rFonts w:ascii="Times New Roman" w:cs="Times New Roman"/>
                        <w:szCs w:val="21"/>
                      </w:rPr>
                      <w:t>会议内容</w:t>
                    </w:r>
                  </w:p>
                </w:tc>
              </w:sdtContent>
            </w:sdt>
            <w:sdt>
              <w:sdtPr>
                <w:rPr>
                  <w:rFonts w:ascii="Times New Roman" w:hAnsi="Times New Roman" w:cs="Times New Roman"/>
                  <w:szCs w:val="21"/>
                </w:rPr>
                <w:tag w:val="_PLD_6ea19dadc3684e98a6d98faaf035a9d9"/>
                <w:id w:val="865722811"/>
                <w:lock w:val="sdtLocked"/>
              </w:sdtPr>
              <w:sdtEndPr>
                <w:rPr>
                  <w:rFonts w:ascii="Times New Roman" w:hAnsi="Times New Roman" w:cs="Times New Roman"/>
                  <w:szCs w:val="21"/>
                </w:rPr>
              </w:sdtEndPr>
              <w:sdtContent>
                <w:tc>
                  <w:tcPr>
                    <w:tcW w:w="2598" w:type="pct"/>
                    <w:shd w:val="clear" w:color="auto" w:fill="auto"/>
                    <w:vAlign w:val="center"/>
                  </w:tcPr>
                  <w:p>
                    <w:pPr>
                      <w:widowControl w:val="0"/>
                      <w:jc w:val="center"/>
                      <w:rPr>
                        <w:rFonts w:ascii="Times New Roman" w:hAnsi="Times New Roman" w:cs="Times New Roman"/>
                        <w:szCs w:val="21"/>
                      </w:rPr>
                    </w:pPr>
                    <w:r>
                      <w:rPr>
                        <w:rFonts w:ascii="Times New Roman" w:cs="Times New Roman"/>
                        <w:szCs w:val="21"/>
                      </w:rPr>
                      <w:t>重要意见和建议</w:t>
                    </w:r>
                  </w:p>
                </w:tc>
              </w:sdtContent>
            </w:sdt>
            <w:sdt>
              <w:sdtPr>
                <w:rPr>
                  <w:rFonts w:ascii="Times New Roman" w:hAnsi="Times New Roman" w:cs="Times New Roman"/>
                  <w:szCs w:val="21"/>
                </w:rPr>
                <w:tag w:val="_PLD_ef03d3ffb00740008011022cb6a96805"/>
                <w:id w:val="865722812"/>
                <w:lock w:val="sdtLocked"/>
              </w:sdtPr>
              <w:sdtEndPr>
                <w:rPr>
                  <w:rFonts w:ascii="Times New Roman" w:hAnsi="Times New Roman" w:cs="Times New Roman"/>
                  <w:szCs w:val="21"/>
                </w:rPr>
              </w:sdtEndPr>
              <w:sdtContent>
                <w:tc>
                  <w:tcPr>
                    <w:tcW w:w="535" w:type="pct"/>
                    <w:shd w:val="clear" w:color="auto" w:fill="auto"/>
                    <w:vAlign w:val="center"/>
                  </w:tcPr>
                  <w:p>
                    <w:pPr>
                      <w:widowControl w:val="0"/>
                      <w:jc w:val="center"/>
                      <w:rPr>
                        <w:rFonts w:ascii="Times New Roman" w:hAnsi="Times New Roman" w:cs="Times New Roman"/>
                        <w:szCs w:val="21"/>
                      </w:rPr>
                    </w:pPr>
                    <w:r>
                      <w:rPr>
                        <w:rFonts w:ascii="Times New Roman" w:cs="Times New Roman"/>
                        <w:szCs w:val="21"/>
                      </w:rPr>
                      <w:t>其他履行职责情况</w:t>
                    </w:r>
                  </w:p>
                </w:tc>
              </w:sdtContent>
            </w:sdt>
          </w:tr>
          <w:sdt>
            <w:sdtPr>
              <w:rPr>
                <w:rFonts w:ascii="Times New Roman" w:hAnsi="Times New Roman" w:cs="Times New Roman"/>
                <w:szCs w:val="21"/>
              </w:rPr>
              <w:alias w:val="董事会下设专门委员会情况明细"/>
              <w:tag w:val="_TUP_ba8ed794bebb4cad9c2e7f1db76b0a19"/>
              <w:id w:val="86572281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shd w:val="clear" w:color="auto" w:fill="auto"/>
                    <w:vAlign w:val="center"/>
                  </w:tcPr>
                  <w:p>
                    <w:pPr>
                      <w:widowControl w:val="0"/>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6</w:t>
                    </w:r>
                    <w:r>
                      <w:rPr>
                        <w:rFonts w:ascii="Times New Roman" w:cs="Times New Roman"/>
                        <w:szCs w:val="21"/>
                      </w:rPr>
                      <w:t>月</w:t>
                    </w:r>
                    <w:r>
                      <w:rPr>
                        <w:rFonts w:ascii="Times New Roman" w:hAnsi="Times New Roman" w:cs="Times New Roman"/>
                        <w:szCs w:val="21"/>
                      </w:rPr>
                      <w:t>29</w:t>
                    </w:r>
                    <w:r>
                      <w:rPr>
                        <w:rFonts w:ascii="Times New Roman" w:cs="Times New Roman"/>
                        <w:szCs w:val="21"/>
                      </w:rPr>
                      <w:t>日</w:t>
                    </w:r>
                  </w:p>
                </w:tc>
                <w:tc>
                  <w:tcPr>
                    <w:tcW w:w="1145" w:type="pct"/>
                    <w:shd w:val="clear" w:color="auto" w:fill="auto"/>
                    <w:vAlign w:val="center"/>
                  </w:tcPr>
                  <w:p>
                    <w:pPr>
                      <w:widowControl w:val="0"/>
                      <w:jc w:val="both"/>
                      <w:rPr>
                        <w:rFonts w:ascii="Times New Roman" w:hAnsi="Times New Roman" w:cs="Times New Roman"/>
                        <w:szCs w:val="21"/>
                      </w:rPr>
                    </w:pPr>
                    <w:r>
                      <w:rPr>
                        <w:rFonts w:ascii="Times New Roman" w:cs="Times New Roman"/>
                        <w:szCs w:val="21"/>
                      </w:rPr>
                      <w:t>审议关于公司董事换届选举的议案</w:t>
                    </w:r>
                  </w:p>
                </w:tc>
                <w:tc>
                  <w:tcPr>
                    <w:tcW w:w="2598" w:type="pct"/>
                    <w:shd w:val="clear" w:color="auto" w:fill="auto"/>
                  </w:tcPr>
                  <w:p>
                    <w:pPr>
                      <w:widowControl w:val="0"/>
                      <w:jc w:val="both"/>
                      <w:rPr>
                        <w:rFonts w:ascii="Times New Roman" w:hAnsi="Times New Roman" w:cs="Times New Roman"/>
                        <w:szCs w:val="21"/>
                      </w:rPr>
                    </w:pPr>
                    <w:r>
                      <w:rPr>
                        <w:rFonts w:ascii="Times New Roman" w:cs="Times New Roman"/>
                        <w:szCs w:val="21"/>
                      </w:rPr>
                      <w:t>提名委员会对董事候选人资格进行审查，认为候选人任职资格符合《公司法》《公司章程》等有关规定，同意相关议案提交公司董事会审议。</w:t>
                    </w:r>
                  </w:p>
                </w:tc>
                <w:tc>
                  <w:tcPr>
                    <w:tcW w:w="535" w:type="pct"/>
                    <w:shd w:val="clear" w:color="auto" w:fill="auto"/>
                  </w:tcPr>
                  <w:p>
                    <w:pPr>
                      <w:widowControl w:val="0"/>
                      <w:jc w:val="both"/>
                      <w:rPr>
                        <w:rFonts w:ascii="Times New Roman" w:hAnsi="Times New Roman" w:cs="Times New Roman"/>
                        <w:szCs w:val="21"/>
                      </w:rPr>
                    </w:pPr>
                    <w:r>
                      <w:rPr>
                        <w:rFonts w:ascii="Times New Roman" w:hAnsi="Times New Roman" w:cs="Times New Roman"/>
                        <w:szCs w:val="21"/>
                      </w:rPr>
                      <w:t>-</w:t>
                    </w:r>
                  </w:p>
                </w:tc>
              </w:tr>
            </w:sdtContent>
          </w:sdt>
          <w:sdt>
            <w:sdtPr>
              <w:rPr>
                <w:rFonts w:ascii="Times New Roman" w:hAnsi="Times New Roman" w:cs="Times New Roman"/>
                <w:szCs w:val="21"/>
              </w:rPr>
              <w:alias w:val="董事会下设专门委员会情况明细"/>
              <w:tag w:val="_TUP_ba8ed794bebb4cad9c2e7f1db76b0a19"/>
              <w:id w:val="86572281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shd w:val="clear" w:color="auto" w:fill="auto"/>
                    <w:vAlign w:val="center"/>
                  </w:tcPr>
                  <w:p>
                    <w:pPr>
                      <w:widowControl w:val="0"/>
                      <w:jc w:val="both"/>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7</w:t>
                    </w:r>
                    <w:r>
                      <w:rPr>
                        <w:rFonts w:ascii="Times New Roman" w:cs="Times New Roman"/>
                        <w:szCs w:val="21"/>
                      </w:rPr>
                      <w:t>月</w:t>
                    </w:r>
                    <w:r>
                      <w:rPr>
                        <w:rFonts w:ascii="Times New Roman" w:hAnsi="Times New Roman" w:cs="Times New Roman"/>
                        <w:szCs w:val="21"/>
                      </w:rPr>
                      <w:t>16</w:t>
                    </w:r>
                    <w:r>
                      <w:rPr>
                        <w:rFonts w:ascii="Times New Roman" w:cs="Times New Roman"/>
                        <w:szCs w:val="21"/>
                      </w:rPr>
                      <w:t>日</w:t>
                    </w:r>
                  </w:p>
                </w:tc>
                <w:tc>
                  <w:tcPr>
                    <w:tcW w:w="1145" w:type="pct"/>
                    <w:shd w:val="clear" w:color="auto" w:fill="auto"/>
                    <w:vAlign w:val="center"/>
                  </w:tcPr>
                  <w:p>
                    <w:pPr>
                      <w:widowControl w:val="0"/>
                      <w:jc w:val="both"/>
                      <w:rPr>
                        <w:rFonts w:ascii="Times New Roman" w:hAnsi="Times New Roman" w:cs="Times New Roman"/>
                        <w:szCs w:val="21"/>
                      </w:rPr>
                    </w:pPr>
                    <w:r>
                      <w:rPr>
                        <w:rFonts w:ascii="Times New Roman" w:cs="Times New Roman"/>
                        <w:szCs w:val="21"/>
                      </w:rPr>
                      <w:t>审核高级管理人员候选人资格</w:t>
                    </w:r>
                  </w:p>
                </w:tc>
                <w:tc>
                  <w:tcPr>
                    <w:tcW w:w="2598" w:type="pct"/>
                    <w:shd w:val="clear" w:color="auto" w:fill="auto"/>
                  </w:tcPr>
                  <w:p>
                    <w:pPr>
                      <w:widowControl w:val="0"/>
                      <w:jc w:val="both"/>
                      <w:rPr>
                        <w:rFonts w:ascii="Times New Roman" w:hAnsi="Times New Roman" w:cs="Times New Roman"/>
                        <w:szCs w:val="21"/>
                      </w:rPr>
                    </w:pPr>
                    <w:r>
                      <w:rPr>
                        <w:rFonts w:ascii="Times New Roman" w:cs="Times New Roman"/>
                        <w:szCs w:val="21"/>
                      </w:rPr>
                      <w:t>提名委员会对公司拟聘任的高级管理人员候选人资格进行审查，认为候选人具备《公司法》《公司章程》等有关规定的资格，同意相关议案提交公司董事会审议。</w:t>
                    </w:r>
                  </w:p>
                </w:tc>
                <w:tc>
                  <w:tcPr>
                    <w:tcW w:w="535" w:type="pct"/>
                    <w:shd w:val="clear" w:color="auto" w:fill="auto"/>
                  </w:tcPr>
                  <w:p>
                    <w:pPr>
                      <w:widowControl w:val="0"/>
                      <w:jc w:val="both"/>
                      <w:rPr>
                        <w:rFonts w:ascii="Times New Roman" w:hAnsi="Times New Roman" w:cs="Times New Roman"/>
                        <w:szCs w:val="21"/>
                      </w:rPr>
                    </w:pPr>
                    <w:r>
                      <w:rPr>
                        <w:rFonts w:ascii="Times New Roman" w:hAnsi="Times New Roman" w:cs="Times New Roman"/>
                        <w:szCs w:val="21"/>
                      </w:rPr>
                      <w:t>-</w:t>
                    </w:r>
                  </w:p>
                </w:tc>
              </w:tr>
            </w:sdtContent>
          </w:sdt>
        </w:tbl>
        <w:p/>
      </w:sdtContent>
    </w:sdt>
    <w:sdt>
      <w:sdtPr>
        <w:rPr>
          <w:rFonts w:hint="eastAsia" w:ascii="宋体" w:hAnsi="宋体" w:cs="宋体"/>
          <w:b/>
          <w:bCs/>
          <w:kern w:val="0"/>
          <w:szCs w:val="24"/>
        </w:rPr>
        <w:alias w:val="模块:董事会下设专门委员会在报告期内履行职责时所提出的重要意见和建..."/>
        <w:tag w:val="_SEC_400f0a7634114d80939ab87276db7db7"/>
        <w:id w:val="865722817"/>
        <w:lock w:val="sdtLocked"/>
        <w:placeholder>
          <w:docPart w:val="GBC22222222222222222222222222222"/>
        </w:placeholder>
      </w:sdtPr>
      <w:sdtEndPr>
        <w:rPr>
          <w:rFonts w:hint="default" w:ascii="宋体" w:hAnsi="宋体" w:cs="宋体"/>
          <w:b w:val="0"/>
          <w:bCs w:val="0"/>
          <w:kern w:val="0"/>
          <w:szCs w:val="24"/>
        </w:rPr>
      </w:sdtEndPr>
      <w:sdtContent>
        <w:p>
          <w:pPr>
            <w:pStyle w:val="55"/>
            <w:numPr>
              <w:ilvl w:val="0"/>
              <w:numId w:val="25"/>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86572281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ascii="宋体" w:hAnsi="宋体" w:cs="宋体"/>
          <w:b w:val="0"/>
          <w:bCs w:val="0"/>
          <w:kern w:val="0"/>
          <w:szCs w:val="24"/>
        </w:rPr>
        <w:alias w:val="模块:监事会发现公司存在风险的说明"/>
        <w:tag w:val="_SEC_4dbac71000bd4ea4b0d0f802befda046"/>
        <w:id w:val="865722819"/>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21"/>
            </w:numPr>
          </w:pPr>
          <w:r>
            <w:t>监事会发现公司存在风险的说明</w:t>
          </w:r>
        </w:p>
        <w:sdt>
          <w:sdtPr>
            <w:alias w:val="是否适用：监事会发现公司存在风险的说明[双击切换]"/>
            <w:tag w:val="_GBC_987bc6e795084351a58e9d0bca47f246"/>
            <w:id w:val="86572281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alias w:val="监事会发现公司存在风险的说明"/>
        <w:tag w:val="_SEC_56ba2affeae548928a98e92c92a4f6b3"/>
        <w:id w:val="865722820"/>
      </w:sdtPr>
      <w:sdtContent>
        <w:p>
          <w:pPr>
            <w:rPr>
              <w:szCs w:val="21"/>
            </w:rPr>
          </w:pPr>
          <w:r>
            <w:rPr>
              <w:rFonts w:hint="eastAsia"/>
            </w:rPr>
            <w:t>监事会对报告期内的监督事项无异议。</w:t>
          </w:r>
        </w:p>
        <w:p>
          <w:pPr>
            <w:rPr>
              <w:szCs w:val="21"/>
            </w:rPr>
          </w:pPr>
        </w:p>
      </w:sdtContent>
    </w:sdt>
    <w:p>
      <w:pPr>
        <w:pStyle w:val="3"/>
        <w:numPr>
          <w:ilvl w:val="0"/>
          <w:numId w:val="21"/>
        </w:numPr>
        <w:rPr>
          <w:rFonts w:ascii="宋体" w:hAnsi="宋体" w:cs="宋体"/>
          <w:kern w:val="0"/>
          <w:szCs w:val="24"/>
        </w:rPr>
      </w:pPr>
      <w:r>
        <w:rPr>
          <w:rFonts w:hint="eastAsia" w:ascii="宋体" w:hAnsi="宋体" w:cs="宋体"/>
          <w:kern w:val="0"/>
          <w:szCs w:val="24"/>
        </w:rPr>
        <w:t>报告期末</w:t>
      </w:r>
      <w:r>
        <w:rPr>
          <w:rFonts w:ascii="宋体" w:hAnsi="宋体" w:cs="宋体"/>
          <w:kern w:val="0"/>
          <w:szCs w:val="24"/>
        </w:rPr>
        <w:t>母公司和主要子公司的员工情况</w:t>
      </w:r>
    </w:p>
    <w:sdt>
      <w:sdtPr>
        <w:rPr>
          <w:rFonts w:ascii="宋体" w:hAnsi="宋体" w:cs="宋体"/>
          <w:b w:val="0"/>
          <w:bCs w:val="0"/>
          <w:kern w:val="0"/>
          <w:szCs w:val="21"/>
        </w:rPr>
        <w:alias w:val="模块:员工情况"/>
        <w:tag w:val="_SEC_5d36f6c19ead44619fb5fc47e8c54f50"/>
        <w:id w:val="865722848"/>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26"/>
            </w:numPr>
            <w:rPr>
              <w:szCs w:val="21"/>
            </w:rPr>
          </w:pPr>
          <w:bookmarkStart w:id="50" w:name="_Hlk89184114"/>
          <w:r>
            <w:rPr>
              <w:szCs w:val="21"/>
            </w:rPr>
            <w:t>员工情况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rPr>
                  <w:rFonts w:ascii="Times New Roman" w:hAnsi="Times New Roman" w:cs="Times New Roman"/>
                </w:rPr>
                <w:tag w:val="_PLD_cff5d8823807446facbb16ac3f50949e"/>
                <w:id w:val="865722821"/>
                <w:lock w:val="sdtLocked"/>
              </w:sdtPr>
              <w:sdtEndPr>
                <w:rPr>
                  <w:rFonts w:ascii="Times New Roman" w:hAnsi="Times New Roman" w:cs="Times New Roman"/>
                </w:rPr>
              </w:sdtEndPr>
              <w:sdtContent>
                <w:tc>
                  <w:tcPr>
                    <w:tcW w:w="2500" w:type="pct"/>
                  </w:tcPr>
                  <w:p>
                    <w:pPr>
                      <w:widowControl w:val="0"/>
                      <w:jc w:val="both"/>
                      <w:rPr>
                        <w:rFonts w:ascii="Times New Roman" w:hAnsi="Times New Roman" w:cs="Times New Roman"/>
                        <w:szCs w:val="21"/>
                      </w:rPr>
                    </w:pPr>
                    <w:r>
                      <w:rPr>
                        <w:rFonts w:ascii="Times New Roman" w:cs="Times New Roman"/>
                        <w:szCs w:val="21"/>
                      </w:rPr>
                      <w:t>母公司在职员工的数量</w:t>
                    </w:r>
                  </w:p>
                </w:tc>
              </w:sdtContent>
            </w:sdt>
            <w:sdt>
              <w:sdtPr>
                <w:rPr>
                  <w:rFonts w:ascii="Times New Roman" w:hAnsi="Times New Roman" w:cs="Times New Roman"/>
                  <w:szCs w:val="21"/>
                </w:rPr>
                <w:alias w:val="母公司在职员工的数量"/>
                <w:tag w:val="_GBC_abd1eca65c1c4a43937ae4fdd8599b5b"/>
                <w:id w:val="865722822"/>
                <w:lock w:val="sdtLocked"/>
              </w:sdtPr>
              <w:sdtEndPr>
                <w:rPr>
                  <w:rFonts w:ascii="Times New Roman" w:hAnsi="Times New Roman" w:cs="Times New Roman"/>
                  <w:szCs w:val="21"/>
                </w:rPr>
              </w:sdtEndPr>
              <w:sdtContent>
                <w:tc>
                  <w:tcPr>
                    <w:tcW w:w="2500" w:type="pct"/>
                  </w:tcPr>
                  <w:p>
                    <w:pPr>
                      <w:widowControl w:val="0"/>
                      <w:jc w:val="right"/>
                      <w:rPr>
                        <w:rFonts w:ascii="Times New Roman" w:hAnsi="Times New Roman" w:cs="Times New Roman"/>
                        <w:szCs w:val="21"/>
                      </w:rPr>
                    </w:pPr>
                    <w:r>
                      <w:rPr>
                        <w:rFonts w:ascii="Times New Roman" w:hAnsi="Times New Roman" w:cs="Times New Roman"/>
                        <w:szCs w:val="21"/>
                      </w:rPr>
                      <w:t>466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rPr>
                  <w:rFonts w:ascii="Times New Roman" w:hAnsi="Times New Roman" w:cs="Times New Roman"/>
                </w:rPr>
                <w:tag w:val="_PLD_baf79165dc7c42d6a1bbbf8f4d550ac0"/>
                <w:id w:val="865722823"/>
                <w:lock w:val="sdtLocked"/>
              </w:sdtPr>
              <w:sdtEndPr>
                <w:rPr>
                  <w:rFonts w:ascii="Times New Roman" w:hAnsi="Times New Roman" w:cs="Times New Roman"/>
                </w:rPr>
              </w:sdtEndPr>
              <w:sdtContent>
                <w:tc>
                  <w:tcPr>
                    <w:tcW w:w="2500" w:type="pct"/>
                  </w:tcPr>
                  <w:p>
                    <w:pPr>
                      <w:widowControl w:val="0"/>
                      <w:jc w:val="both"/>
                      <w:rPr>
                        <w:rFonts w:ascii="Times New Roman" w:hAnsi="Times New Roman" w:cs="Times New Roman"/>
                        <w:szCs w:val="21"/>
                      </w:rPr>
                    </w:pPr>
                    <w:r>
                      <w:rPr>
                        <w:rFonts w:ascii="Times New Roman" w:cs="Times New Roman"/>
                        <w:szCs w:val="21"/>
                      </w:rPr>
                      <w:t>主要子公司在职员工的数量</w:t>
                    </w:r>
                  </w:p>
                </w:tc>
              </w:sdtContent>
            </w:sdt>
            <w:tc>
              <w:tcPr>
                <w:tcW w:w="2500" w:type="pct"/>
              </w:tcPr>
              <w:p>
                <w:pPr>
                  <w:widowControl w:val="0"/>
                  <w:jc w:val="right"/>
                  <w:rPr>
                    <w:rFonts w:ascii="Times New Roman" w:hAnsi="Times New Roman" w:cs="Times New Roman"/>
                    <w:szCs w:val="21"/>
                  </w:rPr>
                </w:pPr>
                <w:r>
                  <w:rPr>
                    <w:rFonts w:ascii="Times New Roman" w:hAnsi="Times New Roman" w:cs="Times New Roman"/>
                  </w:rPr>
                  <w:t>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rPr>
                  <w:rFonts w:ascii="Times New Roman" w:hAnsi="Times New Roman" w:cs="Times New Roman"/>
                </w:rPr>
                <w:tag w:val="_PLD_0c801028e0c34a608ece543a5b7f6c06"/>
                <w:id w:val="865722824"/>
                <w:lock w:val="sdtLocked"/>
              </w:sdtPr>
              <w:sdtEndPr>
                <w:rPr>
                  <w:rFonts w:ascii="Times New Roman" w:hAnsi="Times New Roman" w:cs="Times New Roman"/>
                </w:rPr>
              </w:sdtEndPr>
              <w:sdtContent>
                <w:tc>
                  <w:tcPr>
                    <w:tcW w:w="2500" w:type="pct"/>
                  </w:tcPr>
                  <w:p>
                    <w:pPr>
                      <w:widowControl w:val="0"/>
                      <w:jc w:val="both"/>
                      <w:rPr>
                        <w:rFonts w:ascii="Times New Roman" w:hAnsi="Times New Roman" w:cs="Times New Roman"/>
                        <w:szCs w:val="21"/>
                      </w:rPr>
                    </w:pPr>
                    <w:r>
                      <w:rPr>
                        <w:rFonts w:ascii="Times New Roman" w:cs="Times New Roman"/>
                        <w:szCs w:val="21"/>
                      </w:rPr>
                      <w:t>在职员工的数量合计</w:t>
                    </w:r>
                  </w:p>
                </w:tc>
              </w:sdtContent>
            </w:sdt>
            <w:tc>
              <w:tcPr>
                <w:tcW w:w="2500" w:type="pct"/>
              </w:tcPr>
              <w:p>
                <w:pPr>
                  <w:widowControl w:val="0"/>
                  <w:jc w:val="right"/>
                  <w:rPr>
                    <w:rFonts w:ascii="Times New Roman" w:hAnsi="Times New Roman" w:cs="Times New Roman"/>
                    <w:szCs w:val="21"/>
                  </w:rPr>
                </w:pPr>
                <w:r>
                  <w:rPr>
                    <w:rFonts w:ascii="Times New Roman" w:hAnsi="Times New Roman" w:cs="Times New Roman"/>
                  </w:rPr>
                  <w:t>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rPr>
                  <w:rFonts w:ascii="Times New Roman" w:hAnsi="Times New Roman" w:cs="Times New Roman"/>
                </w:rPr>
                <w:tag w:val="_PLD_96091286c8814973a5e516d058b61b70"/>
                <w:id w:val="865722825"/>
                <w:lock w:val="sdtLocked"/>
              </w:sdtPr>
              <w:sdtEndPr>
                <w:rPr>
                  <w:rFonts w:ascii="Times New Roman" w:hAnsi="Times New Roman" w:cs="Times New Roman"/>
                </w:rPr>
              </w:sdtEndPr>
              <w:sdtContent>
                <w:tc>
                  <w:tcPr>
                    <w:tcW w:w="2500" w:type="pct"/>
                  </w:tcPr>
                  <w:p>
                    <w:pPr>
                      <w:widowControl w:val="0"/>
                      <w:jc w:val="both"/>
                      <w:rPr>
                        <w:rFonts w:ascii="Times New Roman" w:hAnsi="Times New Roman" w:cs="Times New Roman"/>
                        <w:szCs w:val="21"/>
                      </w:rPr>
                    </w:pPr>
                    <w:r>
                      <w:rPr>
                        <w:rFonts w:ascii="Times New Roman" w:cs="Times New Roman"/>
                        <w:szCs w:val="21"/>
                      </w:rPr>
                      <w:t>母公司及主要子公司需承担费用的离退休职工人数</w:t>
                    </w:r>
                  </w:p>
                </w:tc>
              </w:sdtContent>
            </w:sdt>
            <w:tc>
              <w:tcPr>
                <w:tcW w:w="2500" w:type="pct"/>
              </w:tcPr>
              <w:p>
                <w:pPr>
                  <w:widowControl w:val="0"/>
                  <w:jc w:val="right"/>
                  <w:rPr>
                    <w:rFonts w:ascii="Times New Roman" w:hAnsi="Times New Roman" w:cs="Times New Roman"/>
                    <w:szCs w:val="21"/>
                  </w:rPr>
                </w:pPr>
                <w:r>
                  <w:rPr>
                    <w:rFonts w:ascii="Times New Roman" w:hAnsi="Times New Roman" w:cs="Times New Roman"/>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rPr>
                  <w:rFonts w:ascii="Times New Roman" w:hAnsi="Times New Roman" w:cs="Times New Roman"/>
                </w:rPr>
                <w:tag w:val="_PLD_f37d0297c6bb44dea272632ad4d910e4"/>
                <w:id w:val="865722826"/>
                <w:lock w:val="sdtLocked"/>
              </w:sdtPr>
              <w:sdtEndPr>
                <w:rPr>
                  <w:rFonts w:ascii="Times New Roman" w:hAnsi="Times New Roman" w:cs="Times New Roman"/>
                </w:rPr>
              </w:sdtEndPr>
              <w:sdtContent>
                <w:tc>
                  <w:tcPr>
                    <w:tcW w:w="5000" w:type="pct"/>
                    <w:gridSpan w:val="2"/>
                    <w:vAlign w:val="center"/>
                  </w:tcPr>
                  <w:p>
                    <w:pPr>
                      <w:widowControl w:val="0"/>
                      <w:jc w:val="center"/>
                      <w:rPr>
                        <w:rFonts w:ascii="Times New Roman" w:hAnsi="Times New Roman" w:cs="Times New Roman"/>
                        <w:szCs w:val="21"/>
                      </w:rPr>
                    </w:pPr>
                    <w:r>
                      <w:rPr>
                        <w:rFonts w:ascii="Times New Roman" w:cs="Times New Roman"/>
                        <w:szCs w:val="21"/>
                      </w:rPr>
                      <w:t>专业构成</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rPr>
                  <w:rFonts w:ascii="Times New Roman" w:hAnsi="Times New Roman" w:cs="Times New Roman"/>
                </w:rPr>
                <w:tag w:val="_PLD_90bef974c0c14508b11a7e84e6f364c5"/>
                <w:id w:val="865722827"/>
                <w:lock w:val="sdtLocked"/>
              </w:sdtPr>
              <w:sdtEndPr>
                <w:rPr>
                  <w:rFonts w:ascii="Times New Roman" w:hAnsi="Times New Roman" w:cs="Times New Roman"/>
                </w:rPr>
              </w:sdtEndPr>
              <w:sdtContent>
                <w:tc>
                  <w:tcPr>
                    <w:tcW w:w="2500" w:type="pct"/>
                  </w:tcPr>
                  <w:p>
                    <w:pPr>
                      <w:widowControl w:val="0"/>
                      <w:jc w:val="center"/>
                      <w:rPr>
                        <w:rFonts w:ascii="Times New Roman" w:hAnsi="Times New Roman" w:cs="Times New Roman"/>
                        <w:szCs w:val="21"/>
                      </w:rPr>
                    </w:pPr>
                    <w:r>
                      <w:rPr>
                        <w:rFonts w:ascii="Times New Roman" w:cs="Times New Roman"/>
                        <w:szCs w:val="21"/>
                      </w:rPr>
                      <w:t>专业构成类别</w:t>
                    </w:r>
                  </w:p>
                </w:tc>
              </w:sdtContent>
            </w:sdt>
            <w:sdt>
              <w:sdtPr>
                <w:rPr>
                  <w:rFonts w:ascii="Times New Roman" w:hAnsi="Times New Roman" w:cs="Times New Roman"/>
                </w:rPr>
                <w:tag w:val="_PLD_a5f175a6b2a94ee7a70936fbe5cbc8da"/>
                <w:id w:val="865722828"/>
                <w:lock w:val="sdtLocked"/>
              </w:sdtPr>
              <w:sdtEndPr>
                <w:rPr>
                  <w:rFonts w:ascii="Times New Roman" w:hAnsi="Times New Roman" w:cs="Times New Roman"/>
                </w:rPr>
              </w:sdtEndPr>
              <w:sdtContent>
                <w:tc>
                  <w:tcPr>
                    <w:tcW w:w="2500" w:type="pct"/>
                  </w:tcPr>
                  <w:p>
                    <w:pPr>
                      <w:widowControl w:val="0"/>
                      <w:jc w:val="center"/>
                      <w:rPr>
                        <w:rFonts w:ascii="Times New Roman" w:hAnsi="Times New Roman" w:cs="Times New Roman"/>
                        <w:szCs w:val="21"/>
                      </w:rPr>
                    </w:pPr>
                    <w:r>
                      <w:rPr>
                        <w:rFonts w:ascii="Times New Roman" w:cs="Times New Roman"/>
                        <w:szCs w:val="21"/>
                      </w:rPr>
                      <w:t>专业构成人数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rPr>
                  <w:rFonts w:ascii="Times New Roman" w:hAnsi="Times New Roman" w:cs="Times New Roman"/>
                </w:rPr>
                <w:tag w:val="_PLD_1211e61ed13f4419aa3a033e242010e1"/>
                <w:id w:val="865722829"/>
                <w:lock w:val="sdtLocked"/>
              </w:sdtPr>
              <w:sdtEndPr>
                <w:rPr>
                  <w:rFonts w:ascii="Times New Roman" w:hAnsi="Times New Roman" w:cs="Times New Roman"/>
                </w:rPr>
              </w:sdtEndPr>
              <w:sdtContent>
                <w:tc>
                  <w:tcPr>
                    <w:tcW w:w="2500" w:type="pct"/>
                  </w:tcPr>
                  <w:p>
                    <w:pPr>
                      <w:widowControl w:val="0"/>
                      <w:jc w:val="center"/>
                      <w:rPr>
                        <w:rFonts w:ascii="Times New Roman" w:hAnsi="Times New Roman" w:cs="Times New Roman"/>
                        <w:szCs w:val="21"/>
                      </w:rPr>
                    </w:pPr>
                    <w:r>
                      <w:rPr>
                        <w:rFonts w:ascii="Times New Roman" w:cs="Times New Roman"/>
                        <w:szCs w:val="21"/>
                      </w:rPr>
                      <w:t>生产人员</w:t>
                    </w:r>
                  </w:p>
                </w:tc>
              </w:sdtContent>
            </w:sdt>
            <w:tc>
              <w:tcPr>
                <w:tcW w:w="2500" w:type="pct"/>
              </w:tcPr>
              <w:p>
                <w:pPr>
                  <w:widowControl w:val="0"/>
                  <w:jc w:val="right"/>
                  <w:rPr>
                    <w:rFonts w:ascii="Times New Roman" w:hAnsi="Times New Roman" w:cs="Times New Roman"/>
                    <w:szCs w:val="21"/>
                  </w:rPr>
                </w:pPr>
                <w:r>
                  <w:rPr>
                    <w:rFonts w:ascii="Times New Roman" w:hAnsi="Times New Roman" w:cs="Times New Roman"/>
                  </w:rPr>
                  <w:t>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rPr>
                  <w:rFonts w:ascii="Times New Roman" w:hAnsi="Times New Roman" w:cs="Times New Roman"/>
                </w:rPr>
                <w:tag w:val="_PLD_c5901b0003b4463e975376710b547c94"/>
                <w:id w:val="865722830"/>
                <w:lock w:val="sdtLocked"/>
              </w:sdtPr>
              <w:sdtEndPr>
                <w:rPr>
                  <w:rFonts w:ascii="Times New Roman" w:hAnsi="Times New Roman" w:cs="Times New Roman"/>
                </w:rPr>
              </w:sdtEndPr>
              <w:sdtContent>
                <w:tc>
                  <w:tcPr>
                    <w:tcW w:w="2500" w:type="pct"/>
                  </w:tcPr>
                  <w:p>
                    <w:pPr>
                      <w:widowControl w:val="0"/>
                      <w:jc w:val="center"/>
                      <w:rPr>
                        <w:rFonts w:ascii="Times New Roman" w:hAnsi="Times New Roman" w:cs="Times New Roman"/>
                        <w:szCs w:val="21"/>
                      </w:rPr>
                    </w:pPr>
                    <w:r>
                      <w:rPr>
                        <w:rFonts w:ascii="Times New Roman" w:cs="Times New Roman"/>
                        <w:szCs w:val="21"/>
                      </w:rPr>
                      <w:t>销售人员</w:t>
                    </w:r>
                  </w:p>
                </w:tc>
              </w:sdtContent>
            </w:sdt>
            <w:tc>
              <w:tcPr>
                <w:tcW w:w="2500" w:type="pct"/>
              </w:tcPr>
              <w:p>
                <w:pPr>
                  <w:widowControl w:val="0"/>
                  <w:jc w:val="right"/>
                  <w:rPr>
                    <w:rFonts w:ascii="Times New Roman" w:hAnsi="Times New Roman" w:cs="Times New Roman"/>
                    <w:szCs w:val="21"/>
                  </w:rPr>
                </w:pPr>
                <w:r>
                  <w:rPr>
                    <w:rFonts w:ascii="Times New Roman" w:hAnsi="Times New Roman" w:cs="Times New Roma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500" w:type="pct"/>
              </w:tcPr>
              <w:p>
                <w:pPr>
                  <w:widowControl w:val="0"/>
                  <w:jc w:val="center"/>
                  <w:rPr>
                    <w:rFonts w:ascii="Times New Roman" w:hAnsi="Times New Roman" w:cs="Times New Roman"/>
                    <w:szCs w:val="21"/>
                  </w:rPr>
                </w:pPr>
                <w:sdt>
                  <w:sdtPr>
                    <w:rPr>
                      <w:rFonts w:ascii="Times New Roman" w:hAnsi="Times New Roman" w:cs="Times New Roman"/>
                    </w:rPr>
                    <w:tag w:val="_PLD_1372bdc81c204039a05faeb9d394c7b5"/>
                    <w:id w:val="865722831"/>
                    <w:lock w:val="sdtLocked"/>
                  </w:sdtPr>
                  <w:sdtEndPr>
                    <w:rPr>
                      <w:rFonts w:ascii="Times New Roman" w:hAnsi="Times New Roman" w:cs="Times New Roman"/>
                    </w:rPr>
                  </w:sdtEndPr>
                  <w:sdtContent>
                    <w:r>
                      <w:rPr>
                        <w:rFonts w:ascii="Times New Roman" w:cs="Times New Roman"/>
                        <w:szCs w:val="21"/>
                      </w:rPr>
                      <w:t>技术人员</w:t>
                    </w:r>
                  </w:sdtContent>
                </w:sdt>
              </w:p>
            </w:tc>
            <w:tc>
              <w:tcPr>
                <w:tcW w:w="2500" w:type="pct"/>
              </w:tcPr>
              <w:p>
                <w:pPr>
                  <w:widowControl w:val="0"/>
                  <w:jc w:val="right"/>
                  <w:rPr>
                    <w:rFonts w:ascii="Times New Roman" w:hAnsi="Times New Roman" w:cs="Times New Roman"/>
                    <w:szCs w:val="21"/>
                  </w:rPr>
                </w:pPr>
                <w:r>
                  <w:rPr>
                    <w:rFonts w:ascii="Times New Roman" w:hAnsi="Times New Roman" w:cs="Times New Roma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rPr>
                  <w:rFonts w:ascii="Times New Roman" w:hAnsi="Times New Roman" w:cs="Times New Roman"/>
                </w:rPr>
                <w:tag w:val="_PLD_73ca450ca9d44f779a00982e68093c1a"/>
                <w:id w:val="865722832"/>
                <w:lock w:val="sdtLocked"/>
              </w:sdtPr>
              <w:sdtEndPr>
                <w:rPr>
                  <w:rFonts w:ascii="Times New Roman" w:hAnsi="Times New Roman" w:cs="Times New Roman"/>
                </w:rPr>
              </w:sdtEndPr>
              <w:sdtContent>
                <w:tc>
                  <w:tcPr>
                    <w:tcW w:w="2500" w:type="pct"/>
                  </w:tcPr>
                  <w:p>
                    <w:pPr>
                      <w:widowControl w:val="0"/>
                      <w:jc w:val="center"/>
                      <w:rPr>
                        <w:rFonts w:ascii="Times New Roman" w:hAnsi="Times New Roman" w:cs="Times New Roman"/>
                        <w:szCs w:val="21"/>
                      </w:rPr>
                    </w:pPr>
                    <w:r>
                      <w:rPr>
                        <w:rFonts w:ascii="Times New Roman" w:cs="Times New Roman"/>
                        <w:szCs w:val="21"/>
                      </w:rPr>
                      <w:t>财务人员</w:t>
                    </w:r>
                  </w:p>
                </w:tc>
              </w:sdtContent>
            </w:sdt>
            <w:tc>
              <w:tcPr>
                <w:tcW w:w="2500" w:type="pct"/>
              </w:tcPr>
              <w:p>
                <w:pPr>
                  <w:widowControl w:val="0"/>
                  <w:jc w:val="right"/>
                  <w:rPr>
                    <w:rFonts w:ascii="Times New Roman" w:hAnsi="Times New Roman" w:cs="Times New Roman"/>
                    <w:szCs w:val="21"/>
                  </w:rPr>
                </w:pPr>
                <w:r>
                  <w:rPr>
                    <w:rFonts w:ascii="Times New Roman" w:hAnsi="Times New Roman" w:cs="Times New Roma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ascii="Times New Roman" w:hAnsi="Times New Roman" w:cs="Times New Roman"/>
                </w:rPr>
                <w:tag w:val="_PLD_170f6f06c6094bbea195f7ab0feae660"/>
                <w:id w:val="865722833"/>
                <w:lock w:val="sdtLocked"/>
              </w:sdtPr>
              <w:sdtEndPr>
                <w:rPr>
                  <w:rFonts w:ascii="Times New Roman" w:hAnsi="Times New Roman" w:cs="Times New Roman"/>
                </w:rPr>
              </w:sdtEndPr>
              <w:sdtContent>
                <w:tc>
                  <w:tcPr>
                    <w:tcW w:w="2500" w:type="pct"/>
                  </w:tcPr>
                  <w:p>
                    <w:pPr>
                      <w:widowControl w:val="0"/>
                      <w:jc w:val="center"/>
                      <w:rPr>
                        <w:rFonts w:ascii="Times New Roman" w:hAnsi="Times New Roman" w:cs="Times New Roman"/>
                        <w:szCs w:val="21"/>
                      </w:rPr>
                    </w:pPr>
                    <w:r>
                      <w:rPr>
                        <w:rFonts w:ascii="Times New Roman" w:cs="Times New Roman"/>
                        <w:szCs w:val="21"/>
                      </w:rPr>
                      <w:t>行政人员</w:t>
                    </w:r>
                  </w:p>
                </w:tc>
              </w:sdtContent>
            </w:sdt>
            <w:tc>
              <w:tcPr>
                <w:tcW w:w="2500" w:type="pct"/>
              </w:tcPr>
              <w:p>
                <w:pPr>
                  <w:widowControl w:val="0"/>
                  <w:jc w:val="right"/>
                  <w:rPr>
                    <w:rFonts w:ascii="Times New Roman" w:hAnsi="Times New Roman" w:cs="Times New Roman"/>
                    <w:szCs w:val="21"/>
                  </w:rPr>
                </w:pPr>
                <w:r>
                  <w:rPr>
                    <w:rFonts w:ascii="Times New Roman" w:hAnsi="Times New Roman" w:cs="Times New Roman"/>
                  </w:rPr>
                  <w:t>159</w:t>
                </w:r>
              </w:p>
            </w:tc>
          </w:tr>
          <w:sdt>
            <w:sdtPr>
              <w:rPr>
                <w:rFonts w:ascii="Times New Roman" w:hAnsi="Times New Roman" w:cs="Times New Roman" w:eastAsiaTheme="minorEastAsia"/>
                <w:kern w:val="2"/>
                <w:szCs w:val="21"/>
              </w:rPr>
              <w:alias w:val="专业构成情况"/>
              <w:tag w:val="_TUP_5a14d24555134cfe9c335defce45951c"/>
              <w:id w:val="86572283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widowControl w:val="0"/>
                      <w:jc w:val="center"/>
                      <w:rPr>
                        <w:rFonts w:ascii="Times New Roman" w:hAnsi="Times New Roman" w:cs="Times New Roman"/>
                        <w:szCs w:val="21"/>
                      </w:rPr>
                    </w:pPr>
                    <w:r>
                      <w:rPr>
                        <w:rFonts w:ascii="Times New Roman" w:cs="Times New Roman" w:hAnsiTheme="minorHAnsi" w:eastAsiaTheme="minorEastAsia"/>
                        <w:kern w:val="2"/>
                        <w:szCs w:val="21"/>
                      </w:rPr>
                      <w:t>其他</w:t>
                    </w:r>
                  </w:p>
                </w:tc>
                <w:tc>
                  <w:tcPr>
                    <w:tcW w:w="2500" w:type="pct"/>
                  </w:tcPr>
                  <w:p>
                    <w:pPr>
                      <w:widowControl w:val="0"/>
                      <w:jc w:val="right"/>
                      <w:rPr>
                        <w:rFonts w:ascii="Times New Roman" w:hAnsi="Times New Roman" w:cs="Times New Roman"/>
                        <w:szCs w:val="21"/>
                      </w:rPr>
                    </w:pPr>
                    <w:r>
                      <w:rPr>
                        <w:rFonts w:ascii="Times New Roman" w:hAnsi="Times New Roman" w:cs="Times New Roman"/>
                      </w:rPr>
                      <w:t>93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sdt>
              <w:sdtPr>
                <w:rPr>
                  <w:rFonts w:ascii="Times New Roman" w:hAnsi="Times New Roman" w:cs="Times New Roman"/>
                </w:rPr>
                <w:tag w:val="_PLD_444fab2edd394a27a2ae4e60e00a7b1c"/>
                <w:id w:val="865722836"/>
                <w:lock w:val="sdtLocked"/>
              </w:sdtPr>
              <w:sdtEndPr>
                <w:rPr>
                  <w:rFonts w:ascii="Times New Roman" w:hAnsi="Times New Roman" w:cs="Times New Roman"/>
                </w:rPr>
              </w:sdtEndPr>
              <w:sdtContent>
                <w:tc>
                  <w:tcPr>
                    <w:tcW w:w="2500" w:type="pct"/>
                    <w:vAlign w:val="center"/>
                  </w:tcPr>
                  <w:p>
                    <w:pPr>
                      <w:widowControl w:val="0"/>
                      <w:jc w:val="center"/>
                      <w:rPr>
                        <w:rFonts w:ascii="Times New Roman" w:hAnsi="Times New Roman" w:cs="Times New Roman"/>
                        <w:szCs w:val="21"/>
                      </w:rPr>
                    </w:pPr>
                    <w:r>
                      <w:rPr>
                        <w:rFonts w:ascii="Times New Roman" w:cs="Times New Roman"/>
                        <w:szCs w:val="21"/>
                      </w:rPr>
                      <w:t>合计</w:t>
                    </w:r>
                  </w:p>
                </w:tc>
              </w:sdtContent>
            </w:sdt>
            <w:tc>
              <w:tcPr>
                <w:tcW w:w="2500" w:type="pct"/>
              </w:tcPr>
              <w:p>
                <w:pPr>
                  <w:widowControl w:val="0"/>
                  <w:jc w:val="right"/>
                  <w:rPr>
                    <w:rFonts w:ascii="Times New Roman" w:hAnsi="Times New Roman" w:cs="Times New Roman"/>
                    <w:szCs w:val="21"/>
                  </w:rPr>
                </w:pPr>
                <w:r>
                  <w:rPr>
                    <w:rFonts w:ascii="Times New Roman" w:hAnsi="Times New Roman" w:cs="Times New Roman"/>
                    <w:szCs w:val="21"/>
                  </w:rPr>
                  <w:t>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rPr>
                  <w:rFonts w:ascii="Times New Roman" w:hAnsi="Times New Roman" w:cs="Times New Roman"/>
                </w:rPr>
                <w:tag w:val="_PLD_ea58f2d9c900463a8694fdc78940295e"/>
                <w:id w:val="865722837"/>
                <w:lock w:val="sdtLocked"/>
              </w:sdtPr>
              <w:sdtEndPr>
                <w:rPr>
                  <w:rFonts w:ascii="Times New Roman" w:hAnsi="Times New Roman" w:cs="Times New Roman"/>
                </w:rPr>
              </w:sdtEndPr>
              <w:sdtContent>
                <w:tc>
                  <w:tcPr>
                    <w:tcW w:w="5000" w:type="pct"/>
                    <w:gridSpan w:val="2"/>
                    <w:vAlign w:val="center"/>
                  </w:tcPr>
                  <w:p>
                    <w:pPr>
                      <w:widowControl w:val="0"/>
                      <w:jc w:val="center"/>
                      <w:rPr>
                        <w:rFonts w:ascii="Times New Roman" w:hAnsi="Times New Roman" w:cs="Times New Roman"/>
                        <w:szCs w:val="21"/>
                      </w:rPr>
                    </w:pPr>
                    <w:r>
                      <w:rPr>
                        <w:rFonts w:ascii="Times New Roman" w:cs="Times New Roman"/>
                        <w:szCs w:val="21"/>
                      </w:rPr>
                      <w:t>教育程度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rPr>
                  <w:rFonts w:ascii="Times New Roman" w:hAnsi="Times New Roman" w:cs="Times New Roman"/>
                </w:rPr>
                <w:tag w:val="_PLD_92fefeded22c454881177d08c5c97d97"/>
                <w:id w:val="865722838"/>
                <w:lock w:val="sdtLocked"/>
              </w:sdtPr>
              <w:sdtEndPr>
                <w:rPr>
                  <w:rFonts w:ascii="Times New Roman" w:hAnsi="Times New Roman" w:cs="Times New Roman"/>
                </w:rPr>
              </w:sdtEndPr>
              <w:sdtContent>
                <w:tc>
                  <w:tcPr>
                    <w:tcW w:w="2500" w:type="pct"/>
                  </w:tcPr>
                  <w:p>
                    <w:pPr>
                      <w:widowControl w:val="0"/>
                      <w:jc w:val="center"/>
                      <w:rPr>
                        <w:rFonts w:ascii="Times New Roman" w:hAnsi="Times New Roman" w:cs="Times New Roman"/>
                        <w:szCs w:val="21"/>
                      </w:rPr>
                    </w:pPr>
                    <w:r>
                      <w:rPr>
                        <w:rFonts w:ascii="Times New Roman" w:cs="Times New Roman"/>
                        <w:szCs w:val="21"/>
                      </w:rPr>
                      <w:t>教育程度类别</w:t>
                    </w:r>
                  </w:p>
                </w:tc>
              </w:sdtContent>
            </w:sdt>
            <w:sdt>
              <w:sdtPr>
                <w:rPr>
                  <w:rFonts w:ascii="Times New Roman" w:hAnsi="Times New Roman" w:cs="Times New Roman"/>
                </w:rPr>
                <w:tag w:val="_PLD_2a8ff2c52daa4348bedf7a0e6951a5c6"/>
                <w:id w:val="865722839"/>
                <w:lock w:val="sdtLocked"/>
              </w:sdtPr>
              <w:sdtEndPr>
                <w:rPr>
                  <w:rFonts w:ascii="Times New Roman" w:hAnsi="Times New Roman" w:cs="Times New Roman"/>
                </w:rPr>
              </w:sdtEndPr>
              <w:sdtContent>
                <w:tc>
                  <w:tcPr>
                    <w:tcW w:w="2500" w:type="pct"/>
                  </w:tcPr>
                  <w:p>
                    <w:pPr>
                      <w:widowControl w:val="0"/>
                      <w:jc w:val="center"/>
                      <w:rPr>
                        <w:rFonts w:ascii="Times New Roman" w:hAnsi="Times New Roman" w:cs="Times New Roman"/>
                        <w:szCs w:val="21"/>
                      </w:rPr>
                    </w:pPr>
                    <w:r>
                      <w:rPr>
                        <w:rFonts w:ascii="Times New Roman" w:cs="Times New Roman"/>
                        <w:szCs w:val="21"/>
                      </w:rPr>
                      <w:t>数量（人）</w:t>
                    </w:r>
                  </w:p>
                </w:tc>
              </w:sdtContent>
            </w:sdt>
          </w:tr>
          <w:sdt>
            <w:sdtPr>
              <w:rPr>
                <w:rFonts w:ascii="Times New Roman" w:hAnsi="Times New Roman" w:cs="Times New Roman" w:eastAsiaTheme="minorEastAsia"/>
                <w:kern w:val="2"/>
                <w:szCs w:val="21"/>
              </w:rPr>
              <w:alias w:val="教育程度情况"/>
              <w:tag w:val="_TUP_d33fb3128ec34d1f9cad1b906c578434"/>
              <w:id w:val="865722840"/>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widowControl w:val="0"/>
                      <w:jc w:val="center"/>
                      <w:rPr>
                        <w:rFonts w:ascii="Times New Roman" w:hAnsi="Times New Roman" w:cs="Times New Roman"/>
                        <w:szCs w:val="21"/>
                      </w:rPr>
                    </w:pPr>
                    <w:r>
                      <w:rPr>
                        <w:rFonts w:ascii="Times New Roman" w:cs="Times New Roman"/>
                      </w:rPr>
                      <w:t>研究生及以上学历</w:t>
                    </w:r>
                  </w:p>
                </w:tc>
                <w:tc>
                  <w:tcPr>
                    <w:tcW w:w="2500" w:type="pct"/>
                  </w:tcPr>
                  <w:p>
                    <w:pPr>
                      <w:widowControl w:val="0"/>
                      <w:jc w:val="right"/>
                      <w:rPr>
                        <w:rFonts w:ascii="Times New Roman" w:hAnsi="Times New Roman" w:cs="Times New Roman"/>
                        <w:szCs w:val="21"/>
                      </w:rPr>
                    </w:pPr>
                    <w:r>
                      <w:rPr>
                        <w:rFonts w:ascii="Times New Roman" w:hAnsi="Times New Roman" w:cs="Times New Roman"/>
                      </w:rPr>
                      <w:t>31</w:t>
                    </w:r>
                  </w:p>
                </w:tc>
              </w:tr>
            </w:sdtContent>
          </w:sdt>
          <w:sdt>
            <w:sdtPr>
              <w:rPr>
                <w:rFonts w:ascii="Times New Roman" w:hAnsi="Times New Roman" w:cs="Times New Roman" w:eastAsiaTheme="minorEastAsia"/>
                <w:kern w:val="2"/>
                <w:szCs w:val="21"/>
              </w:rPr>
              <w:alias w:val="教育程度情况"/>
              <w:tag w:val="_TUP_d33fb3128ec34d1f9cad1b906c578434"/>
              <w:id w:val="865722841"/>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widowControl w:val="0"/>
                      <w:jc w:val="center"/>
                      <w:rPr>
                        <w:rFonts w:ascii="Times New Roman" w:hAnsi="Times New Roman" w:cs="Times New Roman"/>
                        <w:szCs w:val="21"/>
                      </w:rPr>
                    </w:pPr>
                    <w:r>
                      <w:rPr>
                        <w:rFonts w:ascii="Times New Roman" w:cs="Times New Roman"/>
                      </w:rPr>
                      <w:t>大学本科</w:t>
                    </w:r>
                  </w:p>
                </w:tc>
                <w:tc>
                  <w:tcPr>
                    <w:tcW w:w="2500" w:type="pct"/>
                  </w:tcPr>
                  <w:p>
                    <w:pPr>
                      <w:widowControl w:val="0"/>
                      <w:jc w:val="right"/>
                      <w:rPr>
                        <w:rFonts w:ascii="Times New Roman" w:hAnsi="Times New Roman" w:cs="Times New Roman"/>
                        <w:szCs w:val="21"/>
                      </w:rPr>
                    </w:pPr>
                    <w:r>
                      <w:rPr>
                        <w:rFonts w:ascii="Times New Roman" w:hAnsi="Times New Roman" w:cs="Times New Roman"/>
                      </w:rPr>
                      <w:t>292</w:t>
                    </w:r>
                  </w:p>
                </w:tc>
              </w:tr>
            </w:sdtContent>
          </w:sdt>
          <w:sdt>
            <w:sdtPr>
              <w:rPr>
                <w:rFonts w:ascii="Times New Roman" w:hAnsi="Times New Roman" w:cs="Times New Roman" w:eastAsiaTheme="minorEastAsia"/>
                <w:kern w:val="2"/>
                <w:szCs w:val="21"/>
              </w:rPr>
              <w:alias w:val="教育程度情况"/>
              <w:tag w:val="_TUP_d33fb3128ec34d1f9cad1b906c578434"/>
              <w:id w:val="86572284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widowControl w:val="0"/>
                      <w:jc w:val="center"/>
                      <w:rPr>
                        <w:rFonts w:ascii="Times New Roman" w:hAnsi="Times New Roman" w:cs="Times New Roman" w:eastAsiaTheme="minorEastAsia"/>
                        <w:kern w:val="2"/>
                        <w:szCs w:val="21"/>
                      </w:rPr>
                    </w:pPr>
                    <w:r>
                      <w:rPr>
                        <w:rFonts w:ascii="Times New Roman" w:cs="Times New Roman"/>
                      </w:rPr>
                      <w:t>专科</w:t>
                    </w:r>
                  </w:p>
                </w:tc>
                <w:tc>
                  <w:tcPr>
                    <w:tcW w:w="2500" w:type="pct"/>
                  </w:tcPr>
                  <w:p>
                    <w:pPr>
                      <w:widowControl w:val="0"/>
                      <w:jc w:val="right"/>
                      <w:rPr>
                        <w:rFonts w:ascii="Times New Roman" w:hAnsi="Times New Roman" w:cs="Times New Roman" w:eastAsiaTheme="minorEastAsia"/>
                        <w:kern w:val="2"/>
                        <w:szCs w:val="21"/>
                      </w:rPr>
                    </w:pPr>
                    <w:r>
                      <w:rPr>
                        <w:rFonts w:ascii="Times New Roman" w:hAnsi="Times New Roman" w:cs="Times New Roman"/>
                      </w:rPr>
                      <w:t>267</w:t>
                    </w:r>
                  </w:p>
                </w:tc>
              </w:tr>
            </w:sdtContent>
          </w:sdt>
          <w:sdt>
            <w:sdtPr>
              <w:rPr>
                <w:rFonts w:ascii="Times New Roman" w:hAnsi="Times New Roman" w:cs="Times New Roman" w:eastAsiaTheme="minorEastAsia"/>
                <w:kern w:val="2"/>
                <w:szCs w:val="21"/>
              </w:rPr>
              <w:alias w:val="教育程度情况"/>
              <w:tag w:val="_TUP_d33fb3128ec34d1f9cad1b906c578434"/>
              <w:id w:val="865722843"/>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widowControl w:val="0"/>
                      <w:jc w:val="center"/>
                      <w:rPr>
                        <w:rFonts w:ascii="Times New Roman" w:hAnsi="Times New Roman" w:cs="Times New Roman" w:eastAsiaTheme="minorEastAsia"/>
                        <w:kern w:val="2"/>
                        <w:szCs w:val="21"/>
                      </w:rPr>
                    </w:pPr>
                    <w:r>
                      <w:rPr>
                        <w:rFonts w:ascii="Times New Roman" w:cs="Times New Roman"/>
                      </w:rPr>
                      <w:t>高中、中专、或技校</w:t>
                    </w:r>
                  </w:p>
                </w:tc>
                <w:tc>
                  <w:tcPr>
                    <w:tcW w:w="2500" w:type="pct"/>
                  </w:tcPr>
                  <w:p>
                    <w:pPr>
                      <w:widowControl w:val="0"/>
                      <w:jc w:val="right"/>
                      <w:rPr>
                        <w:rFonts w:ascii="Times New Roman" w:hAnsi="Times New Roman" w:cs="Times New Roman" w:eastAsiaTheme="minorEastAsia"/>
                        <w:kern w:val="2"/>
                        <w:szCs w:val="21"/>
                      </w:rPr>
                    </w:pPr>
                    <w:r>
                      <w:rPr>
                        <w:rFonts w:ascii="Times New Roman" w:hAnsi="Times New Roman" w:cs="Times New Roman"/>
                      </w:rPr>
                      <w:t>509</w:t>
                    </w:r>
                  </w:p>
                </w:tc>
              </w:tr>
            </w:sdtContent>
          </w:sdt>
          <w:sdt>
            <w:sdtPr>
              <w:rPr>
                <w:rFonts w:ascii="Times New Roman" w:hAnsi="Times New Roman" w:cs="Times New Roman" w:eastAsiaTheme="minorEastAsia"/>
                <w:kern w:val="2"/>
                <w:szCs w:val="21"/>
              </w:rPr>
              <w:alias w:val="教育程度情况"/>
              <w:tag w:val="_TUP_d33fb3128ec34d1f9cad1b906c578434"/>
              <w:id w:val="86572284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widowControl w:val="0"/>
                      <w:jc w:val="center"/>
                      <w:rPr>
                        <w:rFonts w:ascii="Times New Roman" w:hAnsi="Times New Roman" w:cs="Times New Roman" w:eastAsiaTheme="minorEastAsia"/>
                        <w:kern w:val="2"/>
                        <w:szCs w:val="21"/>
                      </w:rPr>
                    </w:pPr>
                    <w:r>
                      <w:rPr>
                        <w:rFonts w:ascii="Times New Roman" w:cs="Times New Roman"/>
                      </w:rPr>
                      <w:t>初中及以下</w:t>
                    </w:r>
                  </w:p>
                </w:tc>
                <w:tc>
                  <w:tcPr>
                    <w:tcW w:w="2500" w:type="pct"/>
                  </w:tcPr>
                  <w:p>
                    <w:pPr>
                      <w:widowControl w:val="0"/>
                      <w:jc w:val="right"/>
                      <w:rPr>
                        <w:rFonts w:ascii="Times New Roman" w:hAnsi="Times New Roman" w:cs="Times New Roman" w:eastAsiaTheme="minorEastAsia"/>
                        <w:kern w:val="2"/>
                        <w:szCs w:val="21"/>
                      </w:rPr>
                    </w:pPr>
                    <w:r>
                      <w:rPr>
                        <w:rFonts w:ascii="Times New Roman" w:hAnsi="Times New Roman" w:cs="Times New Roman"/>
                      </w:rPr>
                      <w:t>410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ascii="Times New Roman" w:hAnsi="Times New Roman" w:cs="Times New Roman"/>
                </w:rPr>
                <w:tag w:val="_PLD_a4cb3dc76cbd4d74a5016891eb342b45"/>
                <w:id w:val="865722847"/>
                <w:lock w:val="sdtLocked"/>
              </w:sdtPr>
              <w:sdtEndPr>
                <w:rPr>
                  <w:rFonts w:ascii="Times New Roman" w:hAnsi="Times New Roman" w:cs="Times New Roman"/>
                </w:rPr>
              </w:sdtEndPr>
              <w:sdtContent>
                <w:tc>
                  <w:tcPr>
                    <w:tcW w:w="2500" w:type="pct"/>
                    <w:tcBorders>
                      <w:bottom w:val="single" w:color="auto" w:sz="4" w:space="0"/>
                    </w:tcBorders>
                    <w:vAlign w:val="center"/>
                  </w:tcPr>
                  <w:p>
                    <w:pPr>
                      <w:widowControl w:val="0"/>
                      <w:jc w:val="center"/>
                      <w:rPr>
                        <w:rFonts w:ascii="Times New Roman" w:hAnsi="Times New Roman" w:cs="Times New Roman"/>
                        <w:szCs w:val="21"/>
                      </w:rPr>
                    </w:pPr>
                    <w:r>
                      <w:rPr>
                        <w:rFonts w:ascii="Times New Roman" w:cs="Times New Roman"/>
                        <w:szCs w:val="21"/>
                      </w:rPr>
                      <w:t>合计</w:t>
                    </w:r>
                  </w:p>
                </w:tc>
              </w:sdtContent>
            </w:sdt>
            <w:tc>
              <w:tcPr>
                <w:tcW w:w="2500" w:type="pct"/>
                <w:tcBorders>
                  <w:bottom w:val="single" w:color="auto" w:sz="4" w:space="0"/>
                </w:tcBorders>
              </w:tcPr>
              <w:p>
                <w:pPr>
                  <w:widowControl w:val="0"/>
                  <w:jc w:val="right"/>
                  <w:rPr>
                    <w:rFonts w:ascii="Times New Roman" w:hAnsi="Times New Roman" w:cs="Times New Roman"/>
                    <w:szCs w:val="21"/>
                  </w:rPr>
                </w:pPr>
                <w:r>
                  <w:rPr>
                    <w:rFonts w:ascii="Times New Roman" w:hAnsi="Times New Roman" w:cs="Times New Roman"/>
                    <w:szCs w:val="21"/>
                  </w:rPr>
                  <w:t>1,509</w:t>
                </w:r>
              </w:p>
            </w:tc>
          </w:tr>
        </w:tbl>
        <w:p>
          <w:pPr>
            <w:ind w:firstLine="424" w:firstLineChars="202"/>
          </w:pPr>
          <w:r>
            <w:rPr>
              <w:rFonts w:ascii="Times New Roman"/>
              <w:szCs w:val="21"/>
            </w:rPr>
            <w:t>说明：公司总人数为母公司及所有子公司合计。</w:t>
          </w:r>
        </w:p>
        <w:p>
          <w:pPr>
            <w:rPr>
              <w:szCs w:val="21"/>
            </w:rPr>
          </w:pPr>
        </w:p>
      </w:sdtContent>
    </w:sdt>
    <w:bookmarkEnd w:id="50"/>
    <w:sdt>
      <w:sdtPr>
        <w:rPr>
          <w:rFonts w:ascii="宋体" w:hAnsi="宋体" w:cs="宋体"/>
          <w:b w:val="0"/>
          <w:bCs w:val="0"/>
          <w:kern w:val="0"/>
          <w:szCs w:val="24"/>
        </w:rPr>
        <w:alias w:val="模块:薪酬政策"/>
        <w:tag w:val="_SEC_fc732f9b506646da9d52a592974e5004"/>
        <w:id w:val="865722851"/>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26"/>
            </w:numPr>
            <w:rPr>
              <w:szCs w:val="21"/>
            </w:rPr>
          </w:pPr>
          <w:r>
            <w:t>薪</w:t>
          </w:r>
          <w:r>
            <w:rPr>
              <w:szCs w:val="21"/>
            </w:rPr>
            <w:t>酬政策</w:t>
          </w:r>
        </w:p>
        <w:sdt>
          <w:sdtPr>
            <w:rPr>
              <w:rFonts w:hint="eastAsia"/>
              <w:szCs w:val="21"/>
            </w:rPr>
            <w:alias w:val="是否适用：薪酬政策[双击切换]"/>
            <w:tag w:val="_GBC_13404877597d44c38f554884f31b3123"/>
            <w:id w:val="86572284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865722850"/>
            <w:lock w:val="sdtLocked"/>
            <w:placeholder>
              <w:docPart w:val="GBC22222222222222222222222222222"/>
            </w:placeholder>
          </w:sdtPr>
          <w:sdtEndPr>
            <w:rPr>
              <w:rFonts w:hint="eastAsia"/>
              <w:szCs w:val="21"/>
            </w:rPr>
          </w:sdtEndPr>
          <w:sdtContent>
            <w:p>
              <w:pPr>
                <w:spacing w:line="400" w:lineRule="exact"/>
                <w:ind w:firstLine="420" w:firstLineChars="200"/>
                <w:rPr>
                  <w:szCs w:val="21"/>
                </w:rPr>
              </w:pPr>
              <w:r>
                <w:rPr>
                  <w:rFonts w:hint="eastAsia"/>
                </w:rPr>
                <w:t>公司围绕“适应市场环境，体现人才价值，发挥激励作用</w:t>
              </w:r>
              <w:r>
                <w:t>”</w:t>
              </w:r>
              <w:r>
                <w:rPr>
                  <w:rFonts w:hint="eastAsia"/>
                </w:rPr>
                <w:t>的原则，规范薪酬管理工作，通过“薪酬体系优化项目”，建立以职位价值评估为基础，宽带薪酬制为主，多种薪酬模式并存的薪酬管理体系，并建立员工绩效考核管理体系，进一步完善公司的激励体系。一是强调“价值导向”，即创造的价值（业绩）越大薪酬越高。二是“宽带薪酬制”更多的是关注员工技能和能力的提高，有利于岗位轮换与员工职业生涯发展，有利于调动员工的积极性、创造，也有利于公司干部人才队伍建设。</w:t>
              </w:r>
            </w:p>
          </w:sdtContent>
        </w:sdt>
      </w:sdtContent>
    </w:sdt>
    <w:p>
      <w:pPr>
        <w:rPr>
          <w:szCs w:val="21"/>
        </w:rPr>
      </w:pPr>
    </w:p>
    <w:sdt>
      <w:sdtPr>
        <w:rPr>
          <w:rFonts w:ascii="宋体" w:hAnsi="宋体" w:cs="宋体"/>
          <w:b w:val="0"/>
          <w:bCs w:val="0"/>
          <w:kern w:val="0"/>
          <w:szCs w:val="21"/>
        </w:rPr>
        <w:alias w:val="模块:培训计划"/>
        <w:tag w:val="_SEC_e8ed83989c604c839daf59b1ac5b558c"/>
        <w:id w:val="86572285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26"/>
            </w:numPr>
            <w:rPr>
              <w:szCs w:val="21"/>
            </w:rPr>
          </w:pPr>
          <w:r>
            <w:rPr>
              <w:szCs w:val="21"/>
            </w:rPr>
            <w:t>培训计划</w:t>
          </w:r>
        </w:p>
        <w:sdt>
          <w:sdtPr>
            <w:rPr>
              <w:rFonts w:hint="eastAsia"/>
              <w:szCs w:val="21"/>
            </w:rPr>
            <w:alias w:val="是否适用：培训计划[双击切换]"/>
            <w:tag w:val="_GBC_123cfa2c006d4970ae10b316c2c1f95a"/>
            <w:id w:val="86572285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865722853"/>
            <w:lock w:val="sdtLocked"/>
            <w:placeholder>
              <w:docPart w:val="GBC22222222222222222222222222222"/>
            </w:placeholder>
          </w:sdtPr>
          <w:sdtEndPr>
            <w:rPr>
              <w:rFonts w:hint="eastAsia"/>
              <w:szCs w:val="21"/>
            </w:rPr>
          </w:sdtEndPr>
          <w:sdtContent>
            <w:p>
              <w:pPr>
                <w:spacing w:line="400" w:lineRule="exact"/>
                <w:ind w:firstLine="420" w:firstLineChars="200"/>
                <w:rPr>
                  <w:szCs w:val="21"/>
                </w:rPr>
              </w:pPr>
              <w:r>
                <w:t>围绕公司的运营方针和战略方针，面对更加严峻的外部环境，坚持开展分类别分层级分体系的培训，深入开展企业岗位经验萃取，注重培训的实用性和适用性，着力提高培训效果，创建知识型团队，确保企业人力资源的持续增值；为应对多变的外部环境，加大线上培训比重，提高员工培训覆盖率，为企业经营持续提供可发展型人才储备。</w:t>
              </w:r>
            </w:p>
          </w:sdtContent>
        </w:sdt>
      </w:sdtContent>
    </w:sdt>
    <w:p>
      <w:pPr>
        <w:rPr>
          <w:szCs w:val="21"/>
        </w:rPr>
      </w:pPr>
    </w:p>
    <w:sdt>
      <w:sdtPr>
        <w:rPr>
          <w:rFonts w:ascii="宋体" w:hAnsi="宋体" w:cs="宋体"/>
          <w:b w:val="0"/>
          <w:bCs w:val="0"/>
          <w:kern w:val="0"/>
          <w:szCs w:val="21"/>
        </w:rPr>
        <w:alias w:val="模块:劳务外包情况"/>
        <w:tag w:val="_SEC_0b378851dc554a559cac93a43f7b5a2c"/>
        <w:id w:val="865722859"/>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26"/>
            </w:numPr>
            <w:rPr>
              <w:szCs w:val="21"/>
            </w:rPr>
          </w:pPr>
          <w:r>
            <w:rPr>
              <w:szCs w:val="21"/>
            </w:rPr>
            <w:t>劳务外包情况</w:t>
          </w:r>
        </w:p>
        <w:sdt>
          <w:sdtPr>
            <w:alias w:val="是否适用：劳务外包情况[双击切换]"/>
            <w:tag w:val="_GBC_0682caf48f0d4ff9b0e5259fc3a31660"/>
            <w:id w:val="86572285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sdt>
              <w:sdtPr>
                <w:rPr>
                  <w:rFonts w:ascii="Times New Roman" w:hAnsi="Times New Roman" w:cs="Times New Roman"/>
                </w:rPr>
                <w:tag w:val="_PLD_bcaa703df95b42078e2761f6dbe85d0f"/>
                <w:id w:val="865722856"/>
                <w:lock w:val="sdtLocked"/>
              </w:sdtPr>
              <w:sdtEndPr>
                <w:rPr>
                  <w:rFonts w:ascii="Times New Roman" w:hAnsi="Times New Roman" w:cs="Times New Roman"/>
                </w:rPr>
              </w:sdtEndPr>
              <w:sdtContent>
                <w:tc>
                  <w:tcPr>
                    <w:tcW w:w="2500" w:type="pct"/>
                  </w:tcPr>
                  <w:p>
                    <w:pPr>
                      <w:widowControl w:val="0"/>
                      <w:jc w:val="both"/>
                      <w:rPr>
                        <w:rFonts w:ascii="Times New Roman" w:hAnsi="Times New Roman" w:cs="Times New Roman"/>
                        <w:szCs w:val="21"/>
                      </w:rPr>
                    </w:pPr>
                    <w:r>
                      <w:rPr>
                        <w:rFonts w:ascii="Times New Roman" w:cs="Times New Roman"/>
                        <w:szCs w:val="21"/>
                      </w:rPr>
                      <w:t>劳务外包的工时总数</w:t>
                    </w:r>
                  </w:p>
                </w:tc>
              </w:sdtContent>
            </w:sdt>
            <w:sdt>
              <w:sdtPr>
                <w:rPr>
                  <w:rFonts w:ascii="Times New Roman" w:hAnsi="Times New Roman" w:cs="Times New Roman"/>
                  <w:szCs w:val="21"/>
                </w:rPr>
                <w:alias w:val="劳务外包的工时总数"/>
                <w:tag w:val="_GBC_cb4cbb4ce5064090843735a01bf46add"/>
                <w:id w:val="865722857"/>
                <w:lock w:val="sdtLocked"/>
              </w:sdtPr>
              <w:sdtEndPr>
                <w:rPr>
                  <w:rFonts w:ascii="Times New Roman" w:hAnsi="Times New Roman" w:cs="Times New Roman"/>
                  <w:szCs w:val="21"/>
                </w:rPr>
              </w:sdtEndPr>
              <w:sdtContent>
                <w:tc>
                  <w:tcPr>
                    <w:tcW w:w="2500" w:type="pct"/>
                  </w:tcPr>
                  <w:p>
                    <w:pPr>
                      <w:widowControl w:val="0"/>
                      <w:jc w:val="right"/>
                      <w:rPr>
                        <w:rFonts w:ascii="Times New Roman" w:hAnsi="Times New Roman" w:cs="Times New Roman"/>
                        <w:szCs w:val="21"/>
                      </w:rPr>
                    </w:pPr>
                    <w:r>
                      <w:rPr>
                        <w:rFonts w:ascii="Times New Roman" w:hAnsi="Times New Roman" w:cs="Times New Roman"/>
                        <w:szCs w:val="21"/>
                      </w:rPr>
                      <w:t>693,780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rPr>
                  <w:rFonts w:ascii="Times New Roman" w:hAnsi="Times New Roman" w:cs="Times New Roman"/>
                </w:rPr>
                <w:tag w:val="_PLD_3a0fe6cf1e45463ba238f942513b8033"/>
                <w:id w:val="865722858"/>
                <w:lock w:val="sdtLocked"/>
              </w:sdtPr>
              <w:sdtEndPr>
                <w:rPr>
                  <w:rFonts w:ascii="Times New Roman" w:hAnsi="Times New Roman" w:cs="Times New Roman"/>
                </w:rPr>
              </w:sdtEndPr>
              <w:sdtContent>
                <w:tc>
                  <w:tcPr>
                    <w:tcW w:w="2500" w:type="pct"/>
                  </w:tcPr>
                  <w:p>
                    <w:pPr>
                      <w:widowControl w:val="0"/>
                      <w:jc w:val="both"/>
                      <w:rPr>
                        <w:rFonts w:ascii="Times New Roman" w:hAnsi="Times New Roman" w:cs="Times New Roman"/>
                        <w:szCs w:val="21"/>
                      </w:rPr>
                    </w:pPr>
                    <w:r>
                      <w:rPr>
                        <w:rFonts w:ascii="Times New Roman" w:cs="Times New Roman"/>
                        <w:szCs w:val="21"/>
                      </w:rPr>
                      <w:t>劳务外包支付的报酬总额</w:t>
                    </w:r>
                  </w:p>
                </w:tc>
              </w:sdtContent>
            </w:sdt>
            <w:tc>
              <w:tcPr>
                <w:tcW w:w="2500" w:type="pct"/>
              </w:tcPr>
              <w:p>
                <w:pPr>
                  <w:widowControl w:val="0"/>
                  <w:jc w:val="right"/>
                  <w:rPr>
                    <w:rFonts w:ascii="Times New Roman" w:hAnsi="Times New Roman" w:cs="Times New Roman"/>
                    <w:szCs w:val="21"/>
                  </w:rPr>
                </w:pPr>
                <w:r>
                  <w:rPr>
                    <w:rFonts w:ascii="Times New Roman" w:hAnsi="Times New Roman" w:cs="Times New Roman"/>
                  </w:rPr>
                  <w:t>15,680,060.29</w:t>
                </w:r>
              </w:p>
            </w:tc>
          </w:tr>
        </w:tbl>
        <w:p/>
        <w:p>
          <w:pPr>
            <w:rPr>
              <w:szCs w:val="21"/>
            </w:rPr>
          </w:pPr>
        </w:p>
      </w:sdtContent>
    </w:sdt>
    <w:p>
      <w:pPr>
        <w:pStyle w:val="3"/>
        <w:numPr>
          <w:ilvl w:val="0"/>
          <w:numId w:val="21"/>
        </w:numPr>
        <w:ind w:left="450" w:hanging="450"/>
      </w:pPr>
      <w:r>
        <w:t>利润分配或资本公积金转增预案</w:t>
      </w:r>
    </w:p>
    <w:sdt>
      <w:sdtPr>
        <w:rPr>
          <w:rFonts w:hint="eastAsia" w:ascii="宋体" w:hAnsi="宋体" w:cs="宋体"/>
          <w:b w:val="0"/>
          <w:bCs w:val="0"/>
          <w:kern w:val="0"/>
          <w:szCs w:val="24"/>
        </w:rPr>
        <w:alias w:val="模块:现金分红政策的制定、执行或调整情况"/>
        <w:tag w:val="_SEC_56f603efa27346f7af316ef98db0d157"/>
        <w:id w:val="865722862"/>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2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865722860"/>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865722861"/>
            <w:lock w:val="sdtLocked"/>
            <w:placeholder>
              <w:docPart w:val="GBC22222222222222222222222222222"/>
            </w:placeholder>
          </w:sdtPr>
          <w:sdtContent>
            <w:p>
              <w:pPr>
                <w:spacing w:line="400" w:lineRule="exact"/>
                <w:rPr>
                  <w:rFonts w:ascii="Times New Roman" w:hAnsi="Times New Roman" w:cs="Times New Roman"/>
                  <w:szCs w:val="21"/>
                </w:rPr>
              </w:pPr>
              <w:r>
                <w:rPr>
                  <w:rFonts w:hint="eastAsia" w:ascii="Times New Roman" w:cs="Times New Roman"/>
                  <w:szCs w:val="21"/>
                </w:rPr>
                <w:t>报告期内，公司的现金分红政策未进行调整。</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1.</w:t>
              </w:r>
              <w:r>
                <w:rPr>
                  <w:rFonts w:hint="eastAsia" w:ascii="Times New Roman" w:cs="Times New Roman"/>
                  <w:szCs w:val="21"/>
                </w:rPr>
                <w:t>公司利润分配的决策程序和机制</w:t>
              </w:r>
            </w:p>
            <w:p>
              <w:pPr>
                <w:spacing w:line="400" w:lineRule="exact"/>
                <w:ind w:firstLine="420" w:firstLineChars="200"/>
                <w:rPr>
                  <w:rFonts w:ascii="Times New Roman" w:hAnsi="Times New Roman" w:cs="Times New Roman"/>
                  <w:szCs w:val="21"/>
                </w:rPr>
              </w:pPr>
              <w:r>
                <w:rPr>
                  <w:rFonts w:hint="eastAsia" w:ascii="Times New Roman" w:cs="Times New Roman"/>
                  <w:szCs w:val="21"/>
                </w:rPr>
                <w:t>（</w:t>
              </w:r>
              <w:r>
                <w:rPr>
                  <w:rFonts w:ascii="Times New Roman" w:hAnsi="Times New Roman" w:cs="Times New Roman"/>
                  <w:szCs w:val="21"/>
                </w:rPr>
                <w:t>1</w:t>
              </w:r>
              <w:r>
                <w:rPr>
                  <w:rFonts w:hint="eastAsia" w:ascii="Times New Roman" w:cs="Times New Roman"/>
                  <w:szCs w:val="21"/>
                </w:rPr>
                <w:t>）公司每年的利润分配预案由董事会结合公司盈利情况、资金需求情况制订。在制定现金分红具体方案时，董事会应当认真研究和论证公司现金分红的时机、条件和最低比例、调整的条件及其决策程序要求等事宜，充分听取独立董事的意见。独立董事可以征集中小股东的意见，提出分红提案，并直接提交董事会审议。独立董事应当发表明确的独立意见。</w:t>
              </w:r>
            </w:p>
            <w:p>
              <w:pPr>
                <w:spacing w:line="400" w:lineRule="exact"/>
                <w:ind w:firstLine="420" w:firstLineChars="200"/>
                <w:rPr>
                  <w:rFonts w:ascii="Times New Roman" w:hAnsi="Times New Roman" w:cs="Times New Roman"/>
                  <w:szCs w:val="21"/>
                </w:rPr>
              </w:pPr>
              <w:r>
                <w:rPr>
                  <w:rFonts w:hint="eastAsia" w:ascii="Times New Roman" w:cs="Times New Roman"/>
                  <w:szCs w:val="21"/>
                </w:rPr>
                <w:t>公司当年盈利但董事会未制定现金利润分配预案的，公司应当在年度报告中详细披露并说明未进行现金分红的原因及未用于现金分红的资金留存公司的用途，独立董事应当对此发表独立意见。</w:t>
              </w:r>
            </w:p>
            <w:p>
              <w:pPr>
                <w:spacing w:line="400" w:lineRule="exact"/>
                <w:ind w:firstLine="420" w:firstLineChars="200"/>
                <w:rPr>
                  <w:rFonts w:ascii="Times New Roman" w:hAnsi="Times New Roman" w:cs="Times New Roman"/>
                  <w:szCs w:val="21"/>
                </w:rPr>
              </w:pPr>
              <w:r>
                <w:rPr>
                  <w:rFonts w:hint="eastAsia" w:ascii="Times New Roman" w:cs="Times New Roman"/>
                  <w:szCs w:val="21"/>
                </w:rPr>
                <w:t>（</w:t>
              </w:r>
              <w:r>
                <w:rPr>
                  <w:rFonts w:ascii="Times New Roman" w:hAnsi="Times New Roman" w:cs="Times New Roman"/>
                  <w:szCs w:val="21"/>
                </w:rPr>
                <w:t>2</w:t>
              </w:r>
              <w:r>
                <w:rPr>
                  <w:rFonts w:hint="eastAsia" w:ascii="Times New Roman" w:cs="Times New Roman"/>
                  <w:szCs w:val="21"/>
                </w:rPr>
                <w:t>）董事会审议通过的利润分配方案提交公司股东大会审议。股东大会对现金分红具体方案进行审议时，可通过多种渠道与股东特别是中小股东进行沟通和交流，充分听取中小股东的意见和诉求，并及时答复中小股东关心的问题。</w:t>
              </w:r>
            </w:p>
            <w:p>
              <w:pPr>
                <w:spacing w:line="400" w:lineRule="exact"/>
                <w:ind w:firstLine="420" w:firstLineChars="200"/>
                <w:rPr>
                  <w:rFonts w:ascii="Times New Roman" w:hAnsi="Times New Roman" w:cs="Times New Roman"/>
                  <w:szCs w:val="21"/>
                </w:rPr>
              </w:pPr>
              <w:r>
                <w:rPr>
                  <w:rFonts w:hint="eastAsia" w:ascii="Times New Roman" w:cs="Times New Roman"/>
                  <w:szCs w:val="21"/>
                </w:rPr>
                <w:t>（</w:t>
              </w:r>
              <w:r>
                <w:rPr>
                  <w:rFonts w:ascii="Times New Roman" w:hAnsi="Times New Roman" w:cs="Times New Roman"/>
                  <w:szCs w:val="21"/>
                </w:rPr>
                <w:t>3</w:t>
              </w:r>
              <w:r>
                <w:rPr>
                  <w:rFonts w:hint="eastAsia" w:ascii="Times New Roman" w:cs="Times New Roman"/>
                  <w:szCs w:val="21"/>
                </w:rPr>
                <w:t>）公司股东大会对利润分配方案作出决议后，公司董事会须在股东大会召开后</w:t>
              </w:r>
              <w:r>
                <w:rPr>
                  <w:rFonts w:ascii="Times New Roman" w:hAnsi="Times New Roman" w:cs="Times New Roman"/>
                  <w:szCs w:val="21"/>
                </w:rPr>
                <w:t>2</w:t>
              </w:r>
              <w:r>
                <w:rPr>
                  <w:rFonts w:hint="eastAsia" w:ascii="Times New Roman" w:cs="Times New Roman"/>
                  <w:szCs w:val="21"/>
                </w:rPr>
                <w:t>个月内完成股利（或股份）的派发事项。</w:t>
              </w:r>
            </w:p>
            <w:p>
              <w:pPr>
                <w:spacing w:line="400" w:lineRule="exact"/>
                <w:ind w:firstLine="420" w:firstLineChars="200"/>
                <w:rPr>
                  <w:rFonts w:ascii="Times New Roman" w:hAnsi="Times New Roman" w:cs="Times New Roman"/>
                  <w:szCs w:val="21"/>
                </w:rPr>
              </w:pPr>
              <w:r>
                <w:rPr>
                  <w:rFonts w:hint="eastAsia" w:ascii="Times New Roman" w:cs="Times New Roman"/>
                  <w:szCs w:val="21"/>
                </w:rPr>
                <w:t>（</w:t>
              </w:r>
              <w:r>
                <w:rPr>
                  <w:rFonts w:ascii="Times New Roman" w:hAnsi="Times New Roman" w:cs="Times New Roman"/>
                  <w:szCs w:val="21"/>
                </w:rPr>
                <w:t>4</w:t>
              </w:r>
              <w:r>
                <w:rPr>
                  <w:rFonts w:hint="eastAsia" w:ascii="Times New Roman" w:cs="Times New Roman"/>
                  <w:szCs w:val="21"/>
                </w:rPr>
                <w:t>）公司根据有关法律法规和规范性文件的规定或根据生产经营情况、投资规划及长期发展的需要或者因外部经营环境或自身经营状况发生较大变化，需要调整利润分配政策的，应以股东权益保护为出发点，由董事会拟定利润分配调整政策，并在股东大会提案中详细论证和说明原因，独立董事应当对此发表独立意见。调整后的利润分配政策不得违反中国证监会和上海证券交易所的规定；利润分配政策调整的议案经监事会、董事会审议后再提交股东大会审议批准；对现金分红政策进行调整或者变更的，须以股东大会特别决议审议批准。</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w:t>
              </w:r>
              <w:r>
                <w:rPr>
                  <w:rFonts w:hint="eastAsia" w:ascii="Times New Roman" w:cs="Times New Roman"/>
                  <w:szCs w:val="21"/>
                </w:rPr>
                <w:t>公司利润分配具体政策</w:t>
              </w:r>
            </w:p>
            <w:p>
              <w:pPr>
                <w:spacing w:line="400" w:lineRule="exact"/>
                <w:ind w:firstLine="420" w:firstLineChars="200"/>
                <w:rPr>
                  <w:rFonts w:ascii="Times New Roman" w:hAnsi="Times New Roman" w:cs="Times New Roman"/>
                  <w:szCs w:val="21"/>
                </w:rPr>
              </w:pPr>
              <w:r>
                <w:rPr>
                  <w:rFonts w:hint="eastAsia" w:ascii="Times New Roman" w:cs="Times New Roman"/>
                  <w:szCs w:val="21"/>
                </w:rPr>
                <w:t>（</w:t>
              </w:r>
              <w:r>
                <w:rPr>
                  <w:rFonts w:ascii="Times New Roman" w:hAnsi="Times New Roman" w:cs="Times New Roman"/>
                  <w:szCs w:val="21"/>
                </w:rPr>
                <w:t>1</w:t>
              </w:r>
              <w:r>
                <w:rPr>
                  <w:rFonts w:hint="eastAsia" w:ascii="Times New Roman" w:cs="Times New Roman"/>
                  <w:szCs w:val="21"/>
                </w:rPr>
                <w:t>）公司的利润分配应符合相关法律法规的规定，应遵循重视投资者的合理投资回报和有利于公司可持续发展的原则，同时保持利润分配政策的连续性和稳定性。</w:t>
              </w:r>
            </w:p>
            <w:p>
              <w:pPr>
                <w:spacing w:line="400" w:lineRule="exact"/>
                <w:ind w:firstLine="420" w:firstLineChars="200"/>
                <w:rPr>
                  <w:rFonts w:ascii="Times New Roman" w:hAnsi="Times New Roman" w:cs="Times New Roman"/>
                  <w:szCs w:val="21"/>
                </w:rPr>
              </w:pPr>
              <w:r>
                <w:rPr>
                  <w:rFonts w:hint="eastAsia" w:ascii="Times New Roman" w:cs="Times New Roman"/>
                  <w:szCs w:val="21"/>
                </w:rPr>
                <w:t>（</w:t>
              </w:r>
              <w:r>
                <w:rPr>
                  <w:rFonts w:ascii="Times New Roman" w:hAnsi="Times New Roman" w:cs="Times New Roman"/>
                  <w:szCs w:val="21"/>
                </w:rPr>
                <w:t>2</w:t>
              </w:r>
              <w:r>
                <w:rPr>
                  <w:rFonts w:hint="eastAsia" w:ascii="Times New Roman" w:cs="Times New Roman"/>
                  <w:szCs w:val="21"/>
                </w:rPr>
                <w:t>）公司可以采取现金、股票、现金与股票相结合或法律许可的其他方式分配股利，并优先考虑采用现金分红的利润分配方式。公司可根据盈利状况及资金需求状况进行中期现金分红。</w:t>
              </w:r>
            </w:p>
            <w:p>
              <w:pPr>
                <w:spacing w:line="400" w:lineRule="exact"/>
                <w:ind w:firstLine="420" w:firstLineChars="200"/>
                <w:rPr>
                  <w:rFonts w:ascii="Times New Roman" w:hAnsi="Times New Roman" w:cs="Times New Roman"/>
                  <w:szCs w:val="21"/>
                </w:rPr>
              </w:pPr>
              <w:r>
                <w:rPr>
                  <w:rFonts w:hint="eastAsia" w:ascii="Times New Roman" w:cs="Times New Roman"/>
                  <w:szCs w:val="21"/>
                </w:rPr>
                <w:t>（</w:t>
              </w:r>
              <w:r>
                <w:rPr>
                  <w:rFonts w:ascii="Times New Roman" w:hAnsi="Times New Roman" w:cs="Times New Roman"/>
                  <w:szCs w:val="21"/>
                </w:rPr>
                <w:t>3</w:t>
              </w:r>
              <w:r>
                <w:rPr>
                  <w:rFonts w:hint="eastAsia" w:ascii="Times New Roman" w:cs="Times New Roman"/>
                  <w:szCs w:val="21"/>
                </w:rPr>
                <w:t>）公司现金分红应满足的条件</w:t>
              </w:r>
            </w:p>
            <w:p>
              <w:pPr>
                <w:spacing w:line="400" w:lineRule="exact"/>
                <w:ind w:firstLine="420" w:firstLineChars="200"/>
                <w:rPr>
                  <w:rFonts w:ascii="Times New Roman" w:hAnsi="Times New Roman" w:cs="Times New Roman"/>
                  <w:szCs w:val="21"/>
                </w:rPr>
              </w:pPr>
              <w:r>
                <w:rPr>
                  <w:rFonts w:hint="eastAsia" w:ascii="Times New Roman" w:cs="Times New Roman"/>
                  <w:szCs w:val="21"/>
                </w:rPr>
                <w:t>①股利分配不得超过累计可分配利润的范围；</w:t>
              </w:r>
            </w:p>
            <w:p>
              <w:pPr>
                <w:spacing w:line="400" w:lineRule="exact"/>
                <w:ind w:firstLine="420" w:firstLineChars="200"/>
                <w:rPr>
                  <w:rFonts w:ascii="Times New Roman" w:hAnsi="Times New Roman" w:cs="Times New Roman"/>
                  <w:szCs w:val="21"/>
                </w:rPr>
              </w:pPr>
              <w:r>
                <w:rPr>
                  <w:rFonts w:hint="eastAsia" w:ascii="Times New Roman" w:cs="Times New Roman"/>
                  <w:szCs w:val="21"/>
                </w:rPr>
                <w:t>②审计机构出具标准无保留意见的审计报告；</w:t>
              </w:r>
            </w:p>
            <w:p>
              <w:pPr>
                <w:spacing w:line="400" w:lineRule="exact"/>
                <w:ind w:firstLine="420" w:firstLineChars="200"/>
                <w:rPr>
                  <w:rFonts w:ascii="Times New Roman" w:hAnsi="Times New Roman" w:cs="Times New Roman"/>
                  <w:szCs w:val="21"/>
                </w:rPr>
              </w:pPr>
              <w:r>
                <w:rPr>
                  <w:rFonts w:hint="eastAsia" w:ascii="Times New Roman" w:cs="Times New Roman"/>
                  <w:szCs w:val="21"/>
                </w:rPr>
                <w:t>③公司未发生亏损，且经审计当年实现的每股可供分配利润不低于</w:t>
              </w:r>
              <w:r>
                <w:rPr>
                  <w:rFonts w:ascii="Times New Roman" w:hAnsi="Times New Roman" w:cs="Times New Roman"/>
                  <w:szCs w:val="21"/>
                </w:rPr>
                <w:t xml:space="preserve"> 0.05 </w:t>
              </w:r>
              <w:r>
                <w:rPr>
                  <w:rFonts w:hint="eastAsia" w:ascii="Times New Roman" w:cs="Times New Roman"/>
                  <w:szCs w:val="21"/>
                </w:rPr>
                <w:t>元；</w:t>
              </w:r>
            </w:p>
            <w:p>
              <w:pPr>
                <w:spacing w:line="400" w:lineRule="exact"/>
                <w:ind w:firstLine="420" w:firstLineChars="200"/>
                <w:rPr>
                  <w:rFonts w:ascii="Times New Roman" w:hAnsi="Times New Roman" w:cs="Times New Roman"/>
                  <w:szCs w:val="21"/>
                </w:rPr>
              </w:pPr>
              <w:r>
                <w:rPr>
                  <w:rFonts w:hint="eastAsia" w:cs="Times New Roman"/>
                  <w:szCs w:val="21"/>
                </w:rPr>
                <w:t>④</w:t>
              </w:r>
              <w:r>
                <w:rPr>
                  <w:rFonts w:hint="eastAsia" w:ascii="Times New Roman" w:cs="Times New Roman"/>
                  <w:szCs w:val="21"/>
                </w:rPr>
                <w:t>现金分红分配方案的实施不损害公司持续经营能力；</w:t>
              </w:r>
            </w:p>
            <w:p>
              <w:pPr>
                <w:spacing w:line="400" w:lineRule="exact"/>
                <w:ind w:firstLine="420" w:firstLineChars="200"/>
                <w:rPr>
                  <w:rFonts w:ascii="Times New Roman" w:hAnsi="Times New Roman" w:cs="Times New Roman"/>
                  <w:szCs w:val="21"/>
                </w:rPr>
              </w:pPr>
              <w:r>
                <w:rPr>
                  <w:rFonts w:hint="eastAsia" w:cs="Times New Roman"/>
                  <w:szCs w:val="21"/>
                </w:rPr>
                <w:t>⑤</w:t>
              </w:r>
              <w:r>
                <w:rPr>
                  <w:rFonts w:hint="eastAsia" w:ascii="Times New Roman" w:cs="Times New Roman"/>
                  <w:szCs w:val="21"/>
                </w:rPr>
                <w:t>公司无重大投资计划或重大现金支出等事项发生（募集资金项目除外）。</w:t>
              </w:r>
            </w:p>
            <w:p>
              <w:pPr>
                <w:spacing w:line="400" w:lineRule="exact"/>
                <w:ind w:firstLine="420" w:firstLineChars="200"/>
                <w:rPr>
                  <w:rFonts w:ascii="Times New Roman" w:hAnsi="Times New Roman" w:cs="Times New Roman"/>
                  <w:szCs w:val="21"/>
                </w:rPr>
              </w:pPr>
              <w:r>
                <w:rPr>
                  <w:rFonts w:hint="eastAsia" w:ascii="Times New Roman" w:cs="Times New Roman"/>
                  <w:szCs w:val="21"/>
                </w:rPr>
                <w:t>（</w:t>
              </w:r>
              <w:r>
                <w:rPr>
                  <w:rFonts w:ascii="Times New Roman" w:hAnsi="Times New Roman" w:cs="Times New Roman"/>
                  <w:szCs w:val="21"/>
                </w:rPr>
                <w:t>4</w:t>
              </w:r>
              <w:r>
                <w:rPr>
                  <w:rFonts w:hint="eastAsia" w:ascii="Times New Roman" w:cs="Times New Roman"/>
                  <w:szCs w:val="21"/>
                </w:rPr>
                <w:t>）公司现金分红的比例：在符合《公司法》和公司章程规定的现金分红条件的情况下，公司每年以现金方式分配的利润不少于公司当年实现的可分配利润的</w:t>
              </w:r>
              <w:r>
                <w:rPr>
                  <w:rFonts w:ascii="Times New Roman" w:hAnsi="Times New Roman" w:cs="Times New Roman"/>
                  <w:szCs w:val="21"/>
                </w:rPr>
                <w:t xml:space="preserve"> 10%</w:t>
              </w:r>
              <w:r>
                <w:rPr>
                  <w:rFonts w:hint="eastAsia" w:ascii="Times New Roman" w:cs="Times New Roman"/>
                  <w:szCs w:val="21"/>
                </w:rPr>
                <w:t>。且最近三个会计年度内，公司以现金形式分配的利润不少于最近三年实现的年均可分配利润的</w:t>
              </w:r>
              <w:r>
                <w:rPr>
                  <w:rFonts w:ascii="Times New Roman" w:hAnsi="Times New Roman" w:cs="Times New Roman"/>
                  <w:szCs w:val="21"/>
                </w:rPr>
                <w:t xml:space="preserve"> 30% </w:t>
              </w:r>
              <w:r>
                <w:rPr>
                  <w:rFonts w:hint="eastAsia" w:ascii="Times New Roman" w:cs="Times New Roman"/>
                  <w:szCs w:val="21"/>
                </w:rPr>
                <w:t>。</w:t>
              </w:r>
            </w:p>
            <w:p>
              <w:pPr>
                <w:spacing w:line="400" w:lineRule="exact"/>
                <w:ind w:firstLine="420" w:firstLineChars="200"/>
                <w:rPr>
                  <w:rFonts w:ascii="Times New Roman" w:hAnsi="Times New Roman" w:cs="Times New Roman"/>
                  <w:szCs w:val="21"/>
                </w:rPr>
              </w:pPr>
              <w:r>
                <w:rPr>
                  <w:rFonts w:hint="eastAsia" w:ascii="Times New Roman" w:cs="Times New Roman"/>
                  <w:szCs w:val="21"/>
                </w:rPr>
                <w:t>（</w:t>
              </w:r>
              <w:r>
                <w:rPr>
                  <w:rFonts w:ascii="Times New Roman" w:hAnsi="Times New Roman" w:cs="Times New Roman"/>
                  <w:szCs w:val="21"/>
                </w:rPr>
                <w:t>5</w:t>
              </w:r>
              <w:r>
                <w:rPr>
                  <w:rFonts w:hint="eastAsia" w:ascii="Times New Roman" w:cs="Times New Roman"/>
                  <w:szCs w:val="21"/>
                </w:rPr>
                <w:t>）公司董事会应当综合考虑所处行业特点、发展阶段、自身经营模式、盈利水平以及是否有重大资金支出安排等因素，区分下列情形，并按照本章程规定的程序，提出差异化的现金分红政策：</w:t>
              </w:r>
            </w:p>
            <w:p>
              <w:pPr>
                <w:spacing w:line="400" w:lineRule="exact"/>
                <w:ind w:firstLine="420" w:firstLineChars="200"/>
                <w:rPr>
                  <w:rFonts w:ascii="Times New Roman" w:hAnsi="Times New Roman" w:cs="Times New Roman"/>
                  <w:szCs w:val="21"/>
                </w:rPr>
              </w:pPr>
              <w:r>
                <w:rPr>
                  <w:rFonts w:hint="eastAsia" w:ascii="Times New Roman" w:cs="Times New Roman"/>
                  <w:szCs w:val="21"/>
                </w:rPr>
                <w:t>①公司发展阶段属成熟期且无重大资金支出安排的，进行利润分配时，现金分红在本次利润分配中所占比例最低应达到</w:t>
              </w:r>
              <w:r>
                <w:rPr>
                  <w:rFonts w:ascii="Times New Roman" w:hAnsi="Times New Roman" w:cs="Times New Roman"/>
                  <w:szCs w:val="21"/>
                </w:rPr>
                <w:t>80%</w:t>
              </w:r>
              <w:r>
                <w:rPr>
                  <w:rFonts w:hint="eastAsia" w:ascii="Times New Roman" w:cs="Times New Roman"/>
                  <w:szCs w:val="21"/>
                </w:rPr>
                <w:t>；</w:t>
              </w:r>
            </w:p>
            <w:p>
              <w:pPr>
                <w:spacing w:line="400" w:lineRule="exact"/>
                <w:ind w:firstLine="420" w:firstLineChars="200"/>
                <w:rPr>
                  <w:rFonts w:ascii="Times New Roman" w:hAnsi="Times New Roman" w:cs="Times New Roman"/>
                  <w:szCs w:val="21"/>
                </w:rPr>
              </w:pPr>
              <w:r>
                <w:rPr>
                  <w:rFonts w:hint="eastAsia" w:ascii="Times New Roman" w:cs="Times New Roman"/>
                  <w:szCs w:val="21"/>
                </w:rPr>
                <w:t>②公司发展阶段属成熟期且有重大资金支出安排的，进行利润分配时，现金分红在本次利润分配中所占比例最低应达到</w:t>
              </w:r>
              <w:r>
                <w:rPr>
                  <w:rFonts w:ascii="Times New Roman" w:hAnsi="Times New Roman" w:cs="Times New Roman"/>
                  <w:szCs w:val="21"/>
                </w:rPr>
                <w:t>40%</w:t>
              </w:r>
              <w:r>
                <w:rPr>
                  <w:rFonts w:hint="eastAsia" w:ascii="Times New Roman" w:cs="Times New Roman"/>
                  <w:szCs w:val="21"/>
                </w:rPr>
                <w:t>；</w:t>
              </w:r>
            </w:p>
            <w:p>
              <w:pPr>
                <w:spacing w:line="400" w:lineRule="exact"/>
                <w:ind w:firstLine="420" w:firstLineChars="200"/>
                <w:rPr>
                  <w:rFonts w:ascii="Times New Roman" w:hAnsi="Times New Roman" w:cs="Times New Roman"/>
                  <w:szCs w:val="21"/>
                </w:rPr>
              </w:pPr>
              <w:r>
                <w:rPr>
                  <w:rFonts w:hint="eastAsia" w:ascii="Times New Roman" w:cs="Times New Roman"/>
                  <w:szCs w:val="21"/>
                </w:rPr>
                <w:t>③公司发展阶段属成长期且有重大资金支出安排的，进行利润分配时，现金分红在本次利润分配中所占比例最低应达到</w:t>
              </w:r>
              <w:r>
                <w:rPr>
                  <w:rFonts w:ascii="Times New Roman" w:hAnsi="Times New Roman" w:cs="Times New Roman"/>
                  <w:szCs w:val="21"/>
                </w:rPr>
                <w:t>20%</w:t>
              </w:r>
              <w:r>
                <w:rPr>
                  <w:rFonts w:hint="eastAsia" w:ascii="Times New Roman" w:cs="Times New Roman"/>
                  <w:szCs w:val="21"/>
                </w:rPr>
                <w:t>；公司发展阶段不易区分但有重大资金支出安排的，可以按照前项规定处理。</w:t>
              </w:r>
            </w:p>
            <w:p>
              <w:pPr>
                <w:spacing w:line="400" w:lineRule="exact"/>
                <w:ind w:firstLine="420" w:firstLineChars="200"/>
                <w:rPr>
                  <w:rFonts w:ascii="Times New Roman" w:cs="Times New Roman"/>
                  <w:szCs w:val="21"/>
                </w:rPr>
              </w:pPr>
              <w:r>
                <w:rPr>
                  <w:rFonts w:ascii="Times New Roman" w:hAnsi="Times New Roman" w:cs="Times New Roman"/>
                  <w:szCs w:val="21"/>
                </w:rPr>
                <w:t>3.20</w:t>
              </w:r>
              <w:r>
                <w:rPr>
                  <w:rFonts w:hint="eastAsia" w:ascii="Times New Roman" w:hAnsi="Times New Roman" w:cs="Times New Roman"/>
                  <w:szCs w:val="21"/>
                </w:rPr>
                <w:t>21</w:t>
              </w:r>
              <w:r>
                <w:rPr>
                  <w:rFonts w:hint="eastAsia" w:ascii="Times New Roman" w:cs="Times New Roman"/>
                  <w:szCs w:val="21"/>
                </w:rPr>
                <w:t>年度利润分配预案</w:t>
              </w:r>
            </w:p>
            <w:p>
              <w:pPr>
                <w:spacing w:line="400" w:lineRule="exact"/>
                <w:ind w:firstLine="420" w:firstLineChars="200"/>
                <w:rPr>
                  <w:rFonts w:ascii="Times New Roman" w:cs="Times New Roman"/>
                </w:rPr>
              </w:pPr>
              <w:r>
                <w:rPr>
                  <w:rFonts w:hint="eastAsia" w:ascii="Times New Roman" w:cs="Times New Roman"/>
                </w:rPr>
                <w:t>经永拓会计师事务所（特殊普通合伙）审计，母公司</w:t>
              </w:r>
              <w:r>
                <w:rPr>
                  <w:rFonts w:ascii="Times New Roman" w:cs="Times New Roman"/>
                </w:rPr>
                <w:t>2021年初未分配利润为69,570.69 万元，加上本年度实现净利润-91.15万元，2021年末未分配利润为69,479.54 万元。</w:t>
              </w:r>
            </w:p>
            <w:p>
              <w:pPr>
                <w:spacing w:line="400" w:lineRule="exact"/>
                <w:ind w:firstLine="420" w:firstLineChars="200"/>
                <w:rPr>
                  <w:rFonts w:ascii="Times New Roman" w:cs="Times New Roman"/>
                  <w:szCs w:val="21"/>
                </w:rPr>
              </w:pPr>
              <w:r>
                <w:rPr>
                  <w:rFonts w:hint="eastAsia" w:ascii="Times New Roman" w:cs="Times New Roman"/>
                </w:rPr>
                <w:t>公司</w:t>
              </w:r>
              <w:r>
                <w:rPr>
                  <w:rFonts w:ascii="Times New Roman" w:cs="Times New Roman"/>
                </w:rPr>
                <w:t>2021年度合并报表净利润盈利，但母公司经营亏损，根据《公司章程》关于利润分配和现金分红的规定，公司2021年度拟不进行利润分配，也不进行资本公积金转增股本。未分配的利润用于公司新产品开发、品牌推广、营销投入及补充日常流动资金。</w:t>
              </w:r>
            </w:p>
            <w:p/>
          </w:sdtContent>
        </w:sdt>
        <w:p/>
      </w:sdtContent>
    </w:sdt>
    <w:p>
      <w:pPr>
        <w:rPr>
          <w:szCs w:val="21"/>
        </w:rPr>
      </w:pPr>
    </w:p>
    <w:p>
      <w:pPr>
        <w:rPr>
          <w:szCs w:val="21"/>
        </w:rPr>
      </w:pPr>
    </w:p>
    <w:sdt>
      <w:sdtPr>
        <w:rPr>
          <w:rFonts w:ascii="宋体" w:hAnsi="宋体" w:cs="宋体"/>
          <w:b w:val="0"/>
          <w:bCs w:val="0"/>
          <w:kern w:val="0"/>
          <w:szCs w:val="24"/>
        </w:rPr>
        <w:alias w:val="模块:现金分红政策的专项说明"/>
        <w:tag w:val="_SEC_1a77bbccdee34f4bacdd389ca95234c8"/>
        <w:id w:val="865722874"/>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27"/>
            </w:numPr>
            <w:ind w:left="450" w:hanging="450"/>
          </w:pPr>
          <w:bookmarkStart w:id="51" w:name="_Hlk89446160"/>
          <w:r>
            <w:t>现金分红政策的专项说明</w:t>
          </w:r>
        </w:p>
        <w:sdt>
          <w:sdtPr>
            <w:alias w:val="是否适用：现金分红政策的专项说明 [双击切换]"/>
            <w:tag w:val="_GBC_715d8b6c04924cf19dcd2347ae32471f"/>
            <w:id w:val="86572286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9"/>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be5b642d619e47719375899ad34c31f6"/>
                <w:id w:val="865722864"/>
                <w:lock w:val="sdtLocked"/>
              </w:sdtPr>
              <w:sdtEndPr>
                <w:rPr>
                  <w:rFonts w:hint="eastAsia"/>
                </w:rPr>
              </w:sdtEndPr>
              <w:sdtContent>
                <w:tc>
                  <w:tcPr>
                    <w:tcW w:w="4055" w:type="pct"/>
                  </w:tcPr>
                  <w:p>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865722865"/>
                <w:lock w:val="sdtLocked"/>
              </w:sdtPr>
              <w:sdtContent>
                <w:tc>
                  <w:tcPr>
                    <w:tcW w:w="945" w:type="pct"/>
                  </w:tcPr>
                  <w:p>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bb613040dd064b1ca069bfb8132e531b"/>
                <w:id w:val="865722866"/>
                <w:lock w:val="sdtLocked"/>
              </w:sdtPr>
              <w:sdtEndPr>
                <w:rPr>
                  <w:rFonts w:hint="eastAsia"/>
                </w:rPr>
              </w:sdtEndPr>
              <w:sdtContent>
                <w:tc>
                  <w:tcPr>
                    <w:tcW w:w="4055" w:type="pct"/>
                  </w:tcPr>
                  <w:p>
                    <w:r>
                      <w:rPr>
                        <w:rFonts w:hint="eastAsia"/>
                      </w:rPr>
                      <w:t>分红标准和比例是否明确和清晰</w:t>
                    </w:r>
                  </w:p>
                </w:tc>
              </w:sdtContent>
            </w:sdt>
            <w:sdt>
              <w:sdtPr>
                <w:alias w:val="分红标准和比例是否明确和清晰[双击切换]"/>
                <w:tag w:val="_GBC_c8bbad0601c544fca3faeac3b11ee218"/>
                <w:id w:val="865722867"/>
                <w:lock w:val="sdtLocked"/>
              </w:sdtPr>
              <w:sdtContent>
                <w:tc>
                  <w:tcPr>
                    <w:tcW w:w="945" w:type="pct"/>
                  </w:tcPr>
                  <w:p>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d39f871c32a241abb0e19af8d214c228"/>
                <w:id w:val="865722868"/>
                <w:lock w:val="sdtLocked"/>
              </w:sdtPr>
              <w:sdtEndPr>
                <w:rPr>
                  <w:rFonts w:hint="eastAsia"/>
                </w:rPr>
              </w:sdtEndPr>
              <w:sdtContent>
                <w:tc>
                  <w:tcPr>
                    <w:tcW w:w="4055" w:type="pct"/>
                    <w:tcBorders>
                      <w:top w:val="single" w:color="auto" w:sz="4" w:space="0"/>
                      <w:left w:val="single" w:color="auto" w:sz="4" w:space="0"/>
                      <w:bottom w:val="single" w:color="auto" w:sz="4" w:space="0"/>
                      <w:right w:val="single" w:color="auto" w:sz="4" w:space="0"/>
                    </w:tcBorders>
                  </w:tcPr>
                  <w:p>
                    <w:r>
                      <w:rPr>
                        <w:rFonts w:hint="eastAsia"/>
                      </w:rPr>
                      <w:t>相关的决策程序和机制是否完备</w:t>
                    </w:r>
                  </w:p>
                </w:tc>
              </w:sdtContent>
            </w:sdt>
            <w:sdt>
              <w:sdtPr>
                <w:alias w:val="相关的决策程序和机制是否完备[双击切换]"/>
                <w:tag w:val="_GBC_b2d0d75abb6f4f14a51595902d0ad7b9"/>
                <w:id w:val="865722869"/>
                <w:lock w:val="sdtLocked"/>
              </w:sdtPr>
              <w:sdtContent>
                <w:tc>
                  <w:tcPr>
                    <w:tcW w:w="945" w:type="pct"/>
                    <w:tcBorders>
                      <w:top w:val="single" w:color="auto" w:sz="4" w:space="0"/>
                      <w:left w:val="single" w:color="auto" w:sz="4" w:space="0"/>
                      <w:bottom w:val="single" w:color="auto" w:sz="4" w:space="0"/>
                      <w:right w:val="single" w:color="auto" w:sz="4" w:space="0"/>
                    </w:tcBorders>
                  </w:tcPr>
                  <w:p>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a57913e82be74b9aae452efa4dca97ee"/>
                <w:id w:val="865722870"/>
                <w:lock w:val="sdtLocked"/>
              </w:sdtPr>
              <w:sdtEndPr>
                <w:rPr>
                  <w:rFonts w:hint="eastAsia"/>
                </w:rPr>
              </w:sdtEndPr>
              <w:sdtContent>
                <w:tc>
                  <w:tcPr>
                    <w:tcW w:w="4055" w:type="pct"/>
                    <w:tcBorders>
                      <w:top w:val="single" w:color="auto" w:sz="4" w:space="0"/>
                      <w:left w:val="single" w:color="auto" w:sz="4" w:space="0"/>
                      <w:bottom w:val="single" w:color="auto" w:sz="4" w:space="0"/>
                      <w:right w:val="single" w:color="auto" w:sz="4" w:space="0"/>
                    </w:tcBorders>
                  </w:tcPr>
                  <w:p>
                    <w:r>
                      <w:rPr>
                        <w:rFonts w:hint="eastAsia"/>
                      </w:rPr>
                      <w:t>独立董事是否履职尽责并发挥了应有的作用</w:t>
                    </w:r>
                  </w:p>
                </w:tc>
              </w:sdtContent>
            </w:sdt>
            <w:sdt>
              <w:sdtPr>
                <w:alias w:val="独立董事是否履职尽责并发挥了应有的作用[双击切换]"/>
                <w:tag w:val="_GBC_0b8d249fbcc74af893077c4c7eee16ef"/>
                <w:id w:val="865722871"/>
                <w:lock w:val="sdtLocked"/>
              </w:sdtPr>
              <w:sdtContent>
                <w:tc>
                  <w:tcPr>
                    <w:tcW w:w="945" w:type="pct"/>
                    <w:tcBorders>
                      <w:top w:val="single" w:color="auto" w:sz="4" w:space="0"/>
                      <w:left w:val="single" w:color="auto" w:sz="4" w:space="0"/>
                      <w:bottom w:val="single" w:color="auto" w:sz="4" w:space="0"/>
                      <w:right w:val="single" w:color="auto" w:sz="4" w:space="0"/>
                    </w:tcBorders>
                  </w:tcPr>
                  <w:p>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3a7a041e30804acd8d2becd7cb2629f9"/>
                <w:id w:val="865722872"/>
                <w:lock w:val="sdtLocked"/>
              </w:sdtPr>
              <w:sdtEndPr>
                <w:rPr>
                  <w:rFonts w:hint="eastAsia"/>
                </w:rPr>
              </w:sdtEndPr>
              <w:sdtContent>
                <w:tc>
                  <w:tcPr>
                    <w:tcW w:w="4055" w:type="pct"/>
                    <w:tcBorders>
                      <w:top w:val="single" w:color="auto" w:sz="4" w:space="0"/>
                      <w:left w:val="single" w:color="auto" w:sz="4" w:space="0"/>
                      <w:bottom w:val="single" w:color="auto" w:sz="4" w:space="0"/>
                      <w:right w:val="single" w:color="auto" w:sz="4" w:space="0"/>
                    </w:tcBorders>
                  </w:tcPr>
                  <w:p>
                    <w:r>
                      <w:rPr>
                        <w:rFonts w:hint="eastAsia"/>
                      </w:rPr>
                      <w:t>中小股东是否有充分表达意见和诉求的机会，其合法权益是否得到了充分保护</w:t>
                    </w:r>
                  </w:p>
                </w:tc>
              </w:sdtContent>
            </w:sdt>
            <w:sdt>
              <w:sdtPr>
                <w:alias w:val="中小股东是否有充分表达意见和诉求的机会，其合法权益是否得到了充分保护[双击切换]"/>
                <w:tag w:val="_GBC_827122507d054bfd80b4c5e8d243a91b"/>
                <w:id w:val="865722873"/>
                <w:lock w:val="sdtLocked"/>
              </w:sdtPr>
              <w:sdtContent>
                <w:tc>
                  <w:tcPr>
                    <w:tcW w:w="945" w:type="pct"/>
                    <w:tcBorders>
                      <w:top w:val="single" w:color="auto" w:sz="4" w:space="0"/>
                      <w:left w:val="single" w:color="auto" w:sz="4" w:space="0"/>
                      <w:bottom w:val="single" w:color="auto" w:sz="4" w:space="0"/>
                      <w:right w:val="single" w:color="auto" w:sz="4" w:space="0"/>
                    </w:tcBorders>
                  </w:tcPr>
                  <w:p>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bl>
        <w:p/>
        <w:p/>
      </w:sdtContent>
    </w:sdt>
    <w:bookmarkEnd w:id="51"/>
    <w:sdt>
      <w:sdtPr>
        <w:rPr>
          <w:rFonts w:hint="eastAsia" w:ascii="宋体" w:hAnsi="宋体" w:cs="宋体"/>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865722880"/>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27"/>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86572287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8"/>
            <w:gridCol w:w="4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6d6662c2916d4d4793af063579f2057c"/>
                <w:id w:val="865722876"/>
                <w:lock w:val="sdtLocked"/>
              </w:sdtPr>
              <w:sdtContent>
                <w:tc>
                  <w:tcPr>
                    <w:tcW w:w="2723" w:type="pct"/>
                    <w:vAlign w:val="center"/>
                  </w:tcPr>
                  <w:p>
                    <w:pPr>
                      <w:widowControl w:val="0"/>
                    </w:pPr>
                    <w:r>
                      <w:rPr>
                        <w:rFonts w:ascii="Arial" w:hAnsi="Arial" w:cs="Times New Roman"/>
                        <w:bCs/>
                        <w:kern w:val="2"/>
                        <w:szCs w:val="21"/>
                      </w:rPr>
                      <w:t>报告期内盈利且母公司</w:t>
                    </w:r>
                    <w:r>
                      <w:rPr>
                        <w:rFonts w:hint="eastAsia" w:ascii="Arial" w:hAnsi="Arial" w:cs="Times New Roman"/>
                        <w:bCs/>
                        <w:kern w:val="2"/>
                        <w:szCs w:val="21"/>
                      </w:rPr>
                      <w:t>可供股东分配</w:t>
                    </w:r>
                    <w:r>
                      <w:rPr>
                        <w:rFonts w:ascii="Arial" w:hAnsi="Arial" w:cs="Times New Roman"/>
                        <w:bCs/>
                        <w:kern w:val="2"/>
                        <w:szCs w:val="21"/>
                      </w:rPr>
                      <w:t>利润为正，</w:t>
                    </w:r>
                    <w:r>
                      <w:t>但未提出现金</w:t>
                    </w:r>
                    <w:r>
                      <w:rPr>
                        <w:rFonts w:hint="eastAsia"/>
                      </w:rPr>
                      <w:t>利润</w:t>
                    </w:r>
                    <w:r>
                      <w:t>分配</w:t>
                    </w:r>
                    <w:r>
                      <w:rPr>
                        <w:rFonts w:hint="eastAsia"/>
                      </w:rPr>
                      <w:t>方案</w:t>
                    </w:r>
                    <w:r>
                      <w:t>预案的</w:t>
                    </w:r>
                    <w:r>
                      <w:rPr>
                        <w:rFonts w:hint="eastAsia"/>
                      </w:rPr>
                      <w:t>原因</w:t>
                    </w:r>
                  </w:p>
                </w:tc>
              </w:sdtContent>
            </w:sdt>
            <w:sdt>
              <w:sdtPr>
                <w:tag w:val="_PLD_b75dae5b7dd640a78839318466d7156e"/>
                <w:id w:val="865722877"/>
                <w:lock w:val="sdtLocked"/>
              </w:sdtPr>
              <w:sdtContent>
                <w:tc>
                  <w:tcPr>
                    <w:tcW w:w="2277" w:type="pct"/>
                    <w:vAlign w:val="center"/>
                  </w:tcPr>
                  <w:p>
                    <w:pPr>
                      <w:widowControl w:val="0"/>
                    </w:pPr>
                    <w:r>
                      <w:rPr>
                        <w:rFonts w:hint="eastAsia"/>
                      </w:rPr>
                      <w:t>未分配利润的用途和使用计划</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alias w:val="本报告期盈利但未提出现金利润分配预案的原因"/>
                <w:tag w:val="_GBC_8302228f8c96476c9c71d6ffd8febc32"/>
                <w:id w:val="865722878"/>
                <w:lock w:val="sdtLocked"/>
              </w:sdtPr>
              <w:sdtEndPr>
                <w:rPr>
                  <w:rFonts w:hint="eastAsia"/>
                </w:rPr>
              </w:sdtEndPr>
              <w:sdtContent>
                <w:tc>
                  <w:tcPr>
                    <w:tcW w:w="2723" w:type="pct"/>
                  </w:tcPr>
                  <w:p>
                    <w:pPr>
                      <w:widowControl w:val="0"/>
                    </w:pPr>
                    <w:r>
                      <w:rPr>
                        <w:rFonts w:hint="eastAsia"/>
                      </w:rPr>
                      <w:t>母公司净利润</w:t>
                    </w:r>
                    <w:r>
                      <w:rPr>
                        <w:rFonts w:ascii="Times New Roman" w:hAnsi="Times New Roman" w:cs="Times New Roman"/>
                      </w:rPr>
                      <w:t>-91.15</w:t>
                    </w:r>
                    <w:r>
                      <w:t>万元</w:t>
                    </w:r>
                    <w:r>
                      <w:rPr>
                        <w:rFonts w:hint="eastAsia"/>
                      </w:rPr>
                      <w:t>，由于公</w:t>
                    </w:r>
                    <w:r>
                      <w:rPr>
                        <w:rFonts w:ascii="Times New Roman" w:cs="Times New Roman"/>
                      </w:rPr>
                      <w:t>司</w:t>
                    </w:r>
                    <w:r>
                      <w:rPr>
                        <w:rFonts w:ascii="Times New Roman" w:hAnsi="Times New Roman" w:cs="Times New Roman"/>
                      </w:rPr>
                      <w:t>2021</w:t>
                    </w:r>
                    <w:r>
                      <w:t>年度经营亏损，根据《公司章程》关于利润分配和现金分红的规定，公司</w:t>
                    </w:r>
                    <w:r>
                      <w:rPr>
                        <w:rFonts w:hint="eastAsia"/>
                      </w:rPr>
                      <w:t>不进行</w:t>
                    </w:r>
                    <w:r>
                      <w:t>利润分配条件。</w:t>
                    </w:r>
                  </w:p>
                </w:tc>
              </w:sdtContent>
            </w:sdt>
            <w:sdt>
              <w:sdtPr>
                <w:rPr>
                  <w:rFonts w:hint="eastAsia"/>
                </w:rPr>
                <w:alias w:val="未分配利润的用途和使用计划"/>
                <w:tag w:val="_GBC_ed5b05ed5d404b4bbe82b224fd42e5db"/>
                <w:id w:val="865722879"/>
                <w:lock w:val="sdtLocked"/>
              </w:sdtPr>
              <w:sdtEndPr>
                <w:rPr>
                  <w:rFonts w:hint="eastAsia"/>
                </w:rPr>
              </w:sdtEndPr>
              <w:sdtContent>
                <w:tc>
                  <w:tcPr>
                    <w:tcW w:w="2277" w:type="pct"/>
                  </w:tcPr>
                  <w:p>
                    <w:pPr>
                      <w:spacing w:line="400" w:lineRule="exact"/>
                      <w:rPr>
                        <w:rFonts w:ascii="Times New Roman" w:cs="Times New Roman"/>
                        <w:szCs w:val="21"/>
                      </w:rPr>
                    </w:pPr>
                    <w:r>
                      <w:rPr>
                        <w:rFonts w:ascii="Times New Roman" w:cs="Times New Roman"/>
                        <w:szCs w:val="21"/>
                      </w:rPr>
                      <w:t>未分配的利润用于公司新产品开发、品牌推广、营销投入及补充日常流动资金。</w:t>
                    </w:r>
                  </w:p>
                </w:tc>
              </w:sdtContent>
            </w:sdt>
          </w:tr>
        </w:tbl>
        <w:p/>
      </w:sdtContent>
    </w:sdt>
    <w:p>
      <w:pPr>
        <w:pStyle w:val="3"/>
        <w:numPr>
          <w:ilvl w:val="0"/>
          <w:numId w:val="21"/>
        </w:numPr>
        <w:ind w:left="450" w:hanging="450"/>
      </w:pPr>
      <w:bookmarkStart w:id="52" w:name="_Toc342491956"/>
      <w:bookmarkStart w:id="53" w:name="_Toc342565948"/>
      <w:r>
        <w:rPr>
          <w:rFonts w:hint="eastAsia"/>
        </w:rPr>
        <w:t>公司股权激励计划、员工持股计划或其他员工激励措施的情况及其影响</w:t>
      </w:r>
      <w:bookmarkEnd w:id="52"/>
      <w:bookmarkEnd w:id="53"/>
    </w:p>
    <w:sdt>
      <w:sdtPr>
        <w:rPr>
          <w:rFonts w:hint="eastAsia" w:ascii="宋体" w:hAnsi="宋体" w:cs="宋体"/>
          <w:b w:val="0"/>
          <w:bCs w:val="0"/>
          <w:kern w:val="44"/>
          <w:sz w:val="24"/>
          <w:szCs w:val="21"/>
        </w:rPr>
        <w:alias w:val="模块:相关股权激励事项已在临时公告披露且后续实施无进展或变化"/>
        <w:tag w:val="_SEC_0fef5a8a9a1f47b5be982489f74109f3"/>
        <w:id w:val="865722882"/>
        <w:lock w:val="sdtLocked"/>
        <w:placeholder>
          <w:docPart w:val="GBC22222222222222222222222222222"/>
        </w:placeholder>
      </w:sdtPr>
      <w:sdtEndPr>
        <w:rPr>
          <w:rFonts w:hint="default" w:ascii="宋体" w:hAnsi="宋体" w:cs="宋体"/>
          <w:b w:val="0"/>
          <w:bCs w:val="0"/>
          <w:kern w:val="0"/>
          <w:sz w:val="21"/>
          <w:szCs w:val="24"/>
        </w:rPr>
      </w:sdtEndPr>
      <w:sdtContent>
        <w:p>
          <w:pPr>
            <w:pStyle w:val="4"/>
            <w:numPr>
              <w:ilvl w:val="1"/>
              <w:numId w:val="28"/>
            </w:numPr>
            <w:rPr>
              <w:kern w:val="44"/>
              <w:szCs w:val="21"/>
            </w:rPr>
          </w:pPr>
          <w:bookmarkStart w:id="54" w:name="_Toc342565949"/>
          <w:bookmarkStart w:id="55" w:name="_Toc342491957"/>
          <w:r>
            <w:rPr>
              <w:rFonts w:hint="eastAsia"/>
              <w:kern w:val="44"/>
              <w:szCs w:val="21"/>
            </w:rPr>
            <w:t>相关激励事项已在临时公告披露且后续实施无进展或变化的</w:t>
          </w:r>
          <w:bookmarkEnd w:id="54"/>
          <w:bookmarkEnd w:id="55"/>
        </w:p>
        <w:sdt>
          <w:sdtPr>
            <w:alias w:val="是否适用：相关激励事项已在临时公告披露且后续实施无进展或变化的[双击切换]"/>
            <w:tag w:val="_GBC_0af9dca2858d42619c57d7878f3a7792"/>
            <w:id w:val="86572288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4"/>
        <w:numPr>
          <w:ilvl w:val="1"/>
          <w:numId w:val="28"/>
        </w:numPr>
        <w:rPr>
          <w:kern w:val="44"/>
          <w:szCs w:val="21"/>
        </w:rPr>
      </w:pPr>
      <w:r>
        <w:rPr>
          <w:rFonts w:hint="eastAsia"/>
          <w:kern w:val="44"/>
          <w:szCs w:val="21"/>
        </w:rPr>
        <w:t>临时公告未披露或有后续进展的激励情况</w:t>
      </w:r>
    </w:p>
    <w:p>
      <w:r>
        <w:rPr>
          <w:rFonts w:hint="eastAsia"/>
        </w:rPr>
        <w:t>股权激励情况</w:t>
      </w:r>
    </w:p>
    <w:p>
      <w:pPr>
        <w:rPr>
          <w:szCs w:val="21"/>
        </w:rPr>
      </w:pPr>
      <w:sdt>
        <w:sdtPr>
          <w:alias w:val="是否适用：股权激励情况[双击切换]"/>
          <w:tag w:val="_GBC_002ad948ce1449c2a805bfbb132b2202"/>
          <w:id w:val="865722883"/>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rPr>
          <w:szCs w:val="21"/>
        </w:rPr>
      </w:pPr>
    </w:p>
    <w:sdt>
      <w:sdtPr>
        <w:rPr>
          <w:rFonts w:hint="eastAsia"/>
          <w:szCs w:val="21"/>
        </w:rPr>
        <w:alias w:val="模块:其他说明  "/>
        <w:tag w:val="_SEC_12c50bf247d34661bdbc91376a5f0abc"/>
        <w:id w:val="865722885"/>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86572288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bCs/>
          <w:szCs w:val="21"/>
        </w:rPr>
        <w:alias w:val="模块:员工持股计划情况"/>
        <w:tag w:val="_SEC_e76ced04f0774d5494f667355c3809ba"/>
        <w:id w:val="865722887"/>
        <w:lock w:val="sdtLocked"/>
        <w:placeholder>
          <w:docPart w:val="GBC22222222222222222222222222222"/>
        </w:placeholder>
      </w:sdtPr>
      <w:sdtEndPr>
        <w:rPr>
          <w:rFonts w:hint="eastAsia"/>
          <w:bCs/>
          <w:szCs w:val="21"/>
        </w:rPr>
      </w:sdtEndPr>
      <w:sdtContent>
        <w:p>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65722886"/>
            <w:lock w:val="sdtLocked"/>
            <w:placeholder>
              <w:docPart w:val="GBC22222222222222222222222222222"/>
            </w:placeholder>
          </w:sdtPr>
          <w:sdtEndPr>
            <w:rPr>
              <w:rFonts w:hint="eastAsia"/>
              <w:bCs/>
              <w:szCs w:val="21"/>
            </w:rPr>
          </w:sdtEndPr>
          <w:sdtContent>
            <w:p>
              <w:pPr>
                <w:rPr>
                  <w:bCs/>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pPr>
            <w:rPr>
              <w:bCs/>
              <w:szCs w:val="21"/>
            </w:rPr>
          </w:pPr>
        </w:p>
      </w:sdtContent>
    </w:sdt>
    <w:sdt>
      <w:sdtPr>
        <w:rPr>
          <w:rFonts w:hint="eastAsia"/>
          <w:bCs/>
          <w:szCs w:val="21"/>
        </w:rPr>
        <w:alias w:val="模块:其他激励措施"/>
        <w:tag w:val="_SEC_614d59c9502f4f76b99b0f6a5227009b"/>
        <w:id w:val="865722889"/>
        <w:lock w:val="sdtLocked"/>
        <w:placeholder>
          <w:docPart w:val="GBC22222222222222222222222222222"/>
        </w:placeholder>
      </w:sdtPr>
      <w:sdtEndPr>
        <w:rPr>
          <w:rFonts w:hint="eastAsia"/>
          <w:bCs/>
          <w:szCs w:val="21"/>
        </w:rPr>
      </w:sdtEndPr>
      <w:sdtContent>
        <w:p>
          <w:pPr>
            <w:rPr>
              <w:bCs/>
              <w:szCs w:val="21"/>
            </w:rPr>
          </w:pPr>
          <w:r>
            <w:rPr>
              <w:rFonts w:hint="eastAsia"/>
              <w:bCs/>
              <w:szCs w:val="21"/>
            </w:rPr>
            <w:t>其他激励措施</w:t>
          </w:r>
        </w:p>
        <w:sdt>
          <w:sdtPr>
            <w:rPr>
              <w:szCs w:val="21"/>
            </w:rPr>
            <w:alias w:val="是否适用：其他激励措施[双击切换]"/>
            <w:tag w:val="_GBC_1273f753309d4658962c7982b10fa010"/>
            <w:id w:val="865722888"/>
            <w:lock w:val="sdtLocked"/>
            <w:placeholder>
              <w:docPart w:val="GBC22222222222222222222222222222"/>
            </w:placeholder>
          </w:sdtPr>
          <w:sdtEndPr>
            <w:rPr>
              <w:szCs w:val="21"/>
            </w:rPr>
          </w:sdtEndPr>
          <w:sdtContent>
            <w:p>
              <w:pPr>
                <w:rPr>
                  <w:bCs/>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bCs/>
          <w:szCs w:val="21"/>
        </w:rPr>
      </w:pPr>
    </w:p>
    <w:sdt>
      <w:sdtPr>
        <w:rPr>
          <w:rFonts w:hint="eastAsia" w:ascii="宋体" w:hAnsi="宋体" w:cs="宋体"/>
          <w:b w:val="0"/>
          <w:bCs w:val="0"/>
          <w:kern w:val="0"/>
          <w:szCs w:val="21"/>
        </w:rPr>
        <w:alias w:val="模块:董事、高级管理人员报告期内被授予的股权激励情况  单位:..."/>
        <w:tag w:val="_SEC_8787cb19f2c64d4e8ac89d031e52cc9e"/>
        <w:id w:val="865722891"/>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1"/>
              <w:numId w:val="28"/>
            </w:numPr>
            <w:rPr>
              <w:szCs w:val="21"/>
            </w:rPr>
          </w:pPr>
          <w:bookmarkStart w:id="56" w:name="_Toc342566005"/>
          <w:bookmarkStart w:id="57" w:name="_Toc342057945"/>
          <w:r>
            <w:rPr>
              <w:rFonts w:hint="eastAsia"/>
              <w:szCs w:val="21"/>
            </w:rPr>
            <w:t>董事、高级管理人员报告期内被授予的</w:t>
          </w:r>
          <w:r>
            <w:rPr>
              <w:rFonts w:hint="eastAsia"/>
              <w:kern w:val="44"/>
              <w:szCs w:val="21"/>
            </w:rPr>
            <w:t>股权</w:t>
          </w:r>
          <w:r>
            <w:rPr>
              <w:rFonts w:hint="eastAsia"/>
              <w:szCs w:val="21"/>
            </w:rPr>
            <w:t>激励情况</w:t>
          </w:r>
          <w:bookmarkEnd w:id="56"/>
          <w:bookmarkEnd w:id="57"/>
        </w:p>
        <w:p>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865722890"/>
              <w:lock w:val="sdtLocked"/>
              <w:placeholder>
                <w:docPart w:val="GBC22222222222222222222222222222"/>
              </w:placeholder>
            </w:sdtPr>
            <w:sdtEndPr>
              <w:rPr>
                <w:rFonts w:hint="eastAsia"/>
                <w:szCs w:val="21"/>
              </w:rPr>
            </w:sdtEnd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sdt>
      <w:sdtPr>
        <w:rPr>
          <w:rFonts w:ascii="宋体" w:hAnsi="宋体" w:cs="宋体"/>
          <w:b w:val="0"/>
          <w:bCs w:val="0"/>
          <w:kern w:val="0"/>
          <w:szCs w:val="24"/>
        </w:rPr>
        <w:alias w:val="模块:报告期内对高级管理人员的考评机制，以及激励机制的建立、实施情..."/>
        <w:tag w:val="_SEC_e7128a1764624077b0f90f676a73dd15"/>
        <w:id w:val="865722894"/>
        <w:lock w:val="sdtLocked"/>
        <w:placeholder>
          <w:docPart w:val="GBC22222222222222222222222222222"/>
        </w:placeholder>
      </w:sdtPr>
      <w:sdtEndPr>
        <w:rPr>
          <w:rFonts w:ascii="宋体" w:hAnsi="宋体" w:cs="宋体"/>
          <w:b w:val="0"/>
          <w:bCs w:val="0"/>
          <w:kern w:val="0"/>
          <w:szCs w:val="24"/>
        </w:rPr>
      </w:sdtEndPr>
      <w:sdtContent>
        <w:p>
          <w:pPr>
            <w:pStyle w:val="4"/>
            <w:numPr>
              <w:ilvl w:val="1"/>
              <w:numId w:val="28"/>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865722892"/>
            <w:lock w:val="sdtLocked"/>
            <w:placeholder>
              <w:docPart w:val="GBC22222222222222222222222222222"/>
            </w:placeholder>
          </w:sdtPr>
          <w:sdtEndPr>
            <w:rPr>
              <w:rFonts w:hint="eastAsia"/>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cs="宋体"/>
          <w:b w:val="0"/>
          <w:bCs w:val="0"/>
          <w:kern w:val="0"/>
          <w:szCs w:val="24"/>
        </w:rPr>
        <w:alias w:val="模块:报告期内的内部控制制度建设及实施情况"/>
        <w:tag w:val="_SEC_4f62c5a91f184e9083e54ebccf8fe563"/>
        <w:id w:val="865722897"/>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21"/>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86572289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865722896"/>
            <w:lock w:val="sdtLocked"/>
            <w:placeholder>
              <w:docPart w:val="GBC22222222222222222222222222222"/>
            </w:placeholder>
          </w:sdtPr>
          <w:sdtEndPr>
            <w:rPr>
              <w:rFonts w:hint="eastAsia"/>
              <w:szCs w:val="21"/>
            </w:rPr>
          </w:sdtEndPr>
          <w:sdtContent>
            <w:p>
              <w:pPr>
                <w:spacing w:line="400" w:lineRule="exact"/>
                <w:ind w:firstLine="420" w:firstLineChars="200"/>
                <w:rPr>
                  <w:szCs w:val="21"/>
                </w:rPr>
              </w:pPr>
              <w:r>
                <w:rPr>
                  <w:rFonts w:hint="eastAsia"/>
                </w:rPr>
                <w:t>公司根据法律、法规的要求和自身所处行业及生产经营特点，建立了较为完善的内部控制体系并得到有效实施；在对有关制度的落实情况进行定期和不定期的检查中，未发现存在内部控制重大缺陷。公司的内部控制能够合理保证经营管理合法合规、资产安全、财务报告及相关信息真实完整，提高经营效率和效果，促进实现公司发展战略。</w:t>
              </w:r>
            </w:p>
          </w:sdtContent>
        </w:sdt>
        <w:p>
          <w:pPr>
            <w:rPr>
              <w:szCs w:val="21"/>
            </w:rPr>
          </w:pPr>
        </w:p>
      </w:sdtContent>
    </w:sdt>
    <w:sdt>
      <w:sdtPr>
        <w:rPr>
          <w:rFonts w:hint="eastAsia"/>
          <w:szCs w:val="21"/>
        </w:rPr>
        <w:alias w:val="模块:报告期内部控制存在重大缺陷情况的说明  "/>
        <w:tag w:val="_SEC_2ee2e77432cb43f3b2547fcae2c176b7"/>
        <w:id w:val="865722899"/>
        <w:lock w:val="sdtLocked"/>
        <w:placeholder>
          <w:docPart w:val="GBC22222222222222222222222222222"/>
        </w:placeholder>
      </w:sdtPr>
      <w:sdtEndPr>
        <w:rPr>
          <w:rFonts w:hint="default"/>
          <w:szCs w:val="21"/>
        </w:rPr>
      </w:sdtEndPr>
      <w:sdtContent>
        <w:p>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86572289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cs="宋体"/>
          <w:b w:val="0"/>
          <w:bCs w:val="0"/>
          <w:kern w:val="0"/>
          <w:szCs w:val="24"/>
        </w:rPr>
        <w:alias w:val="模块:报告期内对子公司的管理控制情况"/>
        <w:tag w:val="_SEC_01b27291a2ca4176b79ce579d14bbcee"/>
        <w:id w:val="865722902"/>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21"/>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86572290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865722901"/>
            <w:lock w:val="sdtLocked"/>
            <w:placeholder>
              <w:docPart w:val="GBC22222222222222222222222222222"/>
            </w:placeholder>
          </w:sdtPr>
          <w:sdtEndPr>
            <w:rPr>
              <w:rFonts w:hint="eastAsia"/>
              <w:szCs w:val="21"/>
              <w:highlight w:val="none"/>
            </w:rPr>
          </w:sdtEndPr>
          <w:sdtContent>
            <w:p>
              <w:pPr>
                <w:spacing w:line="400" w:lineRule="exact"/>
                <w:ind w:firstLine="420" w:firstLineChars="200"/>
              </w:pPr>
              <w:r>
                <w:t>公司</w:t>
              </w:r>
              <w:r>
                <w:rPr>
                  <w:rFonts w:hint="eastAsia"/>
                </w:rPr>
                <w:t>依据《公司法》《公司章程》和《控股子公司管理办法》等有关法律、规定，对子公司进行管理控制，实行放管结合、充分授权、严格考核的管理办法。</w:t>
              </w:r>
              <w:r>
                <w:t>公司对子公司均为绝对控股，</w:t>
              </w:r>
              <w:r>
                <w:rPr>
                  <w:rFonts w:hint="eastAsia"/>
                </w:rPr>
                <w:t>通过其股东会、董事会及监事会行使管理、协调、监督、考核等职权。</w:t>
              </w:r>
            </w:p>
            <w:p>
              <w:pPr>
                <w:spacing w:line="400" w:lineRule="exact"/>
                <w:ind w:firstLine="420" w:firstLineChars="200"/>
              </w:pPr>
              <w:r>
                <w:rPr>
                  <w:rFonts w:hint="eastAsia"/>
                </w:rPr>
                <w:t>子公司在公司的指导下健全法人治理结构；</w:t>
              </w:r>
              <w:r>
                <w:t>经理层依据董事会授权</w:t>
              </w:r>
              <w:r>
                <w:rPr>
                  <w:rFonts w:hint="eastAsia"/>
                </w:rPr>
                <w:t>，</w:t>
              </w:r>
              <w:r>
                <w:t>执行经公司审批的预算方案，组织生产、销售和经营管理工作；定期向公司</w:t>
              </w:r>
              <w:r>
                <w:rPr>
                  <w:rFonts w:hint="eastAsia"/>
                </w:rPr>
                <w:t>汇报生产</w:t>
              </w:r>
              <w:r>
                <w:t>经营和财务状况，接受公司派出的审计机构对其进行年度审计等</w:t>
              </w:r>
              <w:r>
                <w:rPr>
                  <w:rFonts w:hint="eastAsia"/>
                </w:rPr>
                <w:t>；</w:t>
              </w:r>
              <w:r>
                <w:t>公司对子公司进行经营业绩目标考核，以此确定经理层薪酬。</w:t>
              </w:r>
            </w:p>
            <w:p>
              <w:pPr>
                <w:spacing w:line="400" w:lineRule="exact"/>
                <w:ind w:firstLine="420" w:firstLineChars="200"/>
                <w:rPr>
                  <w:szCs w:val="21"/>
                  <w:highlight w:val="none"/>
                </w:rPr>
              </w:pPr>
              <w:r>
                <w:rPr>
                  <w:highlight w:val="none"/>
                </w:rPr>
                <w:t>报告期内，不存在子公司失去控制的现象。</w:t>
              </w:r>
            </w:p>
          </w:sdtContent>
        </w:sdt>
        <w:p>
          <w:pPr>
            <w:rPr>
              <w:szCs w:val="21"/>
            </w:rPr>
          </w:pPr>
        </w:p>
      </w:sdtContent>
    </w:sdt>
    <w:sdt>
      <w:sdtPr>
        <w:rPr>
          <w:rFonts w:hint="eastAsia" w:ascii="宋体" w:hAnsi="宋体" w:cs="宋体"/>
          <w:b w:val="0"/>
          <w:bCs w:val="0"/>
          <w:kern w:val="0"/>
          <w:szCs w:val="24"/>
        </w:rPr>
        <w:alias w:val="模块:内部控制审计报告的相关情况说明"/>
        <w:tag w:val="_SEC_2d6e7b1f7b054f2fbca2d55832fe79ef"/>
        <w:id w:val="865722907"/>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21"/>
            </w:numPr>
          </w:pPr>
          <w:r>
            <w:rPr>
              <w:rFonts w:hint="eastAsia"/>
            </w:rPr>
            <w:t>内部控制审计报告的相关情况说明</w:t>
          </w:r>
        </w:p>
        <w:sdt>
          <w:sdtPr>
            <w:rPr>
              <w:rFonts w:hint="eastAsia" w:cs="Times New Roman"/>
              <w:kern w:val="2"/>
              <w:szCs w:val="21"/>
            </w:rPr>
            <w:alias w:val="是否适用：内部控制审计报告的相关情况说明[双击切换]"/>
            <w:tag w:val="_GBC_f9211f94ca4347ababf36cfb6829169a"/>
            <w:id w:val="865722903"/>
            <w:lock w:val="sdtLocked"/>
            <w:placeholder>
              <w:docPart w:val="GBC22222222222222222222222222222"/>
            </w:placeholder>
          </w:sdtPr>
          <w:sdtEndPr>
            <w:rPr>
              <w:rFonts w:hint="eastAsia" w:cs="Times New Roman"/>
              <w:kern w:val="2"/>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865722904"/>
            <w:lock w:val="sdtLocked"/>
            <w:placeholder>
              <w:docPart w:val="GBC22222222222222222222222222222"/>
            </w:placeholder>
          </w:sdtPr>
          <w:sdtEndPr>
            <w:rPr>
              <w:rFonts w:hint="default" w:ascii="Times New Roman" w:hAnsi="Times New Roman" w:cs="Times New Roman"/>
              <w:szCs w:val="21"/>
            </w:rPr>
          </w:sdtEndPr>
          <w:sdtContent>
            <w:p>
              <w:pPr>
                <w:spacing w:line="400" w:lineRule="exact"/>
                <w:ind w:firstLine="420" w:firstLineChars="200"/>
                <w:rPr>
                  <w:rFonts w:ascii="Times New Roman" w:hAnsi="Times New Roman" w:cs="Times New Roman"/>
                  <w:szCs w:val="21"/>
                </w:rPr>
              </w:pPr>
              <w:r>
                <w:rPr>
                  <w:rFonts w:hint="eastAsia"/>
                  <w:szCs w:val="21"/>
                </w:rPr>
                <w:t>公司聘请永拓会计师事务所（特殊普通合伙</w:t>
              </w:r>
              <w:r>
                <w:rPr>
                  <w:rFonts w:ascii="Times New Roman" w:cs="Times New Roman"/>
                  <w:szCs w:val="21"/>
                </w:rPr>
                <w:t>）对公司</w:t>
              </w:r>
              <w:r>
                <w:rPr>
                  <w:rFonts w:ascii="Times New Roman" w:hAnsi="Times New Roman" w:cs="Times New Roman"/>
                  <w:szCs w:val="21"/>
                </w:rPr>
                <w:t>2021</w:t>
              </w:r>
              <w:r>
                <w:rPr>
                  <w:rFonts w:ascii="Times New Roman" w:cs="Times New Roman"/>
                  <w:szCs w:val="21"/>
                </w:rPr>
                <w:t>年财务报告内部控制情况进行审计，并出具了标准无保留意见的《公司</w:t>
              </w:r>
              <w:r>
                <w:rPr>
                  <w:rFonts w:ascii="Times New Roman" w:hAnsi="Times New Roman" w:cs="Times New Roman"/>
                  <w:szCs w:val="21"/>
                </w:rPr>
                <w:t>2021</w:t>
              </w:r>
              <w:r>
                <w:rPr>
                  <w:rFonts w:ascii="Times New Roman" w:cs="Times New Roman"/>
                  <w:szCs w:val="21"/>
                </w:rPr>
                <w:t>年度内部控制审计报告》，全文详见</w:t>
              </w: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3</w:t>
              </w:r>
              <w:r>
                <w:rPr>
                  <w:rFonts w:ascii="Times New Roman" w:cs="Times New Roman"/>
                  <w:szCs w:val="21"/>
                </w:rPr>
                <w:t>月</w:t>
              </w:r>
              <w:r>
                <w:rPr>
                  <w:rFonts w:ascii="Times New Roman" w:hAnsi="Times New Roman" w:cs="Times New Roman"/>
                  <w:szCs w:val="21"/>
                </w:rPr>
                <w:t>31</w:t>
              </w:r>
              <w:r>
                <w:rPr>
                  <w:rFonts w:ascii="Times New Roman" w:cs="Times New Roman"/>
                  <w:szCs w:val="21"/>
                </w:rPr>
                <w:t>日在上交所网站</w:t>
              </w:r>
              <w:r>
                <w:rPr>
                  <w:rFonts w:ascii="Times New Roman" w:cs="Times New Roman"/>
                </w:rPr>
                <w:t>（</w:t>
              </w:r>
              <w:r>
                <w:rPr>
                  <w:rFonts w:ascii="Times New Roman" w:hAnsi="Times New Roman" w:cs="Times New Roman"/>
                </w:rPr>
                <w:t>www.sse.com.cn</w:t>
              </w:r>
              <w:r>
                <w:rPr>
                  <w:rFonts w:ascii="Times New Roman" w:cs="Times New Roman"/>
                </w:rPr>
                <w:t>）披露的《公司</w:t>
              </w:r>
              <w:r>
                <w:rPr>
                  <w:rFonts w:ascii="Times New Roman" w:hAnsi="Times New Roman" w:cs="Times New Roman"/>
                </w:rPr>
                <w:t xml:space="preserve"> 2021 </w:t>
              </w:r>
              <w:r>
                <w:rPr>
                  <w:rFonts w:ascii="Times New Roman" w:cs="Times New Roman"/>
                </w:rPr>
                <w:t>年度内部控制审计报告》。</w:t>
              </w:r>
            </w:p>
          </w:sdtContent>
        </w:sdt>
        <w:p>
          <w:pPr>
            <w:spacing w:line="400" w:lineRule="exact"/>
            <w:rPr>
              <w:szCs w:val="21"/>
            </w:rPr>
          </w:pPr>
          <w:r>
            <w:rPr>
              <w:szCs w:val="21"/>
            </w:rPr>
            <w:t>是否披露内部控制审计报告：</w:t>
          </w:r>
          <w:sdt>
            <w:sdtPr>
              <w:rPr>
                <w:szCs w:val="21"/>
              </w:rPr>
              <w:alias w:val="审计机构是否对公司内部控制出具核实评价意见"/>
              <w:tag w:val="_GBC_c9f332f7c06944ebbd339ca86944d1e2"/>
              <w:id w:val="865722905"/>
              <w:lock w:val="sdtLocked"/>
              <w:placeholder>
                <w:docPart w:val="GBC22222222222222222222222222222"/>
              </w:placeholder>
              <w:comboBox>
                <w:listItem w:displayText="是" w:value="true"/>
                <w:listItem w:displayText="否" w:value="false"/>
              </w:comboBox>
            </w:sdtPr>
            <w:sdtEndPr>
              <w:rPr>
                <w:szCs w:val="21"/>
              </w:rPr>
            </w:sdtEndPr>
            <w:sdtContent>
              <w:r>
                <w:rPr>
                  <w:szCs w:val="21"/>
                </w:rPr>
                <w:t>是</w:t>
              </w:r>
            </w:sdtContent>
          </w:sdt>
        </w:p>
        <w:p>
          <w:pPr>
            <w:rPr>
              <w:lang w:val="zh-CN"/>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865722906"/>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rPr>
                <w:rFonts w:hint="eastAsia"/>
                <w:lang w:val="zh-CN"/>
              </w:rPr>
            </w:sdtEndPr>
            <w:sdtContent>
              <w:r>
                <w:rPr>
                  <w:rFonts w:hint="eastAsia"/>
                  <w:lang w:val="zh-CN"/>
                </w:rPr>
                <w:t>标准的无保留意见</w:t>
              </w:r>
            </w:sdtContent>
          </w:sdt>
        </w:p>
        <w:p>
          <w:pPr>
            <w:rPr>
              <w:szCs w:val="21"/>
            </w:rPr>
          </w:pPr>
        </w:p>
      </w:sdtContent>
    </w:sdt>
    <w:sdt>
      <w:sdtPr>
        <w:rPr>
          <w:rFonts w:ascii="宋体" w:hAnsi="宋体" w:cs="宋体"/>
          <w:b w:val="0"/>
          <w:bCs w:val="0"/>
          <w:kern w:val="0"/>
          <w:szCs w:val="24"/>
        </w:rPr>
        <w:alias w:val="模块:上市公司治理专项行动自查问题整改情况"/>
        <w:tag w:val="_SEC_f84d29ebbfd8434d8d55e144204ae2b0"/>
        <w:id w:val="865722909"/>
        <w:lock w:val="sdtLocked"/>
        <w:placeholder>
          <w:docPart w:val="GBC22222222222222222222222222222"/>
        </w:placeholder>
      </w:sdtPr>
      <w:sdtEndPr>
        <w:rPr>
          <w:rFonts w:ascii="宋体" w:hAnsi="宋体" w:cs="宋体"/>
          <w:b w:val="0"/>
          <w:bCs w:val="0"/>
          <w:kern w:val="0"/>
          <w:szCs w:val="21"/>
        </w:rPr>
      </w:sdtEndPr>
      <w:sdtContent>
        <w:p>
          <w:pPr>
            <w:pStyle w:val="3"/>
            <w:numPr>
              <w:ilvl w:val="0"/>
              <w:numId w:val="21"/>
            </w:numPr>
            <w:ind w:left="420" w:hanging="420"/>
            <w:rPr>
              <w:rFonts w:ascii="宋体" w:hAnsi="宋体" w:cs="宋体"/>
              <w:kern w:val="0"/>
              <w:szCs w:val="24"/>
            </w:rPr>
          </w:pPr>
          <w:bookmarkStart w:id="58" w:name="_Hlk40625199"/>
          <w:bookmarkStart w:id="59" w:name="_Hlk40625163"/>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865722908"/>
            <w:lock w:val="sdtLocked"/>
            <w:placeholder>
              <w:docPart w:val="GBC22222222222222222222222222222"/>
            </w:placeholder>
          </w:sdtPr>
          <w:sdtEndPr>
            <w:rPr>
              <w:szCs w:val="21"/>
            </w:rPr>
          </w:sdtEndPr>
          <w:sdtContent>
            <w:p>
              <w:pPr>
                <w:spacing w:line="400" w:lineRule="exact"/>
                <w:ind w:firstLine="420" w:firstLineChars="200"/>
              </w:pPr>
              <w:r>
                <w:rPr>
                  <w:rFonts w:hint="eastAsia"/>
                </w:rPr>
                <w:t>报告期内，公司依据证监会要求，完成了上市公司治理专项自查工作。通过全面梳理公司治理情况，整改完成下列事项：</w:t>
              </w:r>
            </w:p>
            <w:p>
              <w:pPr>
                <w:spacing w:line="400" w:lineRule="exact"/>
                <w:ind w:firstLine="420" w:firstLineChars="200"/>
                <w:rPr>
                  <w:rFonts w:ascii="Times New Roman" w:hAnsi="Times New Roman" w:cs="Times New Roman"/>
                </w:rPr>
              </w:pPr>
              <w:r>
                <w:rPr>
                  <w:rFonts w:ascii="Times New Roman" w:hAnsi="Times New Roman" w:cs="Times New Roman"/>
                </w:rPr>
                <w:t>1.</w:t>
              </w:r>
              <w:r>
                <w:rPr>
                  <w:rFonts w:ascii="Times New Roman" w:cs="Times New Roman"/>
                </w:rPr>
                <w:t>制度建设：制定了《投资者关系管理</w:t>
              </w:r>
              <w:r>
                <w:rPr>
                  <w:rFonts w:hint="eastAsia" w:ascii="Times New Roman" w:cs="Times New Roman"/>
                  <w:lang w:val="en-US" w:eastAsia="zh-CN"/>
                </w:rPr>
                <w:t>制度</w:t>
              </w:r>
              <w:r>
                <w:rPr>
                  <w:rFonts w:ascii="Times New Roman" w:cs="Times New Roman"/>
                </w:rPr>
                <w:t>》，修订了《内幕信息知情人管理</w:t>
              </w:r>
              <w:r>
                <w:rPr>
                  <w:rFonts w:hint="eastAsia" w:ascii="Times New Roman" w:cs="Times New Roman"/>
                  <w:lang w:val="en-US" w:eastAsia="zh-CN"/>
                </w:rPr>
                <w:t>制度</w:t>
              </w:r>
              <w:r>
                <w:rPr>
                  <w:rFonts w:ascii="Times New Roman" w:cs="Times New Roman"/>
                </w:rPr>
                <w:t>》，进一步完善公司治理体系。</w:t>
              </w:r>
            </w:p>
            <w:p>
              <w:pPr>
                <w:spacing w:line="400" w:lineRule="exact"/>
                <w:ind w:firstLine="420" w:firstLineChars="200"/>
                <w:rPr>
                  <w:rFonts w:ascii="Times New Roman" w:hAnsi="Times New Roman" w:cs="Times New Roman"/>
                </w:rPr>
              </w:pPr>
              <w:r>
                <w:rPr>
                  <w:rFonts w:ascii="Times New Roman" w:hAnsi="Times New Roman" w:cs="Times New Roman"/>
                </w:rPr>
                <w:t>2.</w:t>
              </w:r>
              <w:r>
                <w:rPr>
                  <w:rFonts w:ascii="Times New Roman" w:cs="Times New Roman"/>
                </w:rPr>
                <w:t>关联方任职：因实施重大资产出售暨关联交易项目，公司高级管理人员成为关联方企业董事长。公司已协调高级管理人员不再在该关联企业任职，保证了上市公司人员的独立性。</w:t>
              </w:r>
            </w:p>
            <w:p>
              <w:pPr>
                <w:spacing w:line="400" w:lineRule="exact"/>
                <w:ind w:firstLine="420" w:firstLineChars="200"/>
              </w:pPr>
              <w:r>
                <w:rPr>
                  <w:rFonts w:ascii="Times New Roman" w:hAnsi="Times New Roman" w:cs="Times New Roman"/>
                </w:rPr>
                <w:t>3.</w:t>
              </w:r>
              <w:r>
                <w:rPr>
                  <w:rFonts w:ascii="Times New Roman" w:cs="Times New Roman"/>
                </w:rPr>
                <w:t>资金占用潜在风险：公司积极联络控股股东，依协议约定按期收回了与控股股东重大资产出售项目</w:t>
              </w:r>
              <w:r>
                <w:t>的全部交易对价，妥善化解资金占用的潜在风险。</w:t>
              </w:r>
            </w:p>
            <w:p>
              <w:pPr>
                <w:spacing w:line="400" w:lineRule="exact"/>
                <w:ind w:firstLine="420" w:firstLineChars="200"/>
                <w:rPr>
                  <w:szCs w:val="21"/>
                </w:rPr>
              </w:pPr>
              <w:r>
                <w:rPr>
                  <w:rFonts w:hint="eastAsia"/>
                </w:rPr>
                <w:t>公司将继续按照《公司法《证券法》《上市公司治理准则》等要求，建立健全公司治理体系，切实提升公司治理水平。</w:t>
              </w:r>
            </w:p>
          </w:sdtContent>
        </w:sdt>
        <w:p>
          <w:pPr>
            <w:rPr>
              <w:szCs w:val="21"/>
            </w:rPr>
          </w:pPr>
        </w:p>
      </w:sdtContent>
    </w:sdt>
    <w:bookmarkEnd w:id="58"/>
    <w:bookmarkEnd w:id="59"/>
    <w:sdt>
      <w:sdtPr>
        <w:rPr>
          <w:rFonts w:ascii="宋体" w:hAnsi="宋体" w:cs="宋体"/>
          <w:b w:val="0"/>
          <w:bCs w:val="0"/>
          <w:kern w:val="0"/>
          <w:szCs w:val="24"/>
        </w:rPr>
        <w:alias w:val="模块:其他公司治理情况"/>
        <w:tag w:val="_SEC_21aaf83f464849edbdaf9c267b7db780"/>
        <w:id w:val="865722912"/>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21"/>
            </w:numPr>
          </w:pPr>
          <w:r>
            <w:t>其他</w:t>
          </w:r>
        </w:p>
        <w:sdt>
          <w:sdtPr>
            <w:rPr>
              <w:rFonts w:hint="eastAsia"/>
              <w:szCs w:val="21"/>
            </w:rPr>
            <w:alias w:val="是否适用：其他公司治理情况说明[双击切换]"/>
            <w:tag w:val="_GBC_dc91085943bb4d4ab22a79a9ba7014df"/>
            <w:id w:val="86572291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2"/>
        <w:numPr>
          <w:ilvl w:val="0"/>
          <w:numId w:val="2"/>
        </w:numPr>
      </w:pPr>
      <w:bookmarkStart w:id="60" w:name="_Toc89790252"/>
      <w:r>
        <w:rPr>
          <w:rFonts w:hint="eastAsia"/>
        </w:rPr>
        <w:t>环境与社会责任</w:t>
      </w:r>
      <w:bookmarkEnd w:id="60"/>
    </w:p>
    <w:p>
      <w:pPr>
        <w:pStyle w:val="3"/>
        <w:numPr>
          <w:ilvl w:val="0"/>
          <w:numId w:val="29"/>
        </w:numPr>
        <w:tabs>
          <w:tab w:val="left" w:pos="426"/>
        </w:tabs>
        <w:ind w:left="425" w:hanging="425"/>
        <w:jc w:val="left"/>
        <w:rPr>
          <w:rFonts w:ascii="宋体" w:hAnsi="宋体"/>
        </w:rPr>
      </w:pPr>
      <w:bookmarkStart w:id="61" w:name="_Hlk89187025"/>
      <w:bookmarkStart w:id="62" w:name="_Hlk89187063"/>
      <w:r>
        <w:rPr>
          <w:rFonts w:hint="eastAsia" w:ascii="宋体" w:hAnsi="宋体"/>
        </w:rPr>
        <w:t>环境</w:t>
      </w:r>
      <w:r>
        <w:rPr>
          <w:rFonts w:ascii="宋体" w:hAnsi="宋体"/>
        </w:rPr>
        <w:t>信息情况</w:t>
      </w:r>
    </w:p>
    <w:p>
      <w:pPr>
        <w:pStyle w:val="4"/>
        <w:numPr>
          <w:ilvl w:val="0"/>
          <w:numId w:val="30"/>
        </w:numPr>
        <w:ind w:left="425" w:hanging="425"/>
        <w:rPr>
          <w:rFonts w:ascii="宋体" w:hAnsi="宋体"/>
        </w:rPr>
      </w:pPr>
      <w:r>
        <w:rPr>
          <w:rFonts w:ascii="宋体" w:hAnsi="宋体"/>
        </w:rPr>
        <w:t>属于环境保护部门公布的重点排污单位的公司及其</w:t>
      </w:r>
      <w:r>
        <w:rPr>
          <w:rFonts w:hint="eastAsia" w:ascii="宋体" w:hAnsi="宋体"/>
        </w:rPr>
        <w:t>主要</w:t>
      </w:r>
      <w:r>
        <w:rPr>
          <w:rFonts w:ascii="宋体" w:hAnsi="宋体"/>
        </w:rPr>
        <w:t>子公司的环保情况说明</w:t>
      </w:r>
    </w:p>
    <w:sdt>
      <w:sdtPr>
        <w:rPr>
          <w:rFonts w:hint="eastAsia"/>
        </w:rPr>
        <w:alias w:val="是否适用：重点排污单位环保情况[双击切换]"/>
        <w:tag w:val="_GBC_40b93d2f11a54d2c995a8c41cdee40c4"/>
        <w:id w:val="865722913"/>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Pr>
        <w:pStyle w:val="4"/>
        <w:numPr>
          <w:ilvl w:val="0"/>
          <w:numId w:val="30"/>
        </w:numPr>
        <w:ind w:left="425" w:hanging="425"/>
        <w:rPr>
          <w:rFonts w:ascii="宋体" w:hAnsi="宋体"/>
        </w:rPr>
      </w:pPr>
      <w:r>
        <w:rPr>
          <w:rFonts w:hint="eastAsia" w:ascii="宋体" w:hAnsi="宋体"/>
        </w:rPr>
        <w:t>重点排污单位之外的公司环保情况说明</w:t>
      </w:r>
    </w:p>
    <w:sdt>
      <w:sdtPr>
        <w:alias w:val="是否适用：重点排污单位之外的公司的环保情况[双击切换]"/>
        <w:tag w:val="_GBC_d5ef790979ae4170801b0e930a2b7445"/>
        <w:id w:val="86572291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eastAsia="宋体" w:cs="宋体"/>
          <w:b w:val="0"/>
          <w:bCs w:val="0"/>
          <w:kern w:val="0"/>
          <w:szCs w:val="21"/>
        </w:rPr>
        <w:alias w:val="模块:因环境问题受到行政处罚的情况  ____"/>
        <w:tag w:val="_SEC_bac89a210931400d9e00585cc27da84b"/>
        <w:id w:val="865722916"/>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0"/>
              <w:numId w:val="31"/>
            </w:numPr>
            <w:ind w:left="450" w:hanging="450"/>
            <w:rPr>
              <w:rFonts w:ascii="宋体" w:hAnsi="宋体"/>
              <w:szCs w:val="21"/>
            </w:rPr>
          </w:pPr>
          <w:bookmarkStart w:id="63" w:name="_Hlk74731776"/>
          <w:r>
            <w:rPr>
              <w:rFonts w:hint="eastAsia" w:ascii="宋体" w:hAnsi="宋体"/>
              <w:szCs w:val="21"/>
            </w:rPr>
            <w:t>因环境问题受到行政处罚的情况</w:t>
          </w:r>
        </w:p>
        <w:sdt>
          <w:sdtPr>
            <w:rPr>
              <w:szCs w:val="21"/>
            </w:rPr>
            <w:alias w:val="是否适用：重点排污单位之外的公司因环境问题受到行政处罚的情况[双击切换]"/>
            <w:tag w:val="_GBC_5896886de1f845c180bb3a271ed2a8a9"/>
            <w:id w:val="86572291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63"/>
    <w:sdt>
      <w:sdtPr>
        <w:rPr>
          <w:rFonts w:hint="eastAsia" w:ascii="宋体" w:hAnsi="宋体" w:eastAsia="宋体" w:cs="宋体"/>
          <w:b w:val="0"/>
          <w:bCs w:val="0"/>
          <w:kern w:val="0"/>
          <w:szCs w:val="21"/>
        </w:rPr>
        <w:alias w:val="模块:参照重点排污单位披露其它环境信息  ____"/>
        <w:tag w:val="_SEC_94590b5110944664aca67c0b6bf297d9"/>
        <w:id w:val="865722919"/>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0"/>
              <w:numId w:val="31"/>
            </w:numPr>
            <w:ind w:left="450" w:hanging="450"/>
            <w:rPr>
              <w:rFonts w:ascii="宋体" w:hAnsi="宋体"/>
              <w:szCs w:val="21"/>
            </w:rPr>
          </w:pPr>
          <w:r>
            <w:rPr>
              <w:rFonts w:hint="eastAsia" w:ascii="宋体" w:hAnsi="宋体"/>
              <w:szCs w:val="21"/>
            </w:rPr>
            <w:t>参照</w:t>
          </w:r>
          <w:r>
            <w:rPr>
              <w:rFonts w:ascii="宋体" w:hAnsi="宋体"/>
              <w:szCs w:val="21"/>
            </w:rPr>
            <w:t>重点排污单位</w:t>
          </w:r>
          <w:r>
            <w:rPr>
              <w:rFonts w:hint="eastAsia" w:ascii="宋体" w:hAnsi="宋体"/>
              <w:szCs w:val="21"/>
            </w:rPr>
            <w:t>披露其他环境信息</w:t>
          </w:r>
        </w:p>
        <w:sdt>
          <w:sdtPr>
            <w:rPr>
              <w:szCs w:val="21"/>
            </w:rPr>
            <w:alias w:val="是否适用：参照重点排污单位披露其它环境信息[双击切换]"/>
            <w:tag w:val="_GBC_c81ce6b9ed3e477cb685a903703d325c"/>
            <w:id w:val="86572291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effe23a7bbde4f7a908345ffd998c638"/>
            <w:id w:val="865722918"/>
            <w:lock w:val="sdtLocked"/>
            <w:placeholder>
              <w:docPart w:val="GBC22222222222222222222222222222"/>
            </w:placeholder>
          </w:sdtPr>
          <w:sdtEndPr>
            <w:rPr>
              <w:szCs w:val="21"/>
            </w:rPr>
          </w:sdtEndPr>
          <w:sdtContent>
            <w:p>
              <w:pPr>
                <w:spacing w:line="440" w:lineRule="exact"/>
                <w:ind w:firstLine="424" w:firstLineChars="202"/>
                <w:rPr>
                  <w:szCs w:val="21"/>
                </w:rPr>
              </w:pPr>
              <w:r>
                <w:rPr>
                  <w:rFonts w:hint="eastAsia"/>
                  <w:szCs w:val="21"/>
                </w:rPr>
                <w:t>公司主要生产牙膏产品，主要污染物为废水，通过污水处理站，经过三级沉降处理达标后，按要求排入柳州市政污水管网统一处理排放。</w:t>
              </w:r>
              <w:r>
                <w:rPr>
                  <w:rFonts w:hint="eastAsia"/>
                  <w:szCs w:val="21"/>
                </w:rPr>
                <w:br w:type="textWrapping"/>
              </w:r>
              <w:r>
                <w:rPr>
                  <w:rFonts w:hint="eastAsia"/>
                  <w:szCs w:val="21"/>
                </w:rPr>
                <w:t xml:space="preserve">   </w:t>
              </w:r>
              <w:r>
                <w:rPr>
                  <w:rFonts w:ascii="Times New Roman" w:hAnsi="Times New Roman" w:cs="Times New Roman"/>
                  <w:szCs w:val="21"/>
                </w:rPr>
                <w:t xml:space="preserve"> </w:t>
              </w:r>
              <w:r>
                <w:rPr>
                  <w:rFonts w:ascii="Times New Roman" w:cs="Times New Roman"/>
                  <w:szCs w:val="21"/>
                </w:rPr>
                <w:t>公司依照有关要求进行网上排污登记并获得</w:t>
              </w:r>
              <w:r>
                <w:rPr>
                  <w:rFonts w:ascii="Times New Roman" w:hAnsi="Times New Roman" w:cs="Times New Roman"/>
                  <w:szCs w:val="21"/>
                </w:rPr>
                <w:t>2020</w:t>
              </w:r>
              <w:r>
                <w:rPr>
                  <w:rFonts w:ascii="Times New Roman" w:cs="Times New Roman"/>
                  <w:szCs w:val="21"/>
                </w:rPr>
                <w:t>年国家排污许可信息登记回执，有效期为：</w:t>
              </w:r>
              <w:r>
                <w:rPr>
                  <w:rFonts w:ascii="Times New Roman" w:hAnsi="Times New Roman" w:cs="Times New Roman"/>
                  <w:szCs w:val="21"/>
                </w:rPr>
                <w:t>2020</w:t>
              </w:r>
              <w:r>
                <w:rPr>
                  <w:rFonts w:ascii="Times New Roman" w:cs="Times New Roman"/>
                  <w:szCs w:val="21"/>
                </w:rPr>
                <w:t>年</w:t>
              </w:r>
              <w:r>
                <w:rPr>
                  <w:rFonts w:ascii="Times New Roman" w:hAnsi="Times New Roman" w:cs="Times New Roman"/>
                  <w:szCs w:val="21"/>
                </w:rPr>
                <w:t>3</w:t>
              </w:r>
              <w:r>
                <w:rPr>
                  <w:rFonts w:ascii="Times New Roman" w:cs="Times New Roman"/>
                  <w:szCs w:val="21"/>
                </w:rPr>
                <w:t>月</w:t>
              </w:r>
              <w:r>
                <w:rPr>
                  <w:rFonts w:ascii="Times New Roman" w:hAnsi="Times New Roman" w:cs="Times New Roman"/>
                  <w:szCs w:val="21"/>
                </w:rPr>
                <w:t>10</w:t>
              </w:r>
              <w:r>
                <w:rPr>
                  <w:rFonts w:ascii="Times New Roman" w:cs="Times New Roman"/>
                  <w:szCs w:val="21"/>
                </w:rPr>
                <w:t>日至</w:t>
              </w:r>
              <w:r>
                <w:rPr>
                  <w:rFonts w:ascii="Times New Roman" w:hAnsi="Times New Roman" w:cs="Times New Roman"/>
                  <w:szCs w:val="21"/>
                </w:rPr>
                <w:t>2025</w:t>
              </w:r>
              <w:r>
                <w:rPr>
                  <w:rFonts w:ascii="Times New Roman" w:cs="Times New Roman"/>
                  <w:szCs w:val="21"/>
                </w:rPr>
                <w:t>年</w:t>
              </w:r>
              <w:r>
                <w:rPr>
                  <w:rFonts w:ascii="Times New Roman" w:hAnsi="Times New Roman" w:cs="Times New Roman"/>
                  <w:szCs w:val="21"/>
                </w:rPr>
                <w:t>3</w:t>
              </w:r>
              <w:r>
                <w:rPr>
                  <w:rFonts w:ascii="Times New Roman" w:cs="Times New Roman"/>
                  <w:szCs w:val="21"/>
                </w:rPr>
                <w:t>月</w:t>
              </w:r>
              <w:r>
                <w:rPr>
                  <w:rFonts w:ascii="Times New Roman" w:hAnsi="Times New Roman" w:cs="Times New Roman"/>
                  <w:szCs w:val="21"/>
                </w:rPr>
                <w:t>09</w:t>
              </w:r>
              <w:r>
                <w:rPr>
                  <w:rFonts w:ascii="Times New Roman" w:cs="Times New Roman"/>
                  <w:szCs w:val="21"/>
                </w:rPr>
                <w:t>日。</w:t>
              </w:r>
              <w:r>
                <w:rPr>
                  <w:rFonts w:hint="eastAsia"/>
                  <w:szCs w:val="21"/>
                </w:rPr>
                <w:br w:type="textWrapping"/>
              </w:r>
              <w:r>
                <w:rPr>
                  <w:rFonts w:hint="eastAsia"/>
                  <w:szCs w:val="21"/>
                </w:rPr>
                <w:t xml:space="preserve">    报告期内未发生重特大环境污染事故。</w:t>
              </w:r>
            </w:p>
          </w:sdtContent>
        </w:sdt>
        <w:p>
          <w:pPr>
            <w:rPr>
              <w:szCs w:val="21"/>
            </w:rPr>
          </w:pPr>
        </w:p>
      </w:sdtContent>
    </w:sdt>
    <w:sdt>
      <w:sdtPr>
        <w:rPr>
          <w:rFonts w:hint="eastAsia" w:ascii="宋体" w:hAnsi="宋体" w:eastAsia="宋体" w:cs="宋体"/>
          <w:b w:val="0"/>
          <w:bCs w:val="0"/>
          <w:kern w:val="0"/>
          <w:szCs w:val="24"/>
        </w:rPr>
        <w:alias w:val="模块:重点排污单位之外的公司未披露环境信息的原因说明"/>
        <w:tag w:val="_SEC_cc1d855503794d7a8f44a0fe0390ebd1"/>
        <w:id w:val="865722921"/>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31"/>
            </w:numPr>
            <w:ind w:left="450" w:hanging="450"/>
            <w:rPr>
              <w:rFonts w:ascii="宋体" w:hAnsi="宋体"/>
              <w:szCs w:val="21"/>
            </w:rPr>
          </w:pPr>
          <w:r>
            <w:rPr>
              <w:rFonts w:hint="eastAsia" w:ascii="宋体" w:hAnsi="宋体"/>
              <w:szCs w:val="21"/>
            </w:rPr>
            <w:t>未披露其他环境信息的原因</w:t>
          </w:r>
        </w:p>
        <w:sdt>
          <w:sdtPr>
            <w:alias w:val="是否适用：重点排污单位之外的公司未披露环境信息的原因[双击切换]"/>
            <w:tag w:val="_GBC_cd8c1fc8381844409435eed0d957ea5c"/>
            <w:id w:val="86572292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4"/>
        </w:rPr>
        <w:alias w:val="模块:有利于保护生态、防治污染、履行环境责任的相关信息  __..."/>
        <w:tag w:val="_SEC_f7a534002f704099a4b5ea4591f982dc"/>
        <w:id w:val="865722923"/>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30"/>
            </w:numPr>
            <w:ind w:left="450" w:hanging="450"/>
            <w:rPr>
              <w:rFonts w:ascii="宋体" w:hAnsi="宋体" w:cs="宋体"/>
              <w:kern w:val="0"/>
              <w:szCs w:val="24"/>
            </w:rPr>
          </w:pPr>
          <w:r>
            <w:rPr>
              <w:rFonts w:hint="eastAsia" w:ascii="宋体" w:hAnsi="宋体" w:cs="宋体"/>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86572292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ascii="宋体" w:hAnsi="宋体" w:cs="宋体"/>
          <w:b w:val="0"/>
          <w:bCs w:val="0"/>
          <w:kern w:val="0"/>
          <w:szCs w:val="24"/>
        </w:rPr>
        <w:alias w:val="模块:在报告期内为减少其碳排放所采取的措施及效果"/>
        <w:tag w:val="_SEC_219d66470c5549c2b9ae6da091245f5d"/>
        <w:id w:val="865722925"/>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30"/>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548c6cdcee840f1b99e9992b9199dfc"/>
            <w:id w:val="86572292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社会责任工作情况"/>
        <w:tag w:val="_SEC_ee27b1a72aa5419087caf130b9eefdde"/>
        <w:id w:val="865722928"/>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29"/>
            </w:numPr>
            <w:tabs>
              <w:tab w:val="left" w:pos="426"/>
            </w:tabs>
            <w:ind w:left="425" w:hanging="425"/>
            <w:jc w:val="left"/>
          </w:pPr>
          <w:r>
            <w:rPr>
              <w:rFonts w:hint="eastAsia"/>
            </w:rPr>
            <w:t>社会责任工作</w:t>
          </w:r>
          <w:r>
            <w:rPr>
              <w:rFonts w:hint="eastAsia" w:ascii="宋体" w:hAnsi="宋体" w:cs="宋体"/>
              <w:kern w:val="0"/>
              <w:szCs w:val="24"/>
            </w:rPr>
            <w:t>情况</w:t>
          </w:r>
        </w:p>
        <w:sdt>
          <w:sdtPr>
            <w:rPr>
              <w:rFonts w:hint="eastAsia"/>
            </w:rPr>
            <w:alias w:val="是否适用：社会责任工作情况[双击切换]"/>
            <w:tag w:val="_GBC_193e5fab56724eddabaa8d0d74a4b129"/>
            <w:id w:val="865722926"/>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社会责任工作情况"/>
            <w:tag w:val="_GBC_a9b541509de44900b46d09bc29c43131"/>
            <w:id w:val="865722927"/>
            <w:lock w:val="sdtLocked"/>
            <w:placeholder>
              <w:docPart w:val="GBC22222222222222222222222222222"/>
            </w:placeholder>
          </w:sdtPr>
          <w:sdtEndPr>
            <w:rPr>
              <w:rFonts w:ascii="Times New Roman" w:hAnsi="Times New Roman" w:cs="Times New Roman"/>
            </w:rPr>
          </w:sdtEndPr>
          <w:sdtContent>
            <w:p>
              <w:pPr>
                <w:spacing w:line="520" w:lineRule="exact"/>
                <w:rPr>
                  <w:rFonts w:ascii="Times New Roman" w:hAnsi="Times New Roman" w:cs="Times New Roman"/>
                  <w:szCs w:val="21"/>
                </w:rPr>
              </w:pPr>
              <w:r>
                <w:rPr>
                  <w:szCs w:val="21"/>
                </w:rPr>
                <w:t xml:space="preserve">报告期内公司社会责任工作情况如下： </w:t>
              </w:r>
              <w:r>
                <w:rPr>
                  <w:szCs w:val="21"/>
                </w:rPr>
                <w:br w:type="textWrapping"/>
              </w:r>
              <w:r>
                <w:rPr>
                  <w:rFonts w:hint="eastAsia"/>
                  <w:szCs w:val="21"/>
                </w:rPr>
                <w:t xml:space="preserve">  </w:t>
              </w:r>
              <w:r>
                <w:rPr>
                  <w:szCs w:val="21"/>
                </w:rPr>
                <w:t xml:space="preserve"> </w:t>
              </w:r>
              <w:r>
                <w:rPr>
                  <w:rFonts w:hint="eastAsia"/>
                  <w:szCs w:val="21"/>
                </w:rPr>
                <w:t xml:space="preserve"> </w:t>
              </w:r>
              <w:r>
                <w:rPr>
                  <w:rFonts w:ascii="Times New Roman" w:hAnsi="Times New Roman" w:cs="Times New Roman"/>
                  <w:szCs w:val="21"/>
                </w:rPr>
                <w:t xml:space="preserve">1. </w:t>
              </w:r>
              <w:r>
                <w:rPr>
                  <w:rFonts w:ascii="Times New Roman" w:cs="Times New Roman"/>
                  <w:szCs w:val="21"/>
                </w:rPr>
                <w:t>股东权益保障：公司具备完</w:t>
              </w:r>
              <w:r>
                <w:rPr>
                  <w:rFonts w:cs="Times New Roman" w:asciiTheme="minorEastAsia" w:hAnsiTheme="minorEastAsia" w:eastAsiaTheme="minorEastAsia"/>
                  <w:szCs w:val="21"/>
                </w:rPr>
                <w:t>善的“三会一层”法人</w:t>
              </w:r>
              <w:r>
                <w:rPr>
                  <w:rFonts w:ascii="Times New Roman" w:cs="Times New Roman"/>
                  <w:szCs w:val="21"/>
                </w:rPr>
                <w:t>治理结构，决策合法；内部控制体系设计科学、运行有效；董监高及控股股东等关键少数勤勉尽责；报告期内，公司严格按照各项法律法规的规定履行信息披露义务，确保信息披露的公平性、真实性、准确性、及时性和完整性，同时积极在多渠道维护投资者关系，保护了投资者的合法权益。</w:t>
              </w:r>
              <w:r>
                <w:rPr>
                  <w:rFonts w:ascii="Times New Roman" w:hAnsi="Times New Roman" w:cs="Times New Roman"/>
                  <w:szCs w:val="21"/>
                </w:rPr>
                <w:br w:type="textWrapping"/>
              </w:r>
              <w:r>
                <w:rPr>
                  <w:rFonts w:ascii="Times New Roman" w:hAnsi="Times New Roman" w:cs="Times New Roman"/>
                  <w:szCs w:val="21"/>
                </w:rPr>
                <w:t xml:space="preserve">    2 .</w:t>
              </w:r>
              <w:r>
                <w:rPr>
                  <w:rFonts w:ascii="Times New Roman" w:cs="Times New Roman"/>
                  <w:szCs w:val="21"/>
                </w:rPr>
                <w:t>职工权益保障：公司严格遵守《劳动法》《劳动合同法》等法律法规，为员工提供舒适安全的工作环境，切实保护员工的合法权益。公司关注员工身心健康，定期安排员工体检，号召员工</w:t>
              </w:r>
              <w:r>
                <w:rPr>
                  <w:rFonts w:hint="eastAsia" w:ascii="Times New Roman" w:cs="Times New Roman"/>
                  <w:szCs w:val="21"/>
                  <w:lang w:val="en-US" w:eastAsia="zh-CN"/>
                </w:rPr>
                <w:t>参与</w:t>
              </w:r>
              <w:r>
                <w:rPr>
                  <w:rFonts w:ascii="Times New Roman" w:cs="Times New Roman"/>
                  <w:szCs w:val="21"/>
                </w:rPr>
                <w:t>新冠病毒疫苗和加强免疫接种，保障职工身体健康和生命安全；积极开展形式多样的活动，定期与不定期发放员工福利，提高员工幸福感；积极开展员工培训，提升员工专业素养，鼓励员工进行在职学历提升，并为员工提供良好晋升渠道。</w:t>
              </w:r>
              <w:r>
                <w:rPr>
                  <w:rFonts w:ascii="Times New Roman" w:hAnsi="Times New Roman" w:cs="Times New Roman"/>
                  <w:szCs w:val="21"/>
                </w:rPr>
                <w:br w:type="textWrapping"/>
              </w:r>
              <w:r>
                <w:rPr>
                  <w:rFonts w:ascii="Times New Roman" w:hAnsi="Times New Roman" w:cs="Times New Roman"/>
                  <w:szCs w:val="21"/>
                </w:rPr>
                <w:t xml:space="preserve">   3. </w:t>
              </w:r>
              <w:r>
                <w:rPr>
                  <w:rFonts w:ascii="Times New Roman" w:cs="Times New Roman"/>
                  <w:szCs w:val="21"/>
                </w:rPr>
                <w:t>抗击疫情：公司科学做好常态化疫情防控，统筹推进疫情防控和后勤保障工作，保障员工安全和经营稳定，积极参与疫情</w:t>
              </w:r>
              <w:r>
                <w:rPr>
                  <w:rFonts w:hint="eastAsia" w:ascii="Times New Roman" w:cs="Times New Roman"/>
                  <w:szCs w:val="21"/>
                  <w:lang w:val="en-US" w:eastAsia="zh-CN"/>
                </w:rPr>
                <w:t>防控</w:t>
              </w:r>
              <w:r>
                <w:rPr>
                  <w:rFonts w:ascii="Times New Roman" w:cs="Times New Roman"/>
                  <w:szCs w:val="21"/>
                </w:rPr>
                <w:t>工作。报告期内，扬州疫情突袭，公司当地员工按照部署，在做好自身防护的同时积极投身到抗疫工作一线，并及时送去防疫物资，支援疫情防治工作。</w:t>
              </w:r>
            </w:p>
            <w:p>
              <w:pPr>
                <w:spacing w:line="440" w:lineRule="exact"/>
                <w:ind w:firstLine="420" w:firstLineChars="200"/>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助力抗洪：</w:t>
              </w:r>
              <w:r>
                <w:rPr>
                  <w:rFonts w:ascii="Times New Roman" w:hAnsi="Times New Roman" w:cs="Times New Roman"/>
                  <w:szCs w:val="21"/>
                </w:rPr>
                <w:t>报告期内，</w:t>
              </w:r>
              <w:r>
                <w:rPr>
                  <w:rFonts w:ascii="Times New Roman" w:cs="Times New Roman"/>
                  <w:szCs w:val="21"/>
                </w:rPr>
                <w:t>为支援河南抗洪工作，公司捐赠了价值约百万</w:t>
              </w:r>
              <w:r>
                <w:rPr>
                  <w:rFonts w:ascii="Times New Roman" w:hAnsi="Times New Roman" w:cs="Times New Roman"/>
                  <w:szCs w:val="21"/>
                </w:rPr>
                <w:t>的4万多箱消杀产品和1万余套洗护用品，以解灾区群众燃眉之急。</w:t>
              </w:r>
            </w:p>
            <w:p>
              <w:pPr>
                <w:spacing w:line="520" w:lineRule="exact"/>
                <w:ind w:firstLine="420" w:firstLineChars="200"/>
                <w:rPr>
                  <w:rFonts w:ascii="Times New Roman" w:hAnsi="Times New Roman" w:cs="Times New Roman"/>
                  <w:szCs w:val="21"/>
                </w:rPr>
              </w:pPr>
              <w:r>
                <w:rPr>
                  <w:rFonts w:ascii="Times New Roman" w:hAnsi="Times New Roman" w:cs="Times New Roman"/>
                  <w:szCs w:val="21"/>
                </w:rPr>
                <w:t>5.</w:t>
              </w:r>
              <w:r>
                <w:rPr>
                  <w:rFonts w:ascii="Times New Roman" w:cs="Times New Roman"/>
                  <w:szCs w:val="21"/>
                </w:rPr>
                <w:t>行业贡献：公司牵头制订的行业标准</w:t>
              </w:r>
              <w:r>
                <w:rPr>
                  <w:rFonts w:ascii="Times New Roman" w:hAnsi="Times New Roman" w:cs="Times New Roman"/>
                  <w:szCs w:val="21"/>
                </w:rPr>
                <w:t>QB/T2966</w:t>
              </w:r>
              <w:r>
                <w:rPr>
                  <w:rFonts w:ascii="Times New Roman" w:cs="Times New Roman"/>
                  <w:szCs w:val="21"/>
                </w:rPr>
                <w:t>《功效型牙膏》正在修订。公司作为口腔协会副理事长单位，积极参与《化妆品监督管理条例《牙膏监督管理办法》等配套规范以及多项国家标准和行业标准项目的制定工作。</w:t>
              </w:r>
              <w:r>
                <w:rPr>
                  <w:rFonts w:ascii="Times New Roman" w:hAnsi="Times New Roman" w:cs="Times New Roman"/>
                  <w:szCs w:val="21"/>
                </w:rPr>
                <w:t>对行业技术进步和行业自律规范起到积极的推动作用。</w:t>
              </w:r>
            </w:p>
            <w:p>
              <w:pPr>
                <w:spacing w:line="440" w:lineRule="exact"/>
                <w:ind w:firstLine="420" w:firstLineChars="200"/>
                <w:rPr>
                  <w:rFonts w:ascii="Times New Roman" w:hAnsi="Times New Roman" w:cs="Times New Roman"/>
                  <w:szCs w:val="21"/>
                </w:rPr>
              </w:pPr>
              <w:r>
                <w:rPr>
                  <w:rFonts w:ascii="Times New Roman" w:hAnsi="Times New Roman" w:cs="Times New Roman"/>
                  <w:szCs w:val="21"/>
                </w:rPr>
                <w:t>6.乡村振兴：在圆满完成脱贫攻坚任务后，报告期内，公司继续开展乡村振兴工作，助力壮大村集体经济。相关内容详见本</w:t>
              </w:r>
              <w:r>
                <w:rPr>
                  <w:rFonts w:cs="Times New Roman" w:asciiTheme="minorEastAsia" w:hAnsiTheme="minorEastAsia" w:eastAsiaTheme="minorEastAsia"/>
                  <w:szCs w:val="21"/>
                </w:rPr>
                <w:t>节“三、巩固拓展脱贫攻坚成果、乡村振兴等工作具体情况”</w:t>
              </w:r>
              <w:r>
                <w:rPr>
                  <w:rFonts w:ascii="Times New Roman" w:hAnsi="Times New Roman" w:cs="Times New Roman"/>
                  <w:szCs w:val="21"/>
                </w:rPr>
                <w:t>。</w:t>
              </w:r>
              <w:r>
                <w:rPr>
                  <w:rFonts w:ascii="Times New Roman" w:hAnsi="Times New Roman" w:cs="Times New Roman"/>
                  <w:szCs w:val="21"/>
                </w:rPr>
                <w:br w:type="textWrapping"/>
              </w:r>
              <w:r>
                <w:rPr>
                  <w:rFonts w:ascii="Times New Roman" w:hAnsi="Times New Roman" w:cs="Times New Roman"/>
                  <w:szCs w:val="21"/>
                </w:rPr>
                <w:t xml:space="preserve">    7.</w:t>
              </w:r>
              <w:r>
                <w:rPr>
                  <w:rFonts w:ascii="Times New Roman" w:cs="Times New Roman"/>
                  <w:szCs w:val="21"/>
                </w:rPr>
                <w:t>其他社会公益事业：公司是广西首批挂牌的质量教育社会实践基地，设有牙膏博物馆，系中国口腔健康科普公益联盟成员单位之一，依托自身优势，向学校师生和社会公众宣传口腔科普知识，倡导口腔健康，提升科学素养。</w:t>
              </w:r>
            </w:p>
            <w:p>
              <w:pPr>
                <w:rPr>
                  <w:rFonts w:ascii="Times New Roman" w:hAnsi="Times New Roman" w:cs="Times New Roman"/>
                </w:rPr>
              </w:pPr>
            </w:p>
          </w:sdtContent>
        </w:sdt>
        <w:p/>
      </w:sdtContent>
    </w:sdt>
    <w:sdt>
      <w:sdtPr>
        <w:rPr>
          <w:rFonts w:hint="eastAsia" w:ascii="宋体" w:hAnsi="宋体" w:cs="宋体"/>
          <w:b w:val="0"/>
          <w:bCs w:val="0"/>
          <w:kern w:val="0"/>
          <w:szCs w:val="24"/>
        </w:rPr>
        <w:alias w:val="模块:巩固拓展脱贫攻坚成果、乡村振兴工作具体情况"/>
        <w:tag w:val="_SEC_e3132df5923a4a1886e35ca9514a1640"/>
        <w:id w:val="865722931"/>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29"/>
            </w:numPr>
            <w:tabs>
              <w:tab w:val="left" w:pos="426"/>
            </w:tabs>
            <w:ind w:left="425" w:hanging="425"/>
            <w:jc w:val="left"/>
            <w:rPr>
              <w:rFonts w:ascii="宋体" w:hAnsi="宋体"/>
            </w:rPr>
          </w:pPr>
          <w:r>
            <w:rPr>
              <w:rFonts w:hint="eastAsia" w:ascii="宋体" w:hAnsi="宋体"/>
            </w:rPr>
            <w:t>巩固拓展脱贫攻坚成果、乡村振兴等工作具体情况</w:t>
          </w:r>
        </w:p>
        <w:sdt>
          <w:sdtPr>
            <w:alias w:val="是否适用：巩固拓展脱贫攻坚成果、乡村振兴工作具体情况[双击切换]"/>
            <w:tag w:val="_GBC_da0a87234d174e509f00e24b4a8320dc"/>
            <w:id w:val="86572292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6af1d9c635ca457eaede5db7b23daa68"/>
            <w:id w:val="865722930"/>
            <w:lock w:val="sdtLocked"/>
            <w:placeholder>
              <w:docPart w:val="GBC22222222222222222222222222222"/>
            </w:placeholder>
          </w:sdtPr>
          <w:sdtContent>
            <w:p>
              <w:pPr>
                <w:spacing w:line="440" w:lineRule="exact"/>
                <w:ind w:firstLine="424" w:firstLineChars="202"/>
                <w:rPr>
                  <w:szCs w:val="21"/>
                </w:rPr>
              </w:pPr>
              <w:r>
                <w:rPr>
                  <w:rFonts w:hint="eastAsia"/>
                  <w:szCs w:val="21"/>
                </w:rPr>
                <w:t>公司认真履行社会责任，积极开展乡村振兴工作。</w:t>
              </w:r>
              <w:r>
                <w:rPr>
                  <w:rFonts w:ascii="Times New Roman" w:hAnsi="Times New Roman" w:cs="Times New Roman"/>
                  <w:szCs w:val="21"/>
                </w:rPr>
                <w:t>2020</w:t>
              </w:r>
              <w:r>
                <w:rPr>
                  <w:rFonts w:ascii="Times New Roman" w:cs="Times New Roman"/>
                  <w:szCs w:val="21"/>
                </w:rPr>
                <w:t>年，公司定点帮扶的融水县安太乡培秀村已实现脱贫摘帽。报告期内，公司对接帮扶柳州市三江县</w:t>
              </w:r>
              <w:r>
                <w:rPr>
                  <w:szCs w:val="21"/>
                </w:rPr>
                <w:t>洋溪乡信洞村，并选派驻村书记，帮助信洞村巩固脱贫攻坚成果、推进乡村振兴。公司多次组织志愿服务队到培秀村、信洞村等帮扶村走访慰问，给村民送去慰问物资、慰问资金，为村民提供义务维修便民服务，开展消费帮扶等，以实际行动支持乡村产业发展。</w:t>
              </w:r>
            </w:p>
            <w:p/>
          </w:sdtContent>
        </w:sdt>
        <w:p/>
      </w:sdtContent>
    </w:sdt>
    <w:p>
      <w:pPr>
        <w:sectPr>
          <w:pgSz w:w="11906" w:h="16838"/>
          <w:pgMar w:top="1525" w:right="1276" w:bottom="1440" w:left="1797" w:header="851" w:footer="992" w:gutter="0"/>
          <w:cols w:space="425" w:num="1"/>
          <w:docGrid w:linePitch="312" w:charSpace="0"/>
        </w:sectPr>
      </w:pPr>
    </w:p>
    <w:bookmarkEnd w:id="61"/>
    <w:p/>
    <w:bookmarkEnd w:id="62"/>
    <w:p>
      <w:pPr>
        <w:pStyle w:val="2"/>
        <w:numPr>
          <w:ilvl w:val="0"/>
          <w:numId w:val="2"/>
        </w:numPr>
      </w:pPr>
      <w:bookmarkStart w:id="64" w:name="_Toc89790253"/>
      <w:bookmarkStart w:id="65" w:name="_Hlk90554245"/>
      <w:r>
        <w:rPr>
          <w:rFonts w:hint="eastAsia"/>
        </w:rPr>
        <w:t>重要事项</w:t>
      </w:r>
      <w:bookmarkEnd w:id="64"/>
    </w:p>
    <w:p>
      <w:pPr>
        <w:pStyle w:val="3"/>
        <w:numPr>
          <w:ilvl w:val="0"/>
          <w:numId w:val="32"/>
        </w:numPr>
      </w:pPr>
      <w:r>
        <w:rPr>
          <w:rFonts w:hint="eastAsia"/>
        </w:rPr>
        <w:t>承诺事项履行情况</w:t>
      </w:r>
    </w:p>
    <w:sdt>
      <w:sdtPr>
        <w:rPr>
          <w:rFonts w:hint="eastAsia" w:ascii="宋体" w:hAnsi="宋体" w:cs="宋体"/>
          <w:b w:val="0"/>
          <w:bCs w:val="0"/>
          <w:kern w:val="0"/>
          <w:sz w:val="24"/>
          <w:szCs w:val="21"/>
        </w:rPr>
        <w:alias w:val="模块:上市公司、持股5%以上的股东、控股股东及实际控制人在报告期内承诺事项"/>
        <w:tag w:val="_SEC_993caead489c45a092f4575c075d1bcf"/>
        <w:id w:val="865723009"/>
        <w:lock w:val="sdtLocked"/>
        <w:placeholder>
          <w:docPart w:val="GBC22222222222222222222222222222"/>
        </w:placeholder>
      </w:sdtPr>
      <w:sdtEndPr>
        <w:rPr>
          <w:rFonts w:hint="default" w:ascii="宋体" w:hAnsi="宋体" w:cs="宋体"/>
          <w:b w:val="0"/>
          <w:bCs w:val="0"/>
          <w:kern w:val="0"/>
          <w:sz w:val="21"/>
          <w:szCs w:val="24"/>
        </w:rPr>
      </w:sdtEndPr>
      <w:sdtContent>
        <w:p>
          <w:pPr>
            <w:pStyle w:val="4"/>
            <w:numPr>
              <w:ilvl w:val="1"/>
              <w:numId w:val="33"/>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86572293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07"/>
            <w:tblW w:w="5005" w:type="pct"/>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852"/>
            <w:gridCol w:w="1275"/>
            <w:gridCol w:w="4677"/>
            <w:gridCol w:w="1419"/>
            <w:gridCol w:w="708"/>
            <w:gridCol w:w="849"/>
            <w:gridCol w:w="127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15cfb23b46b41fba9f0b895a1088fd6"/>
                <w:id w:val="865722933"/>
                <w:lock w:val="sdtLocked"/>
              </w:sdtPr>
              <w:sdtEndPr>
                <w:rPr>
                  <w:rFonts w:ascii="Times New Roman" w:hAnsi="Times New Roman" w:cs="Times New Roman"/>
                </w:rPr>
              </w:sdtEndPr>
              <w:sdtContent>
                <w:tc>
                  <w:tcPr>
                    <w:tcW w:w="648" w:type="pct"/>
                    <w:shd w:val="clear" w:color="auto" w:fill="auto"/>
                    <w:vAlign w:val="center"/>
                  </w:tcPr>
                  <w:p>
                    <w:pPr>
                      <w:jc w:val="center"/>
                      <w:rPr>
                        <w:rFonts w:ascii="Times New Roman" w:hAnsi="Times New Roman" w:cs="Times New Roman"/>
                        <w:szCs w:val="21"/>
                      </w:rPr>
                    </w:pPr>
                    <w:r>
                      <w:rPr>
                        <w:rFonts w:ascii="Times New Roman" w:cs="Times New Roman"/>
                        <w:szCs w:val="21"/>
                      </w:rPr>
                      <w:t>承诺背景</w:t>
                    </w:r>
                  </w:p>
                </w:tc>
              </w:sdtContent>
            </w:sdt>
            <w:sdt>
              <w:sdtPr>
                <w:rPr>
                  <w:rFonts w:ascii="Times New Roman" w:hAnsi="Times New Roman" w:cs="Times New Roman"/>
                </w:rPr>
                <w:tag w:val="_PLD_6d89eb5533974f2f9b788e2563589a7c"/>
                <w:id w:val="865722934"/>
                <w:lock w:val="sdtLocked"/>
              </w:sdtPr>
              <w:sdtEndPr>
                <w:rPr>
                  <w:rFonts w:ascii="Times New Roman" w:hAnsi="Times New Roman" w:cs="Times New Roman"/>
                </w:rPr>
              </w:sdtEndPr>
              <w:sdtContent>
                <w:tc>
                  <w:tcPr>
                    <w:tcW w:w="302" w:type="pct"/>
                    <w:shd w:val="clear" w:color="auto" w:fill="auto"/>
                    <w:vAlign w:val="center"/>
                  </w:tcPr>
                  <w:p>
                    <w:pPr>
                      <w:jc w:val="center"/>
                      <w:rPr>
                        <w:rFonts w:ascii="Times New Roman" w:hAnsi="Times New Roman" w:cs="Times New Roman"/>
                        <w:szCs w:val="21"/>
                      </w:rPr>
                    </w:pPr>
                    <w:r>
                      <w:rPr>
                        <w:rFonts w:ascii="Times New Roman" w:cs="Times New Roman"/>
                        <w:szCs w:val="21"/>
                      </w:rPr>
                      <w:t>承诺</w:t>
                    </w:r>
                  </w:p>
                  <w:p>
                    <w:pPr>
                      <w:jc w:val="center"/>
                      <w:rPr>
                        <w:rFonts w:ascii="Times New Roman" w:hAnsi="Times New Roman" w:cs="Times New Roman"/>
                        <w:szCs w:val="21"/>
                      </w:rPr>
                    </w:pPr>
                    <w:r>
                      <w:rPr>
                        <w:rFonts w:ascii="Times New Roman" w:cs="Times New Roman"/>
                        <w:szCs w:val="21"/>
                      </w:rPr>
                      <w:t>类型</w:t>
                    </w:r>
                  </w:p>
                </w:tc>
              </w:sdtContent>
            </w:sdt>
            <w:sdt>
              <w:sdtPr>
                <w:rPr>
                  <w:rFonts w:ascii="Times New Roman" w:hAnsi="Times New Roman" w:cs="Times New Roman"/>
                </w:rPr>
                <w:tag w:val="_PLD_4e3459cf954648c5ade489d7f239c9b2"/>
                <w:id w:val="865722935"/>
                <w:lock w:val="sdtLocked"/>
              </w:sdtPr>
              <w:sdtEndPr>
                <w:rPr>
                  <w:rFonts w:ascii="Times New Roman" w:hAnsi="Times New Roman" w:cs="Times New Roman"/>
                </w:rPr>
              </w:sdtEndPr>
              <w:sdtContent>
                <w:tc>
                  <w:tcPr>
                    <w:tcW w:w="452" w:type="pct"/>
                    <w:shd w:val="clear" w:color="auto" w:fill="auto"/>
                    <w:vAlign w:val="center"/>
                  </w:tcPr>
                  <w:p>
                    <w:pPr>
                      <w:jc w:val="center"/>
                      <w:rPr>
                        <w:rFonts w:ascii="Times New Roman" w:hAnsi="Times New Roman" w:cs="Times New Roman"/>
                        <w:szCs w:val="21"/>
                      </w:rPr>
                    </w:pPr>
                    <w:r>
                      <w:rPr>
                        <w:rFonts w:ascii="Times New Roman" w:cs="Times New Roman"/>
                        <w:szCs w:val="21"/>
                      </w:rPr>
                      <w:t>承诺方</w:t>
                    </w:r>
                  </w:p>
                </w:tc>
              </w:sdtContent>
            </w:sdt>
            <w:sdt>
              <w:sdtPr>
                <w:rPr>
                  <w:rFonts w:ascii="Times New Roman" w:hAnsi="Times New Roman" w:cs="Times New Roman"/>
                </w:rPr>
                <w:tag w:val="_PLD_b7ba969a5a9f484b969e33829f8fee27"/>
                <w:id w:val="865722936"/>
                <w:lock w:val="sdtLocked"/>
              </w:sdtPr>
              <w:sdtEndPr>
                <w:rPr>
                  <w:rFonts w:ascii="Times New Roman" w:hAnsi="Times New Roman" w:cs="Times New Roman"/>
                </w:rPr>
              </w:sdtEndPr>
              <w:sdtContent>
                <w:tc>
                  <w:tcPr>
                    <w:tcW w:w="1658" w:type="pct"/>
                    <w:shd w:val="clear" w:color="auto" w:fill="auto"/>
                    <w:vAlign w:val="center"/>
                  </w:tcPr>
                  <w:p>
                    <w:pPr>
                      <w:jc w:val="center"/>
                      <w:rPr>
                        <w:rFonts w:ascii="Times New Roman" w:hAnsi="Times New Roman" w:cs="Times New Roman"/>
                        <w:szCs w:val="21"/>
                      </w:rPr>
                    </w:pPr>
                    <w:r>
                      <w:rPr>
                        <w:rFonts w:ascii="Times New Roman" w:cs="Times New Roman"/>
                        <w:szCs w:val="21"/>
                      </w:rPr>
                      <w:t>承诺</w:t>
                    </w:r>
                  </w:p>
                  <w:p>
                    <w:pPr>
                      <w:jc w:val="center"/>
                      <w:rPr>
                        <w:rFonts w:ascii="Times New Roman" w:hAnsi="Times New Roman" w:cs="Times New Roman"/>
                        <w:szCs w:val="21"/>
                      </w:rPr>
                    </w:pPr>
                    <w:r>
                      <w:rPr>
                        <w:rFonts w:ascii="Times New Roman" w:cs="Times New Roman"/>
                        <w:szCs w:val="21"/>
                      </w:rPr>
                      <w:t>内容</w:t>
                    </w:r>
                  </w:p>
                </w:tc>
              </w:sdtContent>
            </w:sdt>
            <w:sdt>
              <w:sdtPr>
                <w:rPr>
                  <w:rFonts w:ascii="Times New Roman" w:hAnsi="Times New Roman" w:cs="Times New Roman"/>
                </w:rPr>
                <w:tag w:val="_PLD_f0fda96fdc9f43318315f33cf1099787"/>
                <w:id w:val="865722937"/>
                <w:lock w:val="sdtLocked"/>
              </w:sdtPr>
              <w:sdtEndPr>
                <w:rPr>
                  <w:rFonts w:ascii="Times New Roman" w:hAnsi="Times New Roman" w:cs="Times New Roman"/>
                </w:rPr>
              </w:sdtEndPr>
              <w:sdtContent>
                <w:tc>
                  <w:tcPr>
                    <w:tcW w:w="503" w:type="pct"/>
                    <w:shd w:val="clear" w:color="auto" w:fill="auto"/>
                    <w:vAlign w:val="center"/>
                  </w:tcPr>
                  <w:p>
                    <w:pPr>
                      <w:jc w:val="center"/>
                      <w:rPr>
                        <w:rFonts w:ascii="Times New Roman" w:hAnsi="Times New Roman" w:cs="Times New Roman"/>
                        <w:szCs w:val="21"/>
                      </w:rPr>
                    </w:pPr>
                    <w:r>
                      <w:rPr>
                        <w:rFonts w:ascii="Times New Roman" w:cs="Times New Roman"/>
                        <w:szCs w:val="21"/>
                      </w:rPr>
                      <w:t>承诺时间及期限</w:t>
                    </w:r>
                  </w:p>
                </w:tc>
              </w:sdtContent>
            </w:sdt>
            <w:sdt>
              <w:sdtPr>
                <w:rPr>
                  <w:rFonts w:ascii="Times New Roman" w:hAnsi="Times New Roman" w:cs="Times New Roman"/>
                </w:rPr>
                <w:tag w:val="_PLD_81953845df7c406091c017485ffe89d0"/>
                <w:id w:val="865722938"/>
                <w:lock w:val="sdtLocked"/>
              </w:sdtPr>
              <w:sdtEndPr>
                <w:rPr>
                  <w:rFonts w:ascii="Times New Roman" w:hAnsi="Times New Roman" w:cs="Times New Roman"/>
                </w:rPr>
              </w:sdtEndPr>
              <w:sdtContent>
                <w:tc>
                  <w:tcPr>
                    <w:tcW w:w="251" w:type="pct"/>
                    <w:shd w:val="clear" w:color="auto" w:fill="auto"/>
                    <w:vAlign w:val="center"/>
                  </w:tcPr>
                  <w:p>
                    <w:pPr>
                      <w:jc w:val="center"/>
                      <w:rPr>
                        <w:rFonts w:ascii="Times New Roman" w:hAnsi="Times New Roman" w:cs="Times New Roman"/>
                        <w:szCs w:val="21"/>
                      </w:rPr>
                    </w:pPr>
                    <w:r>
                      <w:rPr>
                        <w:rFonts w:ascii="Times New Roman" w:cs="Times New Roman"/>
                        <w:szCs w:val="21"/>
                      </w:rPr>
                      <w:t>是否有履行期限</w:t>
                    </w:r>
                  </w:p>
                </w:tc>
              </w:sdtContent>
            </w:sdt>
            <w:sdt>
              <w:sdtPr>
                <w:rPr>
                  <w:rFonts w:ascii="Times New Roman" w:hAnsi="Times New Roman" w:cs="Times New Roman"/>
                </w:rPr>
                <w:tag w:val="_PLD_f70c8d8e3e374db7a8e212809462bcc0"/>
                <w:id w:val="865722939"/>
                <w:lock w:val="sdtLocked"/>
              </w:sdtPr>
              <w:sdtEndPr>
                <w:rPr>
                  <w:rFonts w:ascii="Times New Roman" w:hAnsi="Times New Roman" w:cs="Times New Roman"/>
                </w:rPr>
              </w:sdtEndPr>
              <w:sdtContent>
                <w:tc>
                  <w:tcPr>
                    <w:tcW w:w="301" w:type="pct"/>
                    <w:shd w:val="clear" w:color="auto" w:fill="auto"/>
                    <w:vAlign w:val="center"/>
                  </w:tcPr>
                  <w:p>
                    <w:pPr>
                      <w:jc w:val="center"/>
                      <w:rPr>
                        <w:rFonts w:ascii="Times New Roman" w:hAnsi="Times New Roman" w:cs="Times New Roman"/>
                        <w:szCs w:val="21"/>
                      </w:rPr>
                    </w:pPr>
                    <w:r>
                      <w:rPr>
                        <w:rFonts w:ascii="Times New Roman" w:cs="Times New Roman"/>
                        <w:szCs w:val="21"/>
                      </w:rPr>
                      <w:t>是否及时严格履行</w:t>
                    </w:r>
                  </w:p>
                </w:tc>
              </w:sdtContent>
            </w:sdt>
            <w:sdt>
              <w:sdtPr>
                <w:rPr>
                  <w:rFonts w:ascii="Times New Roman" w:hAnsi="Times New Roman" w:cs="Times New Roman"/>
                </w:rPr>
                <w:tag w:val="_PLD_30da9c1a74564266bdab010410b3cfc4"/>
                <w:id w:val="865722940"/>
                <w:lock w:val="sdtLocked"/>
              </w:sdtPr>
              <w:sdtEndPr>
                <w:rPr>
                  <w:rFonts w:ascii="Times New Roman" w:hAnsi="Times New Roman" w:cs="Times New Roman"/>
                </w:rPr>
              </w:sdtEndPr>
              <w:sdtContent>
                <w:tc>
                  <w:tcPr>
                    <w:tcW w:w="453" w:type="pct"/>
                    <w:shd w:val="clear" w:color="auto" w:fill="auto"/>
                    <w:vAlign w:val="center"/>
                  </w:tcPr>
                  <w:p>
                    <w:pPr>
                      <w:jc w:val="center"/>
                      <w:rPr>
                        <w:rFonts w:ascii="Times New Roman" w:hAnsi="Times New Roman" w:cs="Times New Roman"/>
                        <w:szCs w:val="21"/>
                      </w:rPr>
                    </w:pPr>
                    <w:r>
                      <w:rPr>
                        <w:rFonts w:ascii="Times New Roman" w:cs="Times New Roman"/>
                        <w:szCs w:val="21"/>
                      </w:rPr>
                      <w:t>如未能及时履行应说明未完成履行的具体原因</w:t>
                    </w:r>
                  </w:p>
                </w:tc>
              </w:sdtContent>
            </w:sdt>
            <w:sdt>
              <w:sdtPr>
                <w:rPr>
                  <w:rFonts w:ascii="Times New Roman" w:hAnsi="Times New Roman" w:cs="Times New Roman"/>
                </w:rPr>
                <w:tag w:val="_PLD_885166d72adc442aaa68aa0f496582ae"/>
                <w:id w:val="865722941"/>
                <w:lock w:val="sdtLocked"/>
              </w:sdtPr>
              <w:sdtEndPr>
                <w:rPr>
                  <w:rFonts w:ascii="Times New Roman" w:hAnsi="Times New Roman" w:cs="Times New Roman"/>
                </w:rPr>
              </w:sdtEndPr>
              <w:sdtContent>
                <w:tc>
                  <w:tcPr>
                    <w:tcW w:w="432" w:type="pct"/>
                    <w:shd w:val="clear" w:color="auto" w:fill="auto"/>
                    <w:vAlign w:val="center"/>
                  </w:tcPr>
                  <w:p>
                    <w:pPr>
                      <w:jc w:val="center"/>
                      <w:rPr>
                        <w:rFonts w:ascii="Times New Roman" w:hAnsi="Times New Roman" w:cs="Times New Roman"/>
                        <w:szCs w:val="21"/>
                      </w:rPr>
                    </w:pPr>
                    <w:r>
                      <w:rPr>
                        <w:rFonts w:ascii="Times New Roman" w:cs="Times New Roman"/>
                        <w:szCs w:val="21"/>
                      </w:rPr>
                      <w:t>如未能及时履行应说明下一步计划</w:t>
                    </w:r>
                  </w:p>
                </w:tc>
              </w:sdtContent>
            </w:sdt>
          </w:tr>
          <w:sdt>
            <w:sdtPr>
              <w:rPr>
                <w:rFonts w:ascii="Times New Roman" w:hAnsi="Times New Roman" w:cs="Times New Roman" w:eastAsiaTheme="minorEastAsia"/>
                <w:kern w:val="2"/>
                <w:szCs w:val="21"/>
              </w:rPr>
              <w:alias w:val="与股改相关的承诺"/>
              <w:tag w:val="_TUP_52b0bcd9a2de474c82a26f4ca817b5ce"/>
              <w:id w:val="865722946"/>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restart"/>
                    <w:shd w:val="clear" w:color="auto" w:fill="auto"/>
                  </w:tcPr>
                  <w:sdt>
                    <w:sdtPr>
                      <w:rPr>
                        <w:rFonts w:ascii="Times New Roman" w:hAnsi="Times New Roman" w:cs="Times New Roman"/>
                        <w:szCs w:val="21"/>
                      </w:rPr>
                      <w:tag w:val="_PLD_91f6c68dd7c84bbd913cb2b7de84629a"/>
                      <w:id w:val="865722942"/>
                      <w:lock w:val="sdtLocked"/>
                    </w:sdtPr>
                    <w:sdtEndPr>
                      <w:rPr>
                        <w:rFonts w:ascii="Times New Roman" w:hAnsi="Times New Roman" w:cs="Times New Roman"/>
                        <w:szCs w:val="21"/>
                      </w:rPr>
                    </w:sdtEndPr>
                    <w:sdtContent>
                      <w:p>
                        <w:pPr>
                          <w:rPr>
                            <w:rFonts w:ascii="Times New Roman" w:hAnsi="Times New Roman" w:cs="Times New Roman"/>
                            <w:szCs w:val="21"/>
                          </w:rPr>
                        </w:pPr>
                        <w:r>
                          <w:rPr>
                            <w:rFonts w:ascii="Times New Roman" w:cs="Times New Roman"/>
                            <w:szCs w:val="21"/>
                          </w:rPr>
                          <w:t>与股改相关的承诺</w:t>
                        </w:r>
                      </w:p>
                    </w:sdtContent>
                  </w:sdt>
                </w:tc>
                <w:sdt>
                  <w:sdtPr>
                    <w:rPr>
                      <w:rFonts w:ascii="Times New Roman" w:hAnsi="Times New Roman" w:cs="Times New Roman"/>
                      <w:szCs w:val="21"/>
                    </w:rPr>
                    <w:alias w:val="与股改相关的承诺-承诺类型"/>
                    <w:tag w:val="_GBC_42711d9292024695a6d6323dd41f6287"/>
                    <w:id w:val="865722943"/>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imes New Roman" w:hAnsi="Times New Roman" w:cs="Times New Roman"/>
                      <w:szCs w:val="21"/>
                    </w:rPr>
                  </w:sdtEndPr>
                  <w:sdtContent>
                    <w:tc>
                      <w:tcPr>
                        <w:tcW w:w="302" w:type="pct"/>
                        <w:shd w:val="clear" w:color="auto" w:fill="auto"/>
                      </w:tcPr>
                      <w:p>
                        <w:pPr>
                          <w:rPr>
                            <w:rFonts w:ascii="Times New Roman" w:hAnsi="Times New Roman" w:cs="Times New Roman"/>
                            <w:color w:val="FFC000"/>
                            <w:szCs w:val="21"/>
                          </w:rPr>
                        </w:pPr>
                        <w:r>
                          <w:rPr>
                            <w:rFonts w:ascii="Times New Roman" w:cs="Times New Roman"/>
                          </w:rPr>
                          <w:t>　</w:t>
                        </w:r>
                      </w:p>
                    </w:tc>
                  </w:sdtContent>
                </w:sdt>
                <w:tc>
                  <w:tcPr>
                    <w:tcW w:w="452" w:type="pct"/>
                    <w:shd w:val="clear" w:color="auto" w:fill="auto"/>
                  </w:tcPr>
                  <w:p>
                    <w:pPr>
                      <w:rPr>
                        <w:rFonts w:ascii="Times New Roman" w:hAnsi="Times New Roman" w:cs="Times New Roman"/>
                        <w:szCs w:val="21"/>
                      </w:rPr>
                    </w:pPr>
                  </w:p>
                </w:tc>
                <w:tc>
                  <w:tcPr>
                    <w:tcW w:w="1658" w:type="pct"/>
                    <w:shd w:val="clear" w:color="auto" w:fill="auto"/>
                  </w:tcPr>
                  <w:p>
                    <w:pPr>
                      <w:rPr>
                        <w:rFonts w:ascii="Times New Roman" w:hAnsi="Times New Roman" w:cs="Times New Roman"/>
                        <w:szCs w:val="21"/>
                      </w:rPr>
                    </w:pPr>
                  </w:p>
                </w:tc>
                <w:tc>
                  <w:tcPr>
                    <w:tcW w:w="503" w:type="pct"/>
                    <w:shd w:val="clear" w:color="auto" w:fill="auto"/>
                  </w:tcPr>
                  <w:p>
                    <w:pPr>
                      <w:rPr>
                        <w:rFonts w:ascii="Times New Roman" w:hAnsi="Times New Roman" w:cs="Times New Roman"/>
                        <w:szCs w:val="21"/>
                      </w:rPr>
                    </w:pPr>
                  </w:p>
                </w:tc>
                <w:sdt>
                  <w:sdtPr>
                    <w:rPr>
                      <w:rFonts w:ascii="Times New Roman" w:hAnsi="Times New Roman" w:cs="Times New Roman"/>
                      <w:bCs/>
                      <w:szCs w:val="21"/>
                    </w:rPr>
                    <w:alias w:val="与股改相关的承诺-是否有履行期限"/>
                    <w:tag w:val="_GBC_5067339adf464fb4a4f087986e715461"/>
                    <w:id w:val="865722944"/>
                    <w:lock w:val="sdtLocked"/>
                    <w:showingPlcHdr/>
                    <w:comboBox>
                      <w:listItem w:displayText="是" w:value="true"/>
                      <w:listItem w:displayText="否" w:value="false"/>
                    </w:comboBox>
                  </w:sdtPr>
                  <w:sdtEndPr>
                    <w:rPr>
                      <w:rFonts w:ascii="Times New Roman" w:hAnsi="Times New Roman" w:cs="Times New Roman"/>
                      <w:bCs/>
                      <w:szCs w:val="21"/>
                    </w:rPr>
                  </w:sdtEndPr>
                  <w:sdtContent>
                    <w:tc>
                      <w:tcPr>
                        <w:tcW w:w="251" w:type="pct"/>
                        <w:shd w:val="clear" w:color="auto" w:fill="auto"/>
                      </w:tcPr>
                      <w:p>
                        <w:pPr>
                          <w:rPr>
                            <w:rFonts w:ascii="Times New Roman" w:hAnsi="Times New Roman" w:cs="Times New Roman"/>
                            <w:color w:val="FFC000"/>
                            <w:szCs w:val="21"/>
                          </w:rPr>
                        </w:pPr>
                        <w:r>
                          <w:rPr>
                            <w:rFonts w:ascii="Times New Roman" w:cs="Times New Roman"/>
                          </w:rPr>
                          <w:t>　</w:t>
                        </w:r>
                      </w:p>
                    </w:tc>
                  </w:sdtContent>
                </w:sdt>
                <w:sdt>
                  <w:sdtPr>
                    <w:rPr>
                      <w:rFonts w:ascii="Times New Roman" w:hAnsi="Times New Roman" w:cs="Times New Roman"/>
                      <w:bCs/>
                      <w:szCs w:val="21"/>
                    </w:rPr>
                    <w:alias w:val="与股改相关的承诺-是否及时严格履行"/>
                    <w:tag w:val="_GBC_f3141c942fea447ca29948e697c07591"/>
                    <w:id w:val="865722945"/>
                    <w:lock w:val="sdtLocked"/>
                    <w:showingPlcHdr/>
                    <w:comboBox>
                      <w:listItem w:displayText="是" w:value="true"/>
                      <w:listItem w:displayText="否" w:value="false"/>
                    </w:comboBox>
                  </w:sdtPr>
                  <w:sdtEndPr>
                    <w:rPr>
                      <w:rFonts w:ascii="Times New Roman" w:hAnsi="Times New Roman" w:cs="Times New Roman"/>
                      <w:bCs/>
                      <w:szCs w:val="21"/>
                    </w:rPr>
                  </w:sdtEndPr>
                  <w:sdtContent>
                    <w:tc>
                      <w:tcPr>
                        <w:tcW w:w="301" w:type="pct"/>
                        <w:shd w:val="clear" w:color="auto" w:fill="auto"/>
                      </w:tcPr>
                      <w:p>
                        <w:pPr>
                          <w:rPr>
                            <w:rFonts w:ascii="Times New Roman" w:hAnsi="Times New Roman" w:cs="Times New Roman"/>
                            <w:color w:val="FFC000"/>
                            <w:szCs w:val="21"/>
                          </w:rPr>
                        </w:pPr>
                        <w:r>
                          <w:rPr>
                            <w:rFonts w:ascii="Times New Roman" w:cs="Times New Roman"/>
                          </w:rPr>
                          <w:t>　</w:t>
                        </w:r>
                      </w:p>
                    </w:tc>
                  </w:sdtContent>
                </w:sdt>
                <w:tc>
                  <w:tcPr>
                    <w:tcW w:w="453" w:type="pct"/>
                    <w:shd w:val="clear" w:color="auto" w:fill="auto"/>
                  </w:tcPr>
                  <w:p>
                    <w:pPr>
                      <w:rPr>
                        <w:rFonts w:ascii="Times New Roman" w:hAnsi="Times New Roman" w:cs="Times New Roman"/>
                        <w:szCs w:val="21"/>
                      </w:rPr>
                    </w:pPr>
                  </w:p>
                </w:tc>
                <w:tc>
                  <w:tcPr>
                    <w:tcW w:w="432" w:type="pct"/>
                    <w:shd w:val="clear" w:color="auto" w:fill="auto"/>
                  </w:tcPr>
                  <w:p>
                    <w:pPr>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shd w:val="clear" w:color="auto" w:fill="auto"/>
              </w:tcPr>
              <w:p>
                <w:pPr>
                  <w:rPr>
                    <w:rFonts w:ascii="Times New Roman" w:hAnsi="Times New Roman" w:cs="Times New Roman"/>
                  </w:rPr>
                </w:pPr>
              </w:p>
            </w:tc>
            <w:sdt>
              <w:sdtPr>
                <w:rPr>
                  <w:rFonts w:ascii="Times New Roman" w:hAnsi="Times New Roman" w:cs="Times New Roman"/>
                  <w:szCs w:val="21"/>
                </w:rPr>
                <w:alias w:val="与股改相关的承诺-承诺类型"/>
                <w:tag w:val="_GBC_42711d9292024695a6d6323dd41f6287"/>
                <w:id w:val="865722947"/>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imes New Roman" w:hAnsi="Times New Roman" w:cs="Times New Roman"/>
                  <w:szCs w:val="21"/>
                </w:rPr>
              </w:sdtEndPr>
              <w:sdtContent>
                <w:tc>
                  <w:tcPr>
                    <w:tcW w:w="302" w:type="pct"/>
                    <w:shd w:val="clear" w:color="auto" w:fill="auto"/>
                  </w:tcPr>
                  <w:p>
                    <w:pPr>
                      <w:rPr>
                        <w:rFonts w:ascii="Times New Roman" w:hAnsi="Times New Roman" w:cs="Times New Roman"/>
                        <w:color w:val="FFC000"/>
                        <w:szCs w:val="21"/>
                      </w:rPr>
                    </w:pPr>
                    <w:r>
                      <w:rPr>
                        <w:rFonts w:ascii="Times New Roman" w:cs="Times New Roman"/>
                      </w:rPr>
                      <w:t>　</w:t>
                    </w:r>
                  </w:p>
                </w:tc>
              </w:sdtContent>
            </w:sdt>
            <w:tc>
              <w:tcPr>
                <w:tcW w:w="452" w:type="pct"/>
                <w:shd w:val="clear" w:color="auto" w:fill="auto"/>
              </w:tcPr>
              <w:p>
                <w:pPr>
                  <w:rPr>
                    <w:rFonts w:ascii="Times New Roman" w:hAnsi="Times New Roman" w:cs="Times New Roman"/>
                    <w:szCs w:val="21"/>
                  </w:rPr>
                </w:pPr>
              </w:p>
            </w:tc>
            <w:tc>
              <w:tcPr>
                <w:tcW w:w="1658" w:type="pct"/>
                <w:shd w:val="clear" w:color="auto" w:fill="auto"/>
              </w:tcPr>
              <w:p>
                <w:pPr>
                  <w:rPr>
                    <w:rFonts w:ascii="Times New Roman" w:hAnsi="Times New Roman" w:cs="Times New Roman"/>
                    <w:szCs w:val="21"/>
                  </w:rPr>
                </w:pPr>
              </w:p>
            </w:tc>
            <w:tc>
              <w:tcPr>
                <w:tcW w:w="503" w:type="pct"/>
                <w:shd w:val="clear" w:color="auto" w:fill="auto"/>
              </w:tcPr>
              <w:p>
                <w:pPr>
                  <w:rPr>
                    <w:rFonts w:ascii="Times New Roman" w:hAnsi="Times New Roman" w:cs="Times New Roman"/>
                    <w:szCs w:val="21"/>
                  </w:rPr>
                </w:pPr>
              </w:p>
            </w:tc>
            <w:sdt>
              <w:sdtPr>
                <w:rPr>
                  <w:rFonts w:ascii="Times New Roman" w:hAnsi="Times New Roman" w:cs="Times New Roman"/>
                  <w:bCs/>
                  <w:szCs w:val="21"/>
                </w:rPr>
                <w:alias w:val="与股改相关的承诺-是否有履行期限"/>
                <w:tag w:val="_GBC_5067339adf464fb4a4f087986e715461"/>
                <w:id w:val="865722948"/>
                <w:lock w:val="sdtLocked"/>
                <w:showingPlcHdr/>
                <w:comboBox>
                  <w:listItem w:displayText="是" w:value="true"/>
                  <w:listItem w:displayText="否" w:value="false"/>
                </w:comboBox>
              </w:sdtPr>
              <w:sdtEndPr>
                <w:rPr>
                  <w:rFonts w:ascii="Times New Roman" w:hAnsi="Times New Roman" w:cs="Times New Roman"/>
                  <w:bCs/>
                  <w:szCs w:val="21"/>
                </w:rPr>
              </w:sdtEndPr>
              <w:sdtContent>
                <w:tc>
                  <w:tcPr>
                    <w:tcW w:w="251" w:type="pct"/>
                    <w:shd w:val="clear" w:color="auto" w:fill="auto"/>
                  </w:tcPr>
                  <w:p>
                    <w:pPr>
                      <w:rPr>
                        <w:rFonts w:ascii="Times New Roman" w:hAnsi="Times New Roman" w:cs="Times New Roman"/>
                        <w:color w:val="FFC000"/>
                        <w:szCs w:val="21"/>
                      </w:rPr>
                    </w:pPr>
                    <w:r>
                      <w:rPr>
                        <w:rFonts w:ascii="Times New Roman" w:cs="Times New Roman"/>
                      </w:rPr>
                      <w:t>　</w:t>
                    </w:r>
                  </w:p>
                </w:tc>
              </w:sdtContent>
            </w:sdt>
            <w:sdt>
              <w:sdtPr>
                <w:rPr>
                  <w:rFonts w:ascii="Times New Roman" w:hAnsi="Times New Roman" w:cs="Times New Roman"/>
                  <w:bCs/>
                  <w:szCs w:val="21"/>
                </w:rPr>
                <w:alias w:val="与股改相关的承诺-是否及时严格履行"/>
                <w:tag w:val="_GBC_f3141c942fea447ca29948e697c07591"/>
                <w:id w:val="865722949"/>
                <w:lock w:val="sdtLocked"/>
                <w:showingPlcHdr/>
                <w:comboBox>
                  <w:listItem w:displayText="是" w:value="true"/>
                  <w:listItem w:displayText="否" w:value="false"/>
                </w:comboBox>
              </w:sdtPr>
              <w:sdtEndPr>
                <w:rPr>
                  <w:rFonts w:ascii="Times New Roman" w:hAnsi="Times New Roman" w:cs="Times New Roman"/>
                  <w:bCs/>
                  <w:szCs w:val="21"/>
                </w:rPr>
              </w:sdtEndPr>
              <w:sdtContent>
                <w:tc>
                  <w:tcPr>
                    <w:tcW w:w="301" w:type="pct"/>
                    <w:shd w:val="clear" w:color="auto" w:fill="auto"/>
                  </w:tcPr>
                  <w:p>
                    <w:pPr>
                      <w:rPr>
                        <w:rFonts w:ascii="Times New Roman" w:hAnsi="Times New Roman" w:cs="Times New Roman"/>
                        <w:color w:val="FFC000"/>
                        <w:szCs w:val="21"/>
                      </w:rPr>
                    </w:pPr>
                    <w:r>
                      <w:rPr>
                        <w:rFonts w:ascii="Times New Roman" w:cs="Times New Roman"/>
                      </w:rPr>
                      <w:t>　</w:t>
                    </w:r>
                  </w:p>
                </w:tc>
              </w:sdtContent>
            </w:sdt>
            <w:tc>
              <w:tcPr>
                <w:tcW w:w="453" w:type="pct"/>
                <w:shd w:val="clear" w:color="auto" w:fill="auto"/>
              </w:tcPr>
              <w:p>
                <w:pPr>
                  <w:rPr>
                    <w:rFonts w:ascii="Times New Roman" w:hAnsi="Times New Roman" w:cs="Times New Roman"/>
                    <w:szCs w:val="21"/>
                  </w:rPr>
                </w:pPr>
              </w:p>
            </w:tc>
            <w:tc>
              <w:tcPr>
                <w:tcW w:w="432" w:type="pct"/>
                <w:shd w:val="clear" w:color="auto" w:fill="auto"/>
              </w:tcPr>
              <w:p>
                <w:pPr>
                  <w:rPr>
                    <w:rFonts w:ascii="Times New Roman" w:hAnsi="Times New Roman" w:cs="Times New Roman"/>
                    <w:szCs w:val="21"/>
                  </w:rPr>
                </w:pPr>
              </w:p>
            </w:tc>
          </w:tr>
          <w:sdt>
            <w:sdtPr>
              <w:rPr>
                <w:rFonts w:ascii="Times New Roman" w:hAnsi="Times New Roman" w:cs="Times New Roman" w:eastAsiaTheme="minorEastAsia"/>
                <w:kern w:val="2"/>
                <w:szCs w:val="21"/>
              </w:rPr>
              <w:alias w:val="与收购报告书或权益变动报告书相关承诺"/>
              <w:tag w:val="_TUP_b029e9ef9af246b89ed04f31f709addd"/>
              <w:id w:val="865722954"/>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8" w:type="pct"/>
                    <w:vMerge w:val="restart"/>
                    <w:shd w:val="clear" w:color="auto" w:fill="auto"/>
                    <w:vAlign w:val="center"/>
                  </w:tcPr>
                  <w:sdt>
                    <w:sdtPr>
                      <w:rPr>
                        <w:rFonts w:ascii="Times New Roman" w:hAnsi="Times New Roman" w:cs="Times New Roman"/>
                        <w:szCs w:val="21"/>
                      </w:rPr>
                      <w:tag w:val="_PLD_fdaa92c57a7c4f64aa3471fb3461bc10"/>
                      <w:id w:val="865722950"/>
                      <w:lock w:val="sdtLocked"/>
                    </w:sdtPr>
                    <w:sdtEndPr>
                      <w:rPr>
                        <w:rFonts w:ascii="Times New Roman" w:hAnsi="Times New Roman" w:cs="Times New Roman"/>
                        <w:szCs w:val="21"/>
                      </w:rPr>
                    </w:sdtEndPr>
                    <w:sdtContent>
                      <w:p>
                        <w:pPr>
                          <w:jc w:val="both"/>
                          <w:rPr>
                            <w:rFonts w:ascii="Times New Roman" w:hAnsi="Times New Roman" w:cs="Times New Roman"/>
                            <w:szCs w:val="21"/>
                          </w:rPr>
                        </w:pPr>
                        <w:r>
                          <w:rPr>
                            <w:rFonts w:ascii="Times New Roman" w:cs="Times New Roman"/>
                            <w:szCs w:val="21"/>
                          </w:rPr>
                          <w:t>收购报告书或权益变动报告书中所作承诺</w:t>
                        </w:r>
                      </w:p>
                    </w:sdtContent>
                  </w:sdt>
                </w:tc>
                <w:sdt>
                  <w:sdtPr>
                    <w:rPr>
                      <w:rFonts w:ascii="Times New Roman" w:hAnsi="Times New Roman" w:cs="Times New Roman"/>
                      <w:szCs w:val="21"/>
                    </w:rPr>
                    <w:alias w:val="与收购报告书或权益变动报告书相关承诺-承诺类型"/>
                    <w:tag w:val="_GBC_7e8c7b9404c242d88bc81acdfb745cf2"/>
                    <w:id w:val="86572295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imes New Roman" w:hAnsi="Times New Roman" w:cs="Times New Roman"/>
                      <w:szCs w:val="21"/>
                    </w:rPr>
                  </w:sdtEndPr>
                  <w:sdtContent>
                    <w:tc>
                      <w:tcPr>
                        <w:tcW w:w="302" w:type="pct"/>
                        <w:shd w:val="clear" w:color="auto" w:fill="auto"/>
                        <w:vAlign w:val="center"/>
                      </w:tcPr>
                      <w:p>
                        <w:pPr>
                          <w:jc w:val="both"/>
                          <w:rPr>
                            <w:rFonts w:ascii="Times New Roman" w:hAnsi="Times New Roman" w:cs="Times New Roman"/>
                            <w:szCs w:val="21"/>
                          </w:rPr>
                        </w:pPr>
                        <w:r>
                          <w:rPr>
                            <w:rFonts w:ascii="Times New Roman" w:cs="Times New Roman"/>
                            <w:szCs w:val="21"/>
                          </w:rPr>
                          <w:t>解决同业竞争</w:t>
                        </w:r>
                      </w:p>
                    </w:tc>
                  </w:sdtContent>
                </w:sdt>
                <w:tc>
                  <w:tcPr>
                    <w:tcW w:w="452" w:type="pct"/>
                    <w:shd w:val="clear" w:color="auto" w:fill="auto"/>
                    <w:vAlign w:val="center"/>
                  </w:tcPr>
                  <w:p>
                    <w:pPr>
                      <w:jc w:val="both"/>
                      <w:rPr>
                        <w:rFonts w:ascii="Times New Roman" w:hAnsi="Times New Roman" w:cs="Times New Roman"/>
                        <w:szCs w:val="21"/>
                      </w:rPr>
                    </w:pPr>
                    <w:r>
                      <w:rPr>
                        <w:rFonts w:ascii="Times New Roman" w:cs="Times New Roman"/>
                      </w:rPr>
                      <w:t>广西柳州市产业投资发展集团有限公司</w:t>
                    </w:r>
                  </w:p>
                </w:tc>
                <w:tc>
                  <w:tcPr>
                    <w:tcW w:w="1658" w:type="pct"/>
                    <w:shd w:val="clear" w:color="auto" w:fill="auto"/>
                    <w:vAlign w:val="center"/>
                  </w:tcPr>
                  <w:p>
                    <w:pPr>
                      <w:jc w:val="both"/>
                      <w:rPr>
                        <w:rFonts w:ascii="Times New Roman" w:hAnsi="Times New Roman" w:cs="Times New Roman"/>
                        <w:szCs w:val="21"/>
                      </w:rPr>
                    </w:pPr>
                    <w:r>
                      <w:rPr>
                        <w:rFonts w:ascii="Times New Roman" w:cs="Times New Roman"/>
                      </w:rPr>
                      <w:t>保证现在和将来不经营与本公司相同的业务；亦不间接经营、参与投资与本公司业务有竞争或可能有竞争的企业；同时保证不利用其控制地位损害本公司及其他股东的合法权益。</w:t>
                    </w:r>
                  </w:p>
                </w:tc>
                <w:tc>
                  <w:tcPr>
                    <w:tcW w:w="503" w:type="pct"/>
                    <w:shd w:val="clear" w:color="auto" w:fill="auto"/>
                    <w:vAlign w:val="center"/>
                  </w:tcPr>
                  <w:p>
                    <w:pPr>
                      <w:jc w:val="center"/>
                      <w:rPr>
                        <w:rFonts w:ascii="Times New Roman" w:hAnsi="Times New Roman" w:cs="Times New Roman"/>
                        <w:szCs w:val="21"/>
                      </w:rPr>
                    </w:pPr>
                    <w:r>
                      <w:rPr>
                        <w:rFonts w:ascii="Times New Roman" w:hAnsi="Times New Roman" w:cs="Times New Roman"/>
                      </w:rPr>
                      <w:t>2011</w:t>
                    </w:r>
                    <w:r>
                      <w:rPr>
                        <w:rFonts w:ascii="Times New Roman" w:cs="Times New Roman"/>
                      </w:rPr>
                      <w:t>年</w:t>
                    </w:r>
                    <w:r>
                      <w:rPr>
                        <w:rFonts w:ascii="Times New Roman" w:hAnsi="Times New Roman" w:cs="Times New Roman"/>
                      </w:rPr>
                      <w:t>1</w:t>
                    </w:r>
                    <w:r>
                      <w:rPr>
                        <w:rFonts w:ascii="Times New Roman" w:cs="Times New Roman"/>
                      </w:rPr>
                      <w:t>月；承诺期限：长期有效</w:t>
                    </w:r>
                  </w:p>
                </w:tc>
                <w:sdt>
                  <w:sdtPr>
                    <w:rPr>
                      <w:rFonts w:ascii="Times New Roman" w:hAnsi="Times New Roman" w:cs="Times New Roman"/>
                      <w:szCs w:val="21"/>
                    </w:rPr>
                    <w:alias w:val="与收购报告书或权益变动报告书相关承诺-是否有履行期限"/>
                    <w:tag w:val="_GBC_3738be69c5c34784a9199ff6b9605c3b"/>
                    <w:id w:val="865722952"/>
                    <w:lock w:val="sdtLocked"/>
                    <w:comboBox>
                      <w:listItem w:displayText="是" w:value="true"/>
                      <w:listItem w:displayText="否" w:value="false"/>
                    </w:comboBox>
                  </w:sdtPr>
                  <w:sdtEndPr>
                    <w:rPr>
                      <w:rFonts w:ascii="Times New Roman" w:hAnsi="Times New Roman" w:cs="Times New Roman"/>
                      <w:szCs w:val="21"/>
                    </w:rPr>
                  </w:sdtEndPr>
                  <w:sdtContent>
                    <w:tc>
                      <w:tcPr>
                        <w:tcW w:w="251" w:type="pct"/>
                        <w:shd w:val="clear" w:color="auto" w:fill="auto"/>
                        <w:vAlign w:val="center"/>
                      </w:tcPr>
                      <w:p>
                        <w:pPr>
                          <w:jc w:val="center"/>
                          <w:rPr>
                            <w:rFonts w:ascii="Times New Roman" w:hAnsi="Times New Roman" w:cs="Times New Roman"/>
                            <w:szCs w:val="21"/>
                          </w:rPr>
                        </w:pPr>
                        <w:r>
                          <w:rPr>
                            <w:rFonts w:ascii="Times New Roman" w:cs="Times New Roman"/>
                            <w:szCs w:val="21"/>
                          </w:rPr>
                          <w:t>否</w:t>
                        </w:r>
                      </w:p>
                    </w:tc>
                  </w:sdtContent>
                </w:sdt>
                <w:sdt>
                  <w:sdtPr>
                    <w:rPr>
                      <w:rFonts w:ascii="Times New Roman" w:hAnsi="Times New Roman" w:cs="Times New Roman"/>
                      <w:szCs w:val="21"/>
                    </w:rPr>
                    <w:alias w:val="与收购报告书或权益变动报告书相关承诺-是否及时严格履行"/>
                    <w:tag w:val="_GBC_a8c36729ed1a46eb8af473efbe8b609b"/>
                    <w:id w:val="865722953"/>
                    <w:lock w:val="sdtLocked"/>
                    <w:comboBox>
                      <w:listItem w:displayText="是" w:value="true"/>
                      <w:listItem w:displayText="否" w:value="false"/>
                    </w:comboBox>
                  </w:sdtPr>
                  <w:sdtEndPr>
                    <w:rPr>
                      <w:rFonts w:ascii="Times New Roman" w:hAnsi="Times New Roman" w:cs="Times New Roman"/>
                      <w:szCs w:val="21"/>
                    </w:rPr>
                  </w:sdtEndPr>
                  <w:sdtContent>
                    <w:tc>
                      <w:tcPr>
                        <w:tcW w:w="301" w:type="pct"/>
                        <w:shd w:val="clear" w:color="auto" w:fill="auto"/>
                        <w:vAlign w:val="center"/>
                      </w:tcPr>
                      <w:p>
                        <w:pPr>
                          <w:jc w:val="center"/>
                          <w:rPr>
                            <w:rFonts w:ascii="Times New Roman" w:hAnsi="Times New Roman" w:cs="Times New Roman"/>
                            <w:szCs w:val="21"/>
                          </w:rPr>
                        </w:pPr>
                        <w:r>
                          <w:rPr>
                            <w:rFonts w:ascii="Times New Roman" w:cs="Times New Roman"/>
                            <w:szCs w:val="21"/>
                          </w:rPr>
                          <w:t>是</w:t>
                        </w:r>
                      </w:p>
                    </w:tc>
                  </w:sdtContent>
                </w:sdt>
                <w:tc>
                  <w:tcPr>
                    <w:tcW w:w="453" w:type="pct"/>
                    <w:shd w:val="clear" w:color="auto" w:fill="auto"/>
                  </w:tcPr>
                  <w:p>
                    <w:pPr>
                      <w:rPr>
                        <w:rFonts w:ascii="Times New Roman" w:hAnsi="Times New Roman" w:cs="Times New Roman"/>
                        <w:szCs w:val="21"/>
                      </w:rPr>
                    </w:pPr>
                  </w:p>
                </w:tc>
                <w:tc>
                  <w:tcPr>
                    <w:tcW w:w="432" w:type="pct"/>
                    <w:shd w:val="clear" w:color="auto" w:fill="auto"/>
                  </w:tcPr>
                  <w:p>
                    <w:pPr>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8" w:type="pct"/>
                <w:vMerge w:val="continue"/>
                <w:shd w:val="clear" w:color="auto" w:fill="auto"/>
                <w:vAlign w:val="center"/>
              </w:tcPr>
              <w:p>
                <w:pPr>
                  <w:jc w:val="both"/>
                  <w:rPr>
                    <w:rFonts w:ascii="Times New Roman" w:hAnsi="Times New Roman" w:cs="Times New Roman"/>
                  </w:rPr>
                </w:pPr>
              </w:p>
            </w:tc>
            <w:sdt>
              <w:sdtPr>
                <w:rPr>
                  <w:rFonts w:ascii="Times New Roman" w:hAnsi="Times New Roman" w:cs="Times New Roman"/>
                  <w:szCs w:val="21"/>
                </w:rPr>
                <w:alias w:val="与收购报告书或权益变动报告书相关承诺-承诺类型"/>
                <w:tag w:val="_GBC_7e8c7b9404c242d88bc81acdfb745cf2"/>
                <w:id w:val="8657229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imes New Roman" w:hAnsi="Times New Roman" w:cs="Times New Roman"/>
                  <w:szCs w:val="21"/>
                </w:rPr>
              </w:sdtEndPr>
              <w:sdtContent>
                <w:tc>
                  <w:tcPr>
                    <w:tcW w:w="302" w:type="pct"/>
                    <w:shd w:val="clear" w:color="auto" w:fill="auto"/>
                    <w:vAlign w:val="center"/>
                  </w:tcPr>
                  <w:p>
                    <w:pPr>
                      <w:jc w:val="both"/>
                      <w:rPr>
                        <w:rFonts w:ascii="Times New Roman" w:hAnsi="Times New Roman" w:cs="Times New Roman"/>
                        <w:szCs w:val="21"/>
                      </w:rPr>
                    </w:pPr>
                    <w:r>
                      <w:rPr>
                        <w:rFonts w:ascii="Times New Roman" w:cs="Times New Roman"/>
                        <w:szCs w:val="21"/>
                      </w:rPr>
                      <w:t>解决关联交易</w:t>
                    </w:r>
                  </w:p>
                </w:tc>
              </w:sdtContent>
            </w:sdt>
            <w:tc>
              <w:tcPr>
                <w:tcW w:w="452" w:type="pct"/>
                <w:shd w:val="clear" w:color="auto" w:fill="auto"/>
                <w:vAlign w:val="center"/>
              </w:tcPr>
              <w:p>
                <w:pPr>
                  <w:jc w:val="both"/>
                  <w:rPr>
                    <w:rFonts w:ascii="Times New Roman" w:hAnsi="Times New Roman" w:cs="Times New Roman"/>
                    <w:szCs w:val="21"/>
                  </w:rPr>
                </w:pPr>
                <w:r>
                  <w:rPr>
                    <w:rFonts w:ascii="Times New Roman" w:cs="Times New Roman"/>
                  </w:rPr>
                  <w:t>广西柳州市产业投资发展集团有限公司</w:t>
                </w:r>
              </w:p>
            </w:tc>
            <w:tc>
              <w:tcPr>
                <w:tcW w:w="1658" w:type="pct"/>
                <w:shd w:val="clear" w:color="auto" w:fill="auto"/>
                <w:vAlign w:val="center"/>
              </w:tcPr>
              <w:p>
                <w:pPr>
                  <w:jc w:val="both"/>
                  <w:rPr>
                    <w:rFonts w:ascii="Times New Roman" w:hAnsi="Times New Roman" w:cs="Times New Roman"/>
                    <w:szCs w:val="21"/>
                  </w:rPr>
                </w:pPr>
                <w:r>
                  <w:rPr>
                    <w:rFonts w:ascii="Times New Roman" w:cs="Times New Roman"/>
                  </w:rPr>
                  <w:t>对于广西柳州市产业投资发展集团有限公司及所属企业将来与本公司发生的关联交易，广西柳州市产业投资发展集团有限公司将严格履行上市公司关联交易的决策程序，遵循市场定价原则，确保公平、公正、公允，不损害本公司及本股东的合法权益。</w:t>
                </w:r>
              </w:p>
            </w:tc>
            <w:tc>
              <w:tcPr>
                <w:tcW w:w="503" w:type="pct"/>
                <w:shd w:val="clear" w:color="auto" w:fill="auto"/>
                <w:vAlign w:val="center"/>
              </w:tcPr>
              <w:p>
                <w:pPr>
                  <w:jc w:val="center"/>
                  <w:rPr>
                    <w:rFonts w:ascii="Times New Roman" w:hAnsi="Times New Roman" w:cs="Times New Roman"/>
                    <w:szCs w:val="21"/>
                  </w:rPr>
                </w:pPr>
                <w:r>
                  <w:rPr>
                    <w:rFonts w:ascii="Times New Roman" w:hAnsi="Times New Roman" w:cs="Times New Roman"/>
                  </w:rPr>
                  <w:t>2011</w:t>
                </w:r>
                <w:r>
                  <w:rPr>
                    <w:rFonts w:ascii="Times New Roman" w:cs="Times New Roman"/>
                  </w:rPr>
                  <w:t>年</w:t>
                </w:r>
                <w:r>
                  <w:rPr>
                    <w:rFonts w:ascii="Times New Roman" w:hAnsi="Times New Roman" w:cs="Times New Roman"/>
                  </w:rPr>
                  <w:t>1</w:t>
                </w:r>
                <w:r>
                  <w:rPr>
                    <w:rFonts w:ascii="Times New Roman" w:cs="Times New Roman"/>
                  </w:rPr>
                  <w:t>月；承诺期限：长期有效</w:t>
                </w:r>
              </w:p>
            </w:tc>
            <w:sdt>
              <w:sdtPr>
                <w:rPr>
                  <w:rFonts w:ascii="Times New Roman" w:hAnsi="Times New Roman" w:cs="Times New Roman"/>
                  <w:szCs w:val="21"/>
                </w:rPr>
                <w:alias w:val="与收购报告书或权益变动报告书相关承诺-是否有履行期限"/>
                <w:tag w:val="_GBC_3738be69c5c34784a9199ff6b9605c3b"/>
                <w:id w:val="865722956"/>
                <w:lock w:val="sdtLocked"/>
                <w:comboBox>
                  <w:listItem w:displayText="是" w:value="true"/>
                  <w:listItem w:displayText="否" w:value="false"/>
                </w:comboBox>
              </w:sdtPr>
              <w:sdtEndPr>
                <w:rPr>
                  <w:rFonts w:ascii="Times New Roman" w:hAnsi="Times New Roman" w:cs="Times New Roman"/>
                  <w:szCs w:val="21"/>
                </w:rPr>
              </w:sdtEndPr>
              <w:sdtContent>
                <w:tc>
                  <w:tcPr>
                    <w:tcW w:w="251" w:type="pct"/>
                    <w:shd w:val="clear" w:color="auto" w:fill="auto"/>
                    <w:vAlign w:val="center"/>
                  </w:tcPr>
                  <w:p>
                    <w:pPr>
                      <w:jc w:val="center"/>
                      <w:rPr>
                        <w:rFonts w:ascii="Times New Roman" w:hAnsi="Times New Roman" w:cs="Times New Roman"/>
                        <w:szCs w:val="21"/>
                      </w:rPr>
                    </w:pPr>
                    <w:r>
                      <w:rPr>
                        <w:rFonts w:ascii="Times New Roman" w:cs="Times New Roman"/>
                        <w:szCs w:val="21"/>
                      </w:rPr>
                      <w:t>否</w:t>
                    </w:r>
                  </w:p>
                </w:tc>
              </w:sdtContent>
            </w:sdt>
            <w:sdt>
              <w:sdtPr>
                <w:rPr>
                  <w:rFonts w:ascii="Times New Roman" w:hAnsi="Times New Roman" w:cs="Times New Roman"/>
                  <w:szCs w:val="21"/>
                </w:rPr>
                <w:alias w:val="与收购报告书或权益变动报告书相关承诺-是否及时严格履行"/>
                <w:tag w:val="_GBC_a8c36729ed1a46eb8af473efbe8b609b"/>
                <w:id w:val="865722957"/>
                <w:lock w:val="sdtLocked"/>
                <w:comboBox>
                  <w:listItem w:displayText="是" w:value="true"/>
                  <w:listItem w:displayText="否" w:value="false"/>
                </w:comboBox>
              </w:sdtPr>
              <w:sdtEndPr>
                <w:rPr>
                  <w:rFonts w:ascii="Times New Roman" w:hAnsi="Times New Roman" w:cs="Times New Roman"/>
                  <w:szCs w:val="21"/>
                </w:rPr>
              </w:sdtEndPr>
              <w:sdtContent>
                <w:tc>
                  <w:tcPr>
                    <w:tcW w:w="301" w:type="pct"/>
                    <w:shd w:val="clear" w:color="auto" w:fill="auto"/>
                    <w:vAlign w:val="center"/>
                  </w:tcPr>
                  <w:p>
                    <w:pPr>
                      <w:jc w:val="center"/>
                      <w:rPr>
                        <w:rFonts w:ascii="Times New Roman" w:hAnsi="Times New Roman" w:cs="Times New Roman"/>
                        <w:szCs w:val="21"/>
                      </w:rPr>
                    </w:pPr>
                    <w:r>
                      <w:rPr>
                        <w:rFonts w:ascii="Times New Roman" w:cs="Times New Roman"/>
                        <w:szCs w:val="21"/>
                      </w:rPr>
                      <w:t>是</w:t>
                    </w:r>
                  </w:p>
                </w:tc>
              </w:sdtContent>
            </w:sdt>
            <w:tc>
              <w:tcPr>
                <w:tcW w:w="453" w:type="pct"/>
                <w:shd w:val="clear" w:color="auto" w:fill="auto"/>
              </w:tcPr>
              <w:p>
                <w:pPr>
                  <w:rPr>
                    <w:rFonts w:ascii="Times New Roman" w:hAnsi="Times New Roman" w:cs="Times New Roman"/>
                    <w:szCs w:val="21"/>
                  </w:rPr>
                </w:pPr>
              </w:p>
            </w:tc>
            <w:tc>
              <w:tcPr>
                <w:tcW w:w="432" w:type="pct"/>
                <w:shd w:val="clear" w:color="auto" w:fill="auto"/>
              </w:tcPr>
              <w:p>
                <w:pPr>
                  <w:rPr>
                    <w:rFonts w:ascii="Times New Roman" w:hAnsi="Times New Roman" w:cs="Times New Roman"/>
                    <w:szCs w:val="21"/>
                  </w:rPr>
                </w:pPr>
              </w:p>
            </w:tc>
          </w:tr>
          <w:sdt>
            <w:sdtPr>
              <w:rPr>
                <w:rFonts w:ascii="Times New Roman" w:hAnsi="Times New Roman" w:cs="Times New Roman" w:eastAsiaTheme="minorEastAsia"/>
                <w:kern w:val="2"/>
                <w:szCs w:val="21"/>
              </w:rPr>
              <w:alias w:val="与重大资产重组相关的承诺"/>
              <w:tag w:val="_TUP_15c790317fea4a26bb8bce8d0cb38102"/>
              <w:id w:val="86572296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restart"/>
                    <w:shd w:val="clear" w:color="auto" w:fill="auto"/>
                    <w:vAlign w:val="center"/>
                  </w:tcPr>
                  <w:sdt>
                    <w:sdtPr>
                      <w:rPr>
                        <w:rFonts w:ascii="Times New Roman" w:hAnsi="Times New Roman" w:cs="Times New Roman"/>
                        <w:szCs w:val="21"/>
                      </w:rPr>
                      <w:tag w:val="_PLD_5860a927f4cd4a999674350df1b20611"/>
                      <w:id w:val="865722958"/>
                      <w:lock w:val="sdtLocked"/>
                    </w:sdtPr>
                    <w:sdtEndPr>
                      <w:rPr>
                        <w:rFonts w:ascii="Times New Roman" w:hAnsi="Times New Roman" w:cs="Times New Roman"/>
                        <w:szCs w:val="21"/>
                      </w:rPr>
                    </w:sdtEndPr>
                    <w:sdtContent>
                      <w:p>
                        <w:pPr>
                          <w:jc w:val="both"/>
                          <w:rPr>
                            <w:rFonts w:ascii="Times New Roman" w:hAnsi="Times New Roman" w:cs="Times New Roman"/>
                            <w:szCs w:val="21"/>
                          </w:rPr>
                        </w:pPr>
                        <w:r>
                          <w:rPr>
                            <w:rFonts w:ascii="Times New Roman" w:cs="Times New Roman"/>
                            <w:szCs w:val="21"/>
                          </w:rPr>
                          <w:t>与重大资产重组相关的承诺</w:t>
                        </w:r>
                      </w:p>
                    </w:sdtContent>
                  </w:sdt>
                </w:tc>
                <w:sdt>
                  <w:sdtPr>
                    <w:rPr>
                      <w:rFonts w:ascii="Times New Roman" w:hAnsi="Times New Roman" w:cs="Times New Roman"/>
                      <w:szCs w:val="21"/>
                    </w:rPr>
                    <w:alias w:val="与重大资产重组相关的承诺-承诺类型"/>
                    <w:tag w:val="_GBC_aa9c1c9305e348ad982dd128c1675ee8"/>
                    <w:id w:val="86572295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imes New Roman" w:hAnsi="Times New Roman" w:cs="Times New Roman"/>
                      <w:szCs w:val="21"/>
                    </w:rPr>
                  </w:sdtEndPr>
                  <w:sdtContent>
                    <w:tc>
                      <w:tcPr>
                        <w:tcW w:w="302" w:type="pct"/>
                        <w:shd w:val="clear" w:color="auto" w:fill="auto"/>
                        <w:vAlign w:val="center"/>
                      </w:tcPr>
                      <w:p>
                        <w:pPr>
                          <w:jc w:val="both"/>
                          <w:rPr>
                            <w:rFonts w:ascii="Times New Roman" w:hAnsi="Times New Roman" w:cs="Times New Roman"/>
                            <w:szCs w:val="21"/>
                          </w:rPr>
                        </w:pPr>
                        <w:r>
                          <w:rPr>
                            <w:rFonts w:ascii="Times New Roman" w:cs="Times New Roman"/>
                            <w:szCs w:val="21"/>
                          </w:rPr>
                          <w:t>解决同业竞争</w:t>
                        </w:r>
                      </w:p>
                    </w:tc>
                  </w:sdtContent>
                </w:sdt>
                <w:tc>
                  <w:tcPr>
                    <w:tcW w:w="452" w:type="pct"/>
                    <w:shd w:val="clear" w:color="auto" w:fill="auto"/>
                    <w:vAlign w:val="center"/>
                  </w:tcPr>
                  <w:p>
                    <w:pPr>
                      <w:jc w:val="both"/>
                      <w:rPr>
                        <w:rFonts w:ascii="Times New Roman" w:hAnsi="Times New Roman" w:cs="Times New Roman"/>
                        <w:szCs w:val="21"/>
                      </w:rPr>
                    </w:pPr>
                    <w:r>
                      <w:rPr>
                        <w:rFonts w:ascii="Times New Roman" w:cs="Times New Roman"/>
                      </w:rPr>
                      <w:t>广西柳州市产业投资发展集团有限公司</w:t>
                    </w:r>
                  </w:p>
                </w:tc>
                <w:tc>
                  <w:tcPr>
                    <w:tcW w:w="1658" w:type="pct"/>
                    <w:shd w:val="clear" w:color="auto" w:fill="auto"/>
                    <w:vAlign w:val="center"/>
                  </w:tcPr>
                  <w:p>
                    <w:pPr>
                      <w:jc w:val="both"/>
                      <w:rPr>
                        <w:rFonts w:ascii="Times New Roman" w:hAnsi="Times New Roman" w:cs="Times New Roman"/>
                        <w:szCs w:val="21"/>
                      </w:rPr>
                    </w:pPr>
                    <w:r>
                      <w:rPr>
                        <w:rFonts w:ascii="Times New Roman" w:hAnsi="Times New Roman" w:cs="Times New Roman"/>
                      </w:rPr>
                      <w:t>1.</w:t>
                    </w:r>
                    <w:r>
                      <w:rPr>
                        <w:rFonts w:ascii="Times New Roman" w:cs="Times New Roman"/>
                      </w:rPr>
                      <w:t>本公司不以直接或间接的方式从事、参与与上市公司及其下属企业经营业务构成潜在的直接或间接竞争的业务；保证将采取合法及有效的措施，促使本公司控制的其他企业不从事、参与与上市公司及其下属企业的经营运作相竞争的任何业务；</w:t>
                    </w:r>
                    <w:r>
                      <w:rPr>
                        <w:rFonts w:ascii="Times New Roman" w:hAnsi="Times New Roman" w:cs="Times New Roman"/>
                      </w:rPr>
                      <w:t>2.</w:t>
                    </w:r>
                    <w:r>
                      <w:rPr>
                        <w:rFonts w:ascii="Times New Roman" w:cs="Times New Roman"/>
                      </w:rPr>
                      <w:t>如上市公司进一步拓展其业务范围，本公司及本公司控制的其他企业将不与上市公司拓展后的业务相竞争；可能与上市公司拓展后的业务产生竞争的，本公司及本公司控制的其他企业将按照如下方式退出与上市公司的竞争：（</w:t>
                    </w:r>
                    <w:r>
                      <w:rPr>
                        <w:rFonts w:ascii="Times New Roman" w:hAnsi="Times New Roman" w:cs="Times New Roman"/>
                      </w:rPr>
                      <w:t>1</w:t>
                    </w:r>
                    <w:r>
                      <w:rPr>
                        <w:rFonts w:ascii="Times New Roman" w:cs="Times New Roman"/>
                      </w:rPr>
                      <w:t>）停止与上市公司构成竞争或可能构成竞争的业务；（</w:t>
                    </w:r>
                    <w:r>
                      <w:rPr>
                        <w:rFonts w:ascii="Times New Roman" w:hAnsi="Times New Roman" w:cs="Times New Roman"/>
                      </w:rPr>
                      <w:t>2</w:t>
                    </w:r>
                    <w:r>
                      <w:rPr>
                        <w:rFonts w:ascii="Times New Roman" w:cs="Times New Roman"/>
                      </w:rPr>
                      <w:t>）将相竞争的业务纳入到上市公司来经营；（</w:t>
                    </w:r>
                    <w:r>
                      <w:rPr>
                        <w:rFonts w:ascii="Times New Roman" w:hAnsi="Times New Roman" w:cs="Times New Roman"/>
                      </w:rPr>
                      <w:t>3</w:t>
                    </w:r>
                    <w:r>
                      <w:rPr>
                        <w:rFonts w:ascii="Times New Roman" w:cs="Times New Roman"/>
                      </w:rPr>
                      <w:t>）将相竞争的业务转让给无关联的第三方；</w:t>
                    </w:r>
                    <w:r>
                      <w:rPr>
                        <w:rFonts w:ascii="Times New Roman" w:hAnsi="Times New Roman" w:cs="Times New Roman"/>
                      </w:rPr>
                      <w:t>3.</w:t>
                    </w:r>
                    <w:r>
                      <w:rPr>
                        <w:rFonts w:ascii="Times New Roman" w:cs="Times New Roman"/>
                      </w:rPr>
                      <w:t>如本公司及本公司控制的其他企业有任何商业机会可从事、参与任何可能与上市公司的经营运作构成竞争的活动，则立即将上述商业机会通知上市公司，在通知中所指定的合理期间内，上市公司作出愿意利用该商业机会的肯定答复的，则尽力将该商业机会给予上市公司；</w:t>
                    </w:r>
                    <w:r>
                      <w:rPr>
                        <w:rFonts w:ascii="Times New Roman" w:hAnsi="Times New Roman" w:cs="Times New Roman"/>
                      </w:rPr>
                      <w:t>4.</w:t>
                    </w:r>
                    <w:r>
                      <w:rPr>
                        <w:rFonts w:ascii="Times New Roman" w:cs="Times New Roman"/>
                      </w:rPr>
                      <w:t>如违反以上承诺，本公司愿意承担由此产生的全部责任，充分赔偿或补偿由此给上市公司造成的所有直接或间接损失。</w:t>
                    </w:r>
                  </w:p>
                </w:tc>
                <w:tc>
                  <w:tcPr>
                    <w:tcW w:w="503" w:type="pct"/>
                    <w:shd w:val="clear" w:color="auto" w:fill="auto"/>
                    <w:vAlign w:val="center"/>
                  </w:tcPr>
                  <w:p>
                    <w:pPr>
                      <w:jc w:val="center"/>
                      <w:rPr>
                        <w:rFonts w:ascii="Times New Roman" w:hAnsi="Times New Roman" w:cs="Times New Roman"/>
                        <w:szCs w:val="21"/>
                      </w:rPr>
                    </w:pPr>
                    <w:r>
                      <w:rPr>
                        <w:rFonts w:ascii="Times New Roman" w:hAnsi="Times New Roman" w:cs="Times New Roman"/>
                      </w:rPr>
                      <w:t>2019</w:t>
                    </w:r>
                    <w:r>
                      <w:rPr>
                        <w:rFonts w:ascii="Times New Roman" w:cs="Times New Roman"/>
                      </w:rPr>
                      <w:t>年</w:t>
                    </w:r>
                    <w:r>
                      <w:rPr>
                        <w:rFonts w:ascii="Times New Roman" w:hAnsi="Times New Roman" w:cs="Times New Roman"/>
                      </w:rPr>
                      <w:t>11</w:t>
                    </w:r>
                    <w:r>
                      <w:rPr>
                        <w:rFonts w:ascii="Times New Roman" w:cs="Times New Roman"/>
                      </w:rPr>
                      <w:t>月；承诺期限：长期有效</w:t>
                    </w:r>
                  </w:p>
                </w:tc>
                <w:sdt>
                  <w:sdtPr>
                    <w:rPr>
                      <w:rFonts w:ascii="Times New Roman" w:hAnsi="Times New Roman" w:cs="Times New Roman"/>
                      <w:szCs w:val="21"/>
                    </w:rPr>
                    <w:alias w:val="与重大资产重组相关的承诺-是否有履行期限"/>
                    <w:tag w:val="_GBC_5b634ddcd7f24eb298fb3573998d3f89"/>
                    <w:id w:val="865722960"/>
                    <w:lock w:val="sdtLocked"/>
                    <w:comboBox>
                      <w:listItem w:displayText="是" w:value="true"/>
                      <w:listItem w:displayText="否" w:value="false"/>
                    </w:comboBox>
                  </w:sdtPr>
                  <w:sdtEndPr>
                    <w:rPr>
                      <w:rFonts w:ascii="Times New Roman" w:hAnsi="Times New Roman" w:cs="Times New Roman"/>
                      <w:szCs w:val="21"/>
                    </w:rPr>
                  </w:sdtEndPr>
                  <w:sdtContent>
                    <w:tc>
                      <w:tcPr>
                        <w:tcW w:w="251" w:type="pct"/>
                        <w:shd w:val="clear" w:color="auto" w:fill="auto"/>
                        <w:vAlign w:val="center"/>
                      </w:tcPr>
                      <w:p>
                        <w:pPr>
                          <w:jc w:val="center"/>
                          <w:rPr>
                            <w:rFonts w:ascii="Times New Roman" w:hAnsi="Times New Roman" w:cs="Times New Roman"/>
                            <w:szCs w:val="21"/>
                          </w:rPr>
                        </w:pPr>
                        <w:r>
                          <w:rPr>
                            <w:rFonts w:asci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865722961"/>
                    <w:lock w:val="sdtLocked"/>
                    <w:comboBox>
                      <w:listItem w:displayText="是" w:value="true"/>
                      <w:listItem w:displayText="否" w:value="false"/>
                    </w:comboBox>
                  </w:sdtPr>
                  <w:sdtEndPr>
                    <w:rPr>
                      <w:rFonts w:ascii="Times New Roman" w:hAnsi="Times New Roman" w:cs="Times New Roman"/>
                      <w:szCs w:val="21"/>
                    </w:rPr>
                  </w:sdtEndPr>
                  <w:sdtContent>
                    <w:tc>
                      <w:tcPr>
                        <w:tcW w:w="301" w:type="pct"/>
                        <w:shd w:val="clear" w:color="auto" w:fill="auto"/>
                        <w:vAlign w:val="center"/>
                      </w:tcPr>
                      <w:p>
                        <w:pPr>
                          <w:jc w:val="center"/>
                          <w:rPr>
                            <w:rFonts w:ascii="Times New Roman" w:hAnsi="Times New Roman" w:cs="Times New Roman"/>
                            <w:szCs w:val="21"/>
                          </w:rPr>
                        </w:pPr>
                        <w:r>
                          <w:rPr>
                            <w:rFonts w:ascii="Times New Roman" w:cs="Times New Roman"/>
                            <w:szCs w:val="21"/>
                          </w:rPr>
                          <w:t>是</w:t>
                        </w:r>
                      </w:p>
                    </w:tc>
                  </w:sdtContent>
                </w:sdt>
                <w:tc>
                  <w:tcPr>
                    <w:tcW w:w="453" w:type="pct"/>
                    <w:shd w:val="clear" w:color="auto" w:fill="auto"/>
                  </w:tcPr>
                  <w:p>
                    <w:pPr>
                      <w:rPr>
                        <w:rFonts w:ascii="Times New Roman" w:hAnsi="Times New Roman" w:cs="Times New Roman"/>
                        <w:szCs w:val="21"/>
                      </w:rPr>
                    </w:pPr>
                  </w:p>
                </w:tc>
                <w:tc>
                  <w:tcPr>
                    <w:tcW w:w="432" w:type="pct"/>
                    <w:shd w:val="clear" w:color="auto" w:fill="auto"/>
                  </w:tcPr>
                  <w:p>
                    <w:pPr>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shd w:val="clear" w:color="auto" w:fill="auto"/>
                <w:vAlign w:val="center"/>
              </w:tcPr>
              <w:p>
                <w:pPr>
                  <w:jc w:val="both"/>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86572296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imes New Roman" w:hAnsi="Times New Roman" w:cs="Times New Roman"/>
                  <w:szCs w:val="21"/>
                </w:rPr>
              </w:sdtEndPr>
              <w:sdtContent>
                <w:tc>
                  <w:tcPr>
                    <w:tcW w:w="302" w:type="pct"/>
                    <w:shd w:val="clear" w:color="auto" w:fill="auto"/>
                    <w:vAlign w:val="center"/>
                  </w:tcPr>
                  <w:p>
                    <w:pPr>
                      <w:jc w:val="both"/>
                      <w:rPr>
                        <w:rFonts w:ascii="Times New Roman" w:hAnsi="Times New Roman" w:cs="Times New Roman"/>
                        <w:szCs w:val="21"/>
                      </w:rPr>
                    </w:pPr>
                    <w:r>
                      <w:rPr>
                        <w:rFonts w:ascii="Times New Roman" w:cs="Times New Roman"/>
                        <w:szCs w:val="21"/>
                      </w:rPr>
                      <w:t>解决关联交易</w:t>
                    </w:r>
                  </w:p>
                </w:tc>
              </w:sdtContent>
            </w:sdt>
            <w:tc>
              <w:tcPr>
                <w:tcW w:w="452" w:type="pct"/>
                <w:shd w:val="clear" w:color="auto" w:fill="auto"/>
                <w:vAlign w:val="center"/>
              </w:tcPr>
              <w:p>
                <w:pPr>
                  <w:jc w:val="both"/>
                  <w:rPr>
                    <w:rFonts w:ascii="Times New Roman" w:hAnsi="Times New Roman" w:cs="Times New Roman"/>
                    <w:szCs w:val="21"/>
                  </w:rPr>
                </w:pPr>
                <w:r>
                  <w:rPr>
                    <w:rFonts w:ascii="Times New Roman" w:cs="Times New Roman"/>
                  </w:rPr>
                  <w:t>广西柳州市产业投资发展集团有限公司</w:t>
                </w:r>
              </w:p>
            </w:tc>
            <w:tc>
              <w:tcPr>
                <w:tcW w:w="1658" w:type="pct"/>
                <w:shd w:val="clear" w:color="auto" w:fill="auto"/>
                <w:vAlign w:val="center"/>
              </w:tcPr>
              <w:p>
                <w:pPr>
                  <w:jc w:val="both"/>
                  <w:rPr>
                    <w:rFonts w:ascii="Times New Roman" w:hAnsi="Times New Roman" w:cs="Times New Roman"/>
                    <w:szCs w:val="21"/>
                  </w:rPr>
                </w:pPr>
                <w:r>
                  <w:rPr>
                    <w:rFonts w:ascii="Times New Roman" w:hAnsi="Times New Roman" w:cs="Times New Roman"/>
                  </w:rPr>
                  <w:t>1.</w:t>
                </w:r>
                <w:r>
                  <w:rPr>
                    <w:rFonts w:ascii="Times New Roman" w:cs="Times New Roman"/>
                  </w:rPr>
                  <w:t>本公司及本公司控制的企业将尽可能减少与上市公司的关联交易，不会利用自身作为上市公司股东之地位谋求与上市公司在业务合作等方面给予优于其他第三方的权利；</w:t>
                </w:r>
                <w:r>
                  <w:rPr>
                    <w:rFonts w:ascii="Times New Roman" w:hAnsi="Times New Roman" w:cs="Times New Roman"/>
                  </w:rPr>
                  <w:t>2.</w:t>
                </w:r>
                <w:r>
                  <w:rPr>
                    <w:rFonts w:ascii="Times New Roman" w:cs="Times New Roman"/>
                  </w:rPr>
                  <w:t>本公司不会利用自身作为上市公司股东之地位谋求与上市公司优先达成交易的权利；</w:t>
                </w:r>
                <w:r>
                  <w:rPr>
                    <w:rFonts w:ascii="Times New Roman" w:hAnsi="Times New Roman" w:cs="Times New Roman"/>
                  </w:rPr>
                  <w:t>3.</w:t>
                </w:r>
                <w:r>
                  <w:rPr>
                    <w:rFonts w:ascii="Times New Roman" w:cs="Times New Roman"/>
                  </w:rPr>
                  <w:t>若存在确有必要且不可避免的关联交易，本公司及本公司控制的企业将与上市公司按照公平、公允、等价有偿等原则依法签订协议，履行合法程序，并将按照有关法律、法规规范性文件的要求和《上市公司章程》的规定，依法履行信息披露义务并履行相关内部决策、报批程序，保证不以与市场价格相比显失公允的条件与上市公司进行交易，亦不利用该类交易从事任何损害上市公司及其他股东的合法权益的行为。</w:t>
                </w:r>
              </w:p>
            </w:tc>
            <w:tc>
              <w:tcPr>
                <w:tcW w:w="503" w:type="pct"/>
                <w:shd w:val="clear" w:color="auto" w:fill="auto"/>
                <w:vAlign w:val="center"/>
              </w:tcPr>
              <w:p>
                <w:pPr>
                  <w:jc w:val="center"/>
                  <w:rPr>
                    <w:rFonts w:ascii="Times New Roman" w:hAnsi="Times New Roman" w:cs="Times New Roman"/>
                    <w:szCs w:val="21"/>
                  </w:rPr>
                </w:pPr>
                <w:r>
                  <w:rPr>
                    <w:rFonts w:ascii="Times New Roman" w:hAnsi="Times New Roman" w:cs="Times New Roman"/>
                  </w:rPr>
                  <w:t>2019</w:t>
                </w:r>
                <w:r>
                  <w:rPr>
                    <w:rFonts w:ascii="Times New Roman" w:cs="Times New Roman"/>
                  </w:rPr>
                  <w:t>年</w:t>
                </w:r>
                <w:r>
                  <w:rPr>
                    <w:rFonts w:ascii="Times New Roman" w:hAnsi="Times New Roman" w:cs="Times New Roman"/>
                  </w:rPr>
                  <w:t>11</w:t>
                </w:r>
                <w:r>
                  <w:rPr>
                    <w:rFonts w:ascii="Times New Roman" w:cs="Times New Roman"/>
                  </w:rPr>
                  <w:t>月；承诺期限：长期有效</w:t>
                </w:r>
              </w:p>
            </w:tc>
            <w:sdt>
              <w:sdtPr>
                <w:rPr>
                  <w:rFonts w:ascii="Times New Roman" w:hAnsi="Times New Roman" w:cs="Times New Roman"/>
                  <w:szCs w:val="21"/>
                </w:rPr>
                <w:alias w:val="与重大资产重组相关的承诺-是否有履行期限"/>
                <w:tag w:val="_GBC_5b634ddcd7f24eb298fb3573998d3f89"/>
                <w:id w:val="865722964"/>
                <w:lock w:val="sdtLocked"/>
                <w:comboBox>
                  <w:listItem w:displayText="是" w:value="true"/>
                  <w:listItem w:displayText="否" w:value="false"/>
                </w:comboBox>
              </w:sdtPr>
              <w:sdtEndPr>
                <w:rPr>
                  <w:rFonts w:ascii="Times New Roman" w:hAnsi="Times New Roman" w:cs="Times New Roman"/>
                  <w:szCs w:val="21"/>
                </w:rPr>
              </w:sdtEndPr>
              <w:sdtContent>
                <w:tc>
                  <w:tcPr>
                    <w:tcW w:w="251" w:type="pct"/>
                    <w:shd w:val="clear" w:color="auto" w:fill="auto"/>
                    <w:vAlign w:val="center"/>
                  </w:tcPr>
                  <w:p>
                    <w:pPr>
                      <w:jc w:val="center"/>
                      <w:rPr>
                        <w:rFonts w:ascii="Times New Roman" w:hAnsi="Times New Roman" w:cs="Times New Roman"/>
                        <w:szCs w:val="21"/>
                      </w:rPr>
                    </w:pPr>
                    <w:r>
                      <w:rPr>
                        <w:rFonts w:asci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865722965"/>
                <w:lock w:val="sdtLocked"/>
                <w:comboBox>
                  <w:listItem w:displayText="是" w:value="true"/>
                  <w:listItem w:displayText="否" w:value="false"/>
                </w:comboBox>
              </w:sdtPr>
              <w:sdtEndPr>
                <w:rPr>
                  <w:rFonts w:ascii="Times New Roman" w:hAnsi="Times New Roman" w:cs="Times New Roman"/>
                  <w:szCs w:val="21"/>
                </w:rPr>
              </w:sdtEndPr>
              <w:sdtContent>
                <w:tc>
                  <w:tcPr>
                    <w:tcW w:w="301" w:type="pct"/>
                    <w:shd w:val="clear" w:color="auto" w:fill="auto"/>
                    <w:vAlign w:val="center"/>
                  </w:tcPr>
                  <w:p>
                    <w:pPr>
                      <w:jc w:val="center"/>
                      <w:rPr>
                        <w:rFonts w:ascii="Times New Roman" w:hAnsi="Times New Roman" w:cs="Times New Roman"/>
                        <w:szCs w:val="21"/>
                      </w:rPr>
                    </w:pPr>
                    <w:r>
                      <w:rPr>
                        <w:rFonts w:ascii="Times New Roman" w:cs="Times New Roman"/>
                        <w:szCs w:val="21"/>
                      </w:rPr>
                      <w:t>是</w:t>
                    </w:r>
                  </w:p>
                </w:tc>
              </w:sdtContent>
            </w:sdt>
            <w:tc>
              <w:tcPr>
                <w:tcW w:w="453" w:type="pct"/>
                <w:shd w:val="clear" w:color="auto" w:fill="auto"/>
                <w:vAlign w:val="center"/>
              </w:tcPr>
              <w:p>
                <w:pPr>
                  <w:jc w:val="center"/>
                  <w:rPr>
                    <w:rFonts w:ascii="Times New Roman" w:hAnsi="Times New Roman" w:cs="Times New Roman"/>
                    <w:szCs w:val="21"/>
                  </w:rPr>
                </w:pPr>
              </w:p>
            </w:tc>
            <w:tc>
              <w:tcPr>
                <w:tcW w:w="432" w:type="pct"/>
                <w:shd w:val="clear" w:color="auto" w:fill="auto"/>
              </w:tcPr>
              <w:p>
                <w:pP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shd w:val="clear" w:color="auto" w:fill="auto"/>
                <w:vAlign w:val="center"/>
              </w:tcPr>
              <w:p>
                <w:pPr>
                  <w:jc w:val="both"/>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86572296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imes New Roman" w:hAnsi="Times New Roman" w:cs="Times New Roman"/>
                  <w:szCs w:val="21"/>
                </w:rPr>
              </w:sdtEndPr>
              <w:sdtContent>
                <w:tc>
                  <w:tcPr>
                    <w:tcW w:w="302" w:type="pct"/>
                    <w:shd w:val="clear" w:color="auto" w:fill="auto"/>
                    <w:vAlign w:val="center"/>
                  </w:tcPr>
                  <w:p>
                    <w:pPr>
                      <w:jc w:val="both"/>
                      <w:rPr>
                        <w:rFonts w:ascii="Times New Roman" w:hAnsi="Times New Roman" w:cs="Times New Roman"/>
                        <w:szCs w:val="21"/>
                      </w:rPr>
                    </w:pPr>
                    <w:r>
                      <w:rPr>
                        <w:rFonts w:ascii="Times New Roman" w:cs="Times New Roman"/>
                        <w:szCs w:val="21"/>
                      </w:rPr>
                      <w:t>其他</w:t>
                    </w:r>
                  </w:p>
                </w:tc>
              </w:sdtContent>
            </w:sdt>
            <w:tc>
              <w:tcPr>
                <w:tcW w:w="452" w:type="pct"/>
                <w:shd w:val="clear" w:color="auto" w:fill="auto"/>
                <w:vAlign w:val="center"/>
              </w:tcPr>
              <w:p>
                <w:pPr>
                  <w:jc w:val="both"/>
                  <w:rPr>
                    <w:rFonts w:ascii="Times New Roman" w:hAnsi="Times New Roman" w:cs="Times New Roman"/>
                    <w:szCs w:val="21"/>
                  </w:rPr>
                </w:pPr>
                <w:r>
                  <w:rPr>
                    <w:rFonts w:ascii="Times New Roman" w:cs="Times New Roman"/>
                  </w:rPr>
                  <w:t>广西柳州市产业投资发展集团有限公司</w:t>
                </w:r>
              </w:p>
            </w:tc>
            <w:tc>
              <w:tcPr>
                <w:tcW w:w="1658" w:type="pct"/>
                <w:shd w:val="clear" w:color="auto" w:fill="auto"/>
                <w:vAlign w:val="center"/>
              </w:tcPr>
              <w:p>
                <w:pPr>
                  <w:jc w:val="both"/>
                  <w:rPr>
                    <w:rFonts w:ascii="Times New Roman" w:hAnsi="Times New Roman" w:cs="Times New Roman"/>
                    <w:szCs w:val="21"/>
                  </w:rPr>
                </w:pPr>
                <w:r>
                  <w:rPr>
                    <w:rFonts w:ascii="Times New Roman" w:cs="Times New Roman"/>
                  </w:rPr>
                  <w:t>关于保障上市公司独立性的承诺</w:t>
                </w:r>
                <w:r>
                  <w:rPr>
                    <w:rFonts w:ascii="Times New Roman" w:hAnsi="Times New Roman" w:cs="Times New Roman"/>
                  </w:rPr>
                  <w:t>:</w:t>
                </w:r>
                <w:r>
                  <w:rPr>
                    <w:rFonts w:ascii="Times New Roman" w:cs="Times New Roman"/>
                  </w:rPr>
                  <w:t>在本次交易完成后，将确保上市公司依据相关法律法规和上市公司章程的要求，继续完善公司法人治理结构及独立运营的公司管理体制，继续保持上市公司在业务、资产、财务、机构、人员等方面的独立性，切实保护全体股东的利益。</w:t>
                </w:r>
              </w:p>
            </w:tc>
            <w:tc>
              <w:tcPr>
                <w:tcW w:w="503" w:type="pct"/>
                <w:shd w:val="clear" w:color="auto" w:fill="auto"/>
                <w:vAlign w:val="center"/>
              </w:tcPr>
              <w:p>
                <w:pPr>
                  <w:jc w:val="center"/>
                  <w:rPr>
                    <w:rFonts w:ascii="Times New Roman" w:hAnsi="Times New Roman" w:cs="Times New Roman"/>
                    <w:szCs w:val="21"/>
                  </w:rPr>
                </w:pPr>
                <w:r>
                  <w:rPr>
                    <w:rFonts w:ascii="Times New Roman" w:hAnsi="Times New Roman" w:cs="Times New Roman"/>
                  </w:rPr>
                  <w:t>2019</w:t>
                </w:r>
                <w:r>
                  <w:rPr>
                    <w:rFonts w:ascii="Times New Roman" w:cs="Times New Roman"/>
                  </w:rPr>
                  <w:t>年</w:t>
                </w:r>
                <w:r>
                  <w:rPr>
                    <w:rFonts w:ascii="Times New Roman" w:hAnsi="Times New Roman" w:cs="Times New Roman"/>
                  </w:rPr>
                  <w:t>11</w:t>
                </w:r>
                <w:r>
                  <w:rPr>
                    <w:rFonts w:ascii="Times New Roman" w:cs="Times New Roman"/>
                  </w:rPr>
                  <w:t>月；承诺期限：长期有效</w:t>
                </w:r>
              </w:p>
            </w:tc>
            <w:sdt>
              <w:sdtPr>
                <w:rPr>
                  <w:rFonts w:ascii="Times New Roman" w:hAnsi="Times New Roman" w:cs="Times New Roman"/>
                  <w:szCs w:val="21"/>
                </w:rPr>
                <w:alias w:val="与重大资产重组相关的承诺-是否有履行期限"/>
                <w:tag w:val="_GBC_5b634ddcd7f24eb298fb3573998d3f89"/>
                <w:id w:val="865722967"/>
                <w:lock w:val="sdtLocked"/>
                <w:comboBox>
                  <w:listItem w:displayText="是" w:value="true"/>
                  <w:listItem w:displayText="否" w:value="false"/>
                </w:comboBox>
              </w:sdtPr>
              <w:sdtEndPr>
                <w:rPr>
                  <w:rFonts w:ascii="Times New Roman" w:hAnsi="Times New Roman" w:cs="Times New Roman"/>
                  <w:szCs w:val="21"/>
                </w:rPr>
              </w:sdtEndPr>
              <w:sdtContent>
                <w:tc>
                  <w:tcPr>
                    <w:tcW w:w="251" w:type="pct"/>
                    <w:shd w:val="clear" w:color="auto" w:fill="auto"/>
                    <w:vAlign w:val="center"/>
                  </w:tcPr>
                  <w:p>
                    <w:pPr>
                      <w:jc w:val="center"/>
                      <w:rPr>
                        <w:rFonts w:ascii="Times New Roman" w:hAnsi="Times New Roman" w:cs="Times New Roman"/>
                        <w:szCs w:val="21"/>
                      </w:rPr>
                    </w:pPr>
                    <w:r>
                      <w:rPr>
                        <w:rFonts w:asci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865722968"/>
                <w:lock w:val="sdtLocked"/>
                <w:comboBox>
                  <w:listItem w:displayText="是" w:value="true"/>
                  <w:listItem w:displayText="否" w:value="false"/>
                </w:comboBox>
              </w:sdtPr>
              <w:sdtEndPr>
                <w:rPr>
                  <w:rFonts w:ascii="Times New Roman" w:hAnsi="Times New Roman" w:cs="Times New Roman"/>
                  <w:szCs w:val="21"/>
                </w:rPr>
              </w:sdtEndPr>
              <w:sdtContent>
                <w:tc>
                  <w:tcPr>
                    <w:tcW w:w="301" w:type="pct"/>
                    <w:shd w:val="clear" w:color="auto" w:fill="auto"/>
                    <w:vAlign w:val="center"/>
                  </w:tcPr>
                  <w:p>
                    <w:pPr>
                      <w:jc w:val="center"/>
                      <w:rPr>
                        <w:rFonts w:ascii="Times New Roman" w:hAnsi="Times New Roman" w:cs="Times New Roman"/>
                        <w:szCs w:val="21"/>
                      </w:rPr>
                    </w:pPr>
                    <w:r>
                      <w:rPr>
                        <w:rFonts w:ascii="Times New Roman" w:cs="Times New Roman"/>
                        <w:szCs w:val="21"/>
                      </w:rPr>
                      <w:t>是</w:t>
                    </w:r>
                  </w:p>
                </w:tc>
              </w:sdtContent>
            </w:sdt>
            <w:tc>
              <w:tcPr>
                <w:tcW w:w="453" w:type="pct"/>
                <w:shd w:val="clear" w:color="auto" w:fill="auto"/>
                <w:vAlign w:val="center"/>
              </w:tcPr>
              <w:p>
                <w:pPr>
                  <w:jc w:val="center"/>
                  <w:rPr>
                    <w:rFonts w:ascii="Times New Roman" w:hAnsi="Times New Roman" w:cs="Times New Roman"/>
                    <w:szCs w:val="21"/>
                  </w:rPr>
                </w:pPr>
              </w:p>
            </w:tc>
            <w:tc>
              <w:tcPr>
                <w:tcW w:w="432" w:type="pct"/>
                <w:shd w:val="clear" w:color="auto" w:fill="auto"/>
              </w:tcPr>
              <w:p>
                <w:pPr>
                  <w:rPr>
                    <w:rFonts w:ascii="Times New Roman" w:hAnsi="Times New Roman" w:cs="Times New Roman"/>
                    <w:szCs w:val="21"/>
                  </w:rPr>
                </w:pPr>
              </w:p>
            </w:tc>
          </w:tr>
          <w:sdt>
            <w:sdtPr>
              <w:rPr>
                <w:rFonts w:ascii="Times New Roman" w:hAnsi="Times New Roman" w:cs="Times New Roman" w:eastAsiaTheme="minorEastAsia"/>
                <w:kern w:val="2"/>
                <w:szCs w:val="21"/>
              </w:rPr>
              <w:alias w:val="与首次公开发行相关的承诺"/>
              <w:tag w:val="_TUP_34fdd56603d04d1c96c14e0e86d3c26b"/>
              <w:id w:val="865722973"/>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restart"/>
                    <w:shd w:val="clear" w:color="auto" w:fill="auto"/>
                    <w:vAlign w:val="center"/>
                  </w:tcPr>
                  <w:sdt>
                    <w:sdtPr>
                      <w:rPr>
                        <w:rFonts w:ascii="Times New Roman" w:hAnsi="Times New Roman" w:cs="Times New Roman"/>
                        <w:szCs w:val="21"/>
                      </w:rPr>
                      <w:tag w:val="_PLD_86425bd60aef41d2a0a1c861414eb090"/>
                      <w:id w:val="865722969"/>
                      <w:lock w:val="sdtLocked"/>
                    </w:sdtPr>
                    <w:sdtEndPr>
                      <w:rPr>
                        <w:rFonts w:ascii="Times New Roman" w:hAnsi="Times New Roman" w:cs="Times New Roman"/>
                        <w:szCs w:val="21"/>
                      </w:rPr>
                    </w:sdtEndPr>
                    <w:sdtContent>
                      <w:p>
                        <w:pPr>
                          <w:jc w:val="both"/>
                          <w:rPr>
                            <w:rFonts w:ascii="Times New Roman" w:hAnsi="Times New Roman" w:cs="Times New Roman"/>
                            <w:szCs w:val="21"/>
                          </w:rPr>
                        </w:pPr>
                        <w:r>
                          <w:rPr>
                            <w:rFonts w:ascii="Times New Roman" w:cs="Times New Roman"/>
                            <w:szCs w:val="21"/>
                          </w:rPr>
                          <w:t>与首次公开发行相关的承诺</w:t>
                        </w:r>
                      </w:p>
                    </w:sdtContent>
                  </w:sdt>
                </w:tc>
                <w:sdt>
                  <w:sdtPr>
                    <w:rPr>
                      <w:rFonts w:ascii="Times New Roman" w:hAnsi="Times New Roman" w:cs="Times New Roman"/>
                      <w:szCs w:val="21"/>
                    </w:rPr>
                    <w:alias w:val="与首次公开发行相关的承诺-承诺类型"/>
                    <w:tag w:val="_GBC_544118bad2864ee8b5a42608e3d695de"/>
                    <w:id w:val="86572297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imes New Roman" w:hAnsi="Times New Roman" w:cs="Times New Roman"/>
                      <w:szCs w:val="21"/>
                    </w:rPr>
                  </w:sdtEndPr>
                  <w:sdtContent>
                    <w:tc>
                      <w:tcPr>
                        <w:tcW w:w="302" w:type="pct"/>
                        <w:shd w:val="clear" w:color="auto" w:fill="auto"/>
                        <w:vAlign w:val="center"/>
                      </w:tcPr>
                      <w:p>
                        <w:pPr>
                          <w:jc w:val="both"/>
                          <w:rPr>
                            <w:rFonts w:ascii="Times New Roman" w:hAnsi="Times New Roman" w:cs="Times New Roman"/>
                            <w:szCs w:val="21"/>
                          </w:rPr>
                        </w:pPr>
                        <w:r>
                          <w:rPr>
                            <w:rFonts w:ascii="Times New Roman" w:cs="Times New Roman"/>
                            <w:szCs w:val="21"/>
                          </w:rPr>
                          <w:t>解决同业竞争</w:t>
                        </w:r>
                      </w:p>
                    </w:tc>
                  </w:sdtContent>
                </w:sdt>
                <w:tc>
                  <w:tcPr>
                    <w:tcW w:w="452" w:type="pct"/>
                    <w:shd w:val="clear" w:color="auto" w:fill="auto"/>
                    <w:vAlign w:val="center"/>
                  </w:tcPr>
                  <w:p>
                    <w:pPr>
                      <w:jc w:val="both"/>
                      <w:rPr>
                        <w:rFonts w:ascii="Times New Roman" w:hAnsi="Times New Roman" w:cs="Times New Roman"/>
                        <w:szCs w:val="21"/>
                      </w:rPr>
                    </w:pPr>
                    <w:r>
                      <w:rPr>
                        <w:rFonts w:ascii="Times New Roman" w:cs="Times New Roman"/>
                      </w:rPr>
                      <w:t>柳州市两面针旅游用品厂</w:t>
                    </w:r>
                  </w:p>
                </w:tc>
                <w:tc>
                  <w:tcPr>
                    <w:tcW w:w="1658" w:type="pct"/>
                    <w:shd w:val="clear" w:color="auto" w:fill="auto"/>
                    <w:vAlign w:val="center"/>
                  </w:tcPr>
                  <w:p>
                    <w:pPr>
                      <w:jc w:val="both"/>
                      <w:rPr>
                        <w:rFonts w:ascii="Times New Roman" w:hAnsi="Times New Roman" w:cs="Times New Roman"/>
                        <w:szCs w:val="21"/>
                      </w:rPr>
                    </w:pPr>
                    <w:r>
                      <w:rPr>
                        <w:rFonts w:ascii="Times New Roman" w:cs="Times New Roman"/>
                      </w:rPr>
                      <w:t>本公司与公司股东柳州市两面针旅游用品厂之间曾存在相似业务。柳州市两面针旅游用品厂过去主要生产经销旅游用小支装牙膏，自</w:t>
                    </w:r>
                    <w:r>
                      <w:rPr>
                        <w:rFonts w:ascii="Times New Roman" w:hAnsi="Times New Roman" w:cs="Times New Roman"/>
                      </w:rPr>
                      <w:t>2000</w:t>
                    </w:r>
                    <w:r>
                      <w:rPr>
                        <w:rFonts w:ascii="Times New Roman" w:cs="Times New Roman"/>
                      </w:rPr>
                      <w:t>年</w:t>
                    </w:r>
                    <w:r>
                      <w:rPr>
                        <w:rFonts w:ascii="Times New Roman" w:hAnsi="Times New Roman" w:cs="Times New Roman"/>
                      </w:rPr>
                      <w:t>6</w:t>
                    </w:r>
                    <w:r>
                      <w:rPr>
                        <w:rFonts w:ascii="Times New Roman" w:cs="Times New Roman"/>
                      </w:rPr>
                      <w:t>月起，柳州市两面针旅游用品厂停止了上述产品的生产，改为销售本公司旅游牙膏及香皂等产品，并承诺今后不再从事与本公司相同或相似的业务。</w:t>
                    </w:r>
                  </w:p>
                </w:tc>
                <w:tc>
                  <w:tcPr>
                    <w:tcW w:w="503" w:type="pct"/>
                    <w:shd w:val="clear" w:color="auto" w:fill="auto"/>
                    <w:vAlign w:val="center"/>
                  </w:tcPr>
                  <w:p>
                    <w:pPr>
                      <w:jc w:val="center"/>
                      <w:rPr>
                        <w:rFonts w:ascii="Times New Roman" w:hAnsi="Times New Roman" w:cs="Times New Roman"/>
                        <w:szCs w:val="21"/>
                      </w:rPr>
                    </w:pPr>
                    <w:r>
                      <w:rPr>
                        <w:rFonts w:ascii="Times New Roman" w:hAnsi="Times New Roman" w:cs="Times New Roman"/>
                      </w:rPr>
                      <w:t>2003</w:t>
                    </w:r>
                    <w:r>
                      <w:rPr>
                        <w:rFonts w:ascii="Times New Roman" w:cs="Times New Roman"/>
                      </w:rPr>
                      <w:t>年</w:t>
                    </w:r>
                    <w:r>
                      <w:rPr>
                        <w:rFonts w:ascii="Times New Roman" w:hAnsi="Times New Roman" w:cs="Times New Roman"/>
                      </w:rPr>
                      <w:t>12</w:t>
                    </w:r>
                    <w:r>
                      <w:rPr>
                        <w:rFonts w:ascii="Times New Roman" w:cs="Times New Roman"/>
                      </w:rPr>
                      <w:t>月；承诺期限：长期有效</w:t>
                    </w:r>
                  </w:p>
                </w:tc>
                <w:sdt>
                  <w:sdtPr>
                    <w:rPr>
                      <w:rFonts w:ascii="Times New Roman" w:hAnsi="Times New Roman" w:cs="Times New Roman"/>
                      <w:szCs w:val="21"/>
                    </w:rPr>
                    <w:alias w:val="与首次公开发行相关的承诺-是否有履行期限"/>
                    <w:tag w:val="_GBC_2596a53d17dc47239c6d6c13d352aafe"/>
                    <w:id w:val="865722971"/>
                    <w:lock w:val="sdtLocked"/>
                    <w:comboBox>
                      <w:listItem w:displayText="是" w:value="true"/>
                      <w:listItem w:displayText="否" w:value="false"/>
                    </w:comboBox>
                  </w:sdtPr>
                  <w:sdtEndPr>
                    <w:rPr>
                      <w:rFonts w:ascii="Times New Roman" w:hAnsi="Times New Roman" w:cs="Times New Roman"/>
                      <w:szCs w:val="21"/>
                    </w:rPr>
                  </w:sdtEndPr>
                  <w:sdtContent>
                    <w:tc>
                      <w:tcPr>
                        <w:tcW w:w="251" w:type="pct"/>
                        <w:shd w:val="clear" w:color="auto" w:fill="auto"/>
                        <w:vAlign w:val="center"/>
                      </w:tcPr>
                      <w:p>
                        <w:pPr>
                          <w:jc w:val="center"/>
                          <w:rPr>
                            <w:rFonts w:ascii="Times New Roman" w:hAnsi="Times New Roman" w:cs="Times New Roman"/>
                            <w:szCs w:val="21"/>
                          </w:rPr>
                        </w:pPr>
                        <w:r>
                          <w:rPr>
                            <w:rFonts w:asci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865722972"/>
                    <w:lock w:val="sdtLocked"/>
                    <w:comboBox>
                      <w:listItem w:displayText="是" w:value="true"/>
                      <w:listItem w:displayText="否" w:value="false"/>
                    </w:comboBox>
                  </w:sdtPr>
                  <w:sdtEndPr>
                    <w:rPr>
                      <w:rFonts w:ascii="Times New Roman" w:hAnsi="Times New Roman" w:cs="Times New Roman"/>
                      <w:szCs w:val="21"/>
                    </w:rPr>
                  </w:sdtEndPr>
                  <w:sdtContent>
                    <w:tc>
                      <w:tcPr>
                        <w:tcW w:w="301" w:type="pct"/>
                        <w:shd w:val="clear" w:color="auto" w:fill="auto"/>
                        <w:vAlign w:val="center"/>
                      </w:tcPr>
                      <w:p>
                        <w:pPr>
                          <w:jc w:val="center"/>
                          <w:rPr>
                            <w:rFonts w:ascii="Times New Roman" w:hAnsi="Times New Roman" w:cs="Times New Roman"/>
                            <w:szCs w:val="21"/>
                          </w:rPr>
                        </w:pPr>
                        <w:r>
                          <w:rPr>
                            <w:rFonts w:ascii="Times New Roman" w:cs="Times New Roman"/>
                            <w:szCs w:val="21"/>
                          </w:rPr>
                          <w:t>是</w:t>
                        </w:r>
                      </w:p>
                    </w:tc>
                  </w:sdtContent>
                </w:sdt>
                <w:tc>
                  <w:tcPr>
                    <w:tcW w:w="453" w:type="pct"/>
                    <w:shd w:val="clear" w:color="auto" w:fill="auto"/>
                  </w:tcPr>
                  <w:p>
                    <w:pPr>
                      <w:rPr>
                        <w:rFonts w:ascii="Times New Roman" w:hAnsi="Times New Roman" w:cs="Times New Roman"/>
                        <w:szCs w:val="21"/>
                      </w:rPr>
                    </w:pPr>
                  </w:p>
                </w:tc>
                <w:tc>
                  <w:tcPr>
                    <w:tcW w:w="432" w:type="pct"/>
                    <w:shd w:val="clear" w:color="auto" w:fill="auto"/>
                  </w:tcPr>
                  <w:p>
                    <w:pPr>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shd w:val="clear" w:color="auto" w:fill="auto"/>
                <w:vAlign w:val="center"/>
              </w:tcPr>
              <w:p>
                <w:pPr>
                  <w:jc w:val="both"/>
                  <w:rPr>
                    <w:rFonts w:ascii="Times New Roman" w:hAnsi="Times New Roman" w:cs="Times New Roman"/>
                  </w:rPr>
                </w:pPr>
              </w:p>
            </w:tc>
            <w:sdt>
              <w:sdtPr>
                <w:rPr>
                  <w:rFonts w:ascii="Times New Roman" w:hAnsi="Times New Roman" w:cs="Times New Roman"/>
                  <w:szCs w:val="21"/>
                </w:rPr>
                <w:alias w:val="与首次公开发行相关的承诺-承诺类型"/>
                <w:tag w:val="_GBC_544118bad2864ee8b5a42608e3d695de"/>
                <w:id w:val="86572297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imes New Roman" w:hAnsi="Times New Roman" w:cs="Times New Roman"/>
                  <w:szCs w:val="21"/>
                </w:rPr>
              </w:sdtEndPr>
              <w:sdtContent>
                <w:tc>
                  <w:tcPr>
                    <w:tcW w:w="302" w:type="pct"/>
                    <w:shd w:val="clear" w:color="auto" w:fill="auto"/>
                    <w:vAlign w:val="center"/>
                  </w:tcPr>
                  <w:p>
                    <w:pPr>
                      <w:jc w:val="both"/>
                      <w:rPr>
                        <w:rFonts w:ascii="Times New Roman" w:hAnsi="Times New Roman" w:cs="Times New Roman"/>
                        <w:szCs w:val="21"/>
                      </w:rPr>
                    </w:pPr>
                    <w:r>
                      <w:rPr>
                        <w:rFonts w:ascii="Times New Roman" w:cs="Times New Roman"/>
                        <w:szCs w:val="21"/>
                      </w:rPr>
                      <w:t>其他</w:t>
                    </w:r>
                  </w:p>
                </w:tc>
              </w:sdtContent>
            </w:sdt>
            <w:tc>
              <w:tcPr>
                <w:tcW w:w="452" w:type="pct"/>
                <w:shd w:val="clear" w:color="auto" w:fill="auto"/>
                <w:vAlign w:val="center"/>
              </w:tcPr>
              <w:p>
                <w:pPr>
                  <w:jc w:val="both"/>
                  <w:rPr>
                    <w:rFonts w:ascii="Times New Roman" w:hAnsi="Times New Roman" w:cs="Times New Roman"/>
                    <w:szCs w:val="21"/>
                  </w:rPr>
                </w:pPr>
                <w:r>
                  <w:rPr>
                    <w:rFonts w:ascii="Times New Roman" w:cs="Times New Roman"/>
                  </w:rPr>
                  <w:t>柳州市经发投资有限责任公司</w:t>
                </w:r>
              </w:p>
            </w:tc>
            <w:tc>
              <w:tcPr>
                <w:tcW w:w="1658" w:type="pct"/>
                <w:shd w:val="clear" w:color="auto" w:fill="auto"/>
                <w:vAlign w:val="center"/>
              </w:tcPr>
              <w:p>
                <w:pPr>
                  <w:jc w:val="both"/>
                  <w:rPr>
                    <w:rFonts w:ascii="Times New Roman" w:hAnsi="Times New Roman" w:cs="Times New Roman"/>
                    <w:szCs w:val="21"/>
                  </w:rPr>
                </w:pPr>
                <w:r>
                  <w:rPr>
                    <w:rFonts w:ascii="Times New Roman" w:cs="Times New Roman"/>
                  </w:rPr>
                  <w:t>不将持有的本公司股票用于质押、担保。</w:t>
                </w:r>
              </w:p>
            </w:tc>
            <w:tc>
              <w:tcPr>
                <w:tcW w:w="503" w:type="pct"/>
                <w:shd w:val="clear" w:color="auto" w:fill="auto"/>
                <w:vAlign w:val="center"/>
              </w:tcPr>
              <w:p>
                <w:pPr>
                  <w:jc w:val="center"/>
                  <w:rPr>
                    <w:rFonts w:ascii="Times New Roman" w:hAnsi="Times New Roman" w:cs="Times New Roman"/>
                    <w:szCs w:val="21"/>
                  </w:rPr>
                </w:pPr>
                <w:r>
                  <w:rPr>
                    <w:rFonts w:ascii="Times New Roman" w:hAnsi="Times New Roman" w:cs="Times New Roman"/>
                  </w:rPr>
                  <w:t>2003</w:t>
                </w:r>
                <w:r>
                  <w:rPr>
                    <w:rFonts w:ascii="Times New Roman" w:cs="Times New Roman"/>
                  </w:rPr>
                  <w:t>年</w:t>
                </w:r>
                <w:r>
                  <w:rPr>
                    <w:rFonts w:ascii="Times New Roman" w:hAnsi="Times New Roman" w:cs="Times New Roman"/>
                  </w:rPr>
                  <w:t>12</w:t>
                </w:r>
                <w:r>
                  <w:rPr>
                    <w:rFonts w:ascii="Times New Roman" w:cs="Times New Roman"/>
                  </w:rPr>
                  <w:t>月；承诺期限：长期有效</w:t>
                </w:r>
              </w:p>
            </w:tc>
            <w:sdt>
              <w:sdtPr>
                <w:rPr>
                  <w:rFonts w:ascii="Times New Roman" w:hAnsi="Times New Roman" w:cs="Times New Roman"/>
                  <w:szCs w:val="21"/>
                </w:rPr>
                <w:alias w:val="与首次公开发行相关的承诺-是否有履行期限"/>
                <w:tag w:val="_GBC_2596a53d17dc47239c6d6c13d352aafe"/>
                <w:id w:val="865722975"/>
                <w:lock w:val="sdtLocked"/>
                <w:comboBox>
                  <w:listItem w:displayText="是" w:value="true"/>
                  <w:listItem w:displayText="否" w:value="false"/>
                </w:comboBox>
              </w:sdtPr>
              <w:sdtEndPr>
                <w:rPr>
                  <w:rFonts w:ascii="Times New Roman" w:hAnsi="Times New Roman" w:cs="Times New Roman"/>
                  <w:szCs w:val="21"/>
                </w:rPr>
              </w:sdtEndPr>
              <w:sdtContent>
                <w:tc>
                  <w:tcPr>
                    <w:tcW w:w="251" w:type="pct"/>
                    <w:shd w:val="clear" w:color="auto" w:fill="auto"/>
                    <w:vAlign w:val="center"/>
                  </w:tcPr>
                  <w:p>
                    <w:pPr>
                      <w:jc w:val="center"/>
                      <w:rPr>
                        <w:rFonts w:ascii="Times New Roman" w:hAnsi="Times New Roman" w:cs="Times New Roman"/>
                        <w:szCs w:val="21"/>
                      </w:rPr>
                    </w:pPr>
                    <w:r>
                      <w:rPr>
                        <w:rFonts w:asci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865722976"/>
                <w:lock w:val="sdtLocked"/>
                <w:comboBox>
                  <w:listItem w:displayText="是" w:value="true"/>
                  <w:listItem w:displayText="否" w:value="false"/>
                </w:comboBox>
              </w:sdtPr>
              <w:sdtEndPr>
                <w:rPr>
                  <w:rFonts w:ascii="Times New Roman" w:hAnsi="Times New Roman" w:cs="Times New Roman"/>
                  <w:szCs w:val="21"/>
                </w:rPr>
              </w:sdtEndPr>
              <w:sdtContent>
                <w:tc>
                  <w:tcPr>
                    <w:tcW w:w="301" w:type="pct"/>
                    <w:shd w:val="clear" w:color="auto" w:fill="auto"/>
                    <w:vAlign w:val="center"/>
                  </w:tcPr>
                  <w:p>
                    <w:pPr>
                      <w:jc w:val="center"/>
                      <w:rPr>
                        <w:rFonts w:ascii="Times New Roman" w:hAnsi="Times New Roman" w:cs="Times New Roman"/>
                        <w:szCs w:val="21"/>
                      </w:rPr>
                    </w:pPr>
                    <w:r>
                      <w:rPr>
                        <w:rFonts w:ascii="Times New Roman" w:cs="Times New Roman"/>
                        <w:szCs w:val="21"/>
                      </w:rPr>
                      <w:t>是</w:t>
                    </w:r>
                  </w:p>
                </w:tc>
              </w:sdtContent>
            </w:sdt>
            <w:tc>
              <w:tcPr>
                <w:tcW w:w="453" w:type="pct"/>
                <w:shd w:val="clear" w:color="auto" w:fill="auto"/>
              </w:tcPr>
              <w:p>
                <w:pPr>
                  <w:rPr>
                    <w:rFonts w:ascii="Times New Roman" w:hAnsi="Times New Roman" w:cs="Times New Roman"/>
                    <w:szCs w:val="21"/>
                  </w:rPr>
                </w:pPr>
              </w:p>
            </w:tc>
            <w:tc>
              <w:tcPr>
                <w:tcW w:w="432" w:type="pct"/>
                <w:shd w:val="clear" w:color="auto" w:fill="auto"/>
              </w:tcPr>
              <w:p>
                <w:pPr>
                  <w:rPr>
                    <w:rFonts w:ascii="Times New Roman" w:hAnsi="Times New Roman" w:cs="Times New Roman"/>
                    <w:szCs w:val="21"/>
                  </w:rPr>
                </w:pPr>
              </w:p>
            </w:tc>
          </w:tr>
        </w:tbl>
        <w:p/>
        <w:p/>
      </w:sdtContent>
    </w:sdt>
    <w:p>
      <w:pPr>
        <w:rPr>
          <w:szCs w:val="21"/>
        </w:rPr>
        <w:sectPr>
          <w:pgSz w:w="16838" w:h="11906" w:orient="landscape"/>
          <w:pgMar w:top="1797" w:right="1525" w:bottom="1276" w:left="1440" w:header="855" w:footer="992" w:gutter="0"/>
          <w:cols w:space="425" w:num="1"/>
          <w:docGrid w:linePitch="312" w:charSpace="0"/>
        </w:sectPr>
      </w:pPr>
    </w:p>
    <w:p>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865723012"/>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1"/>
              <w:numId w:val="33"/>
            </w:numPr>
            <w:rPr>
              <w:szCs w:val="21"/>
            </w:rPr>
          </w:pPr>
          <w:r>
            <w:rPr>
              <w:szCs w:val="21"/>
            </w:rPr>
            <w:t>公司资产或项目存在盈利预测，且报告期仍处在盈利预测期间，公司就资产或项目</w:t>
          </w:r>
        </w:p>
        <w:p>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86572301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□已达到 </w:instrText>
              </w:r>
              <w:r>
                <w:rPr>
                  <w:szCs w:val="21"/>
                </w:rPr>
                <w:fldChar w:fldCharType="end"/>
              </w:r>
              <w:r>
                <w:rPr>
                  <w:szCs w:val="21"/>
                </w:rPr>
                <w:fldChar w:fldCharType="begin"/>
              </w:r>
              <w:r>
                <w:rPr>
                  <w:szCs w:val="21"/>
                </w:rPr>
                <w:instrText xml:space="preserve"> MACROBUTTON  SnrToggleCheckbox □未达到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宋体" w:hAnsi="宋体" w:cs="宋体"/>
          <w:b w:val="0"/>
          <w:bCs w:val="0"/>
          <w:kern w:val="0"/>
          <w:szCs w:val="21"/>
        </w:rPr>
        <w:alias w:val="模块:业绩承诺的完成情况及其对商誉减值测试的影响"/>
        <w:tag w:val="_SEC_86c8a9a047bf4390b162a151daf2ea63"/>
        <w:id w:val="865723015"/>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1"/>
              <w:numId w:val="33"/>
            </w:numPr>
            <w:rPr>
              <w:szCs w:val="21"/>
            </w:rPr>
          </w:pPr>
          <w:bookmarkStart w:id="66" w:name="_Hlk533667679"/>
          <w:bookmarkEnd w:id="66"/>
          <w:bookmarkStart w:id="67" w:name="_Hlk533667690"/>
          <w:r>
            <w:rPr>
              <w:rFonts w:hint="eastAsia" w:ascii="宋体" w:hAnsi="宋体" w:cs="宋体"/>
              <w:bCs w:val="0"/>
              <w:kern w:val="0"/>
              <w:szCs w:val="21"/>
            </w:rPr>
            <w:t>业绩承诺的完成情况及其对商誉减值测试的影响</w:t>
          </w:r>
        </w:p>
        <w:p>
          <w:sdt>
            <w:sdtPr>
              <w:rPr>
                <w:rFonts w:hint="eastAsia"/>
                <w:b/>
                <w:szCs w:val="21"/>
              </w:rPr>
              <w:alias w:val="是否适用：承诺事项-商誉减值测试的影响[双击切换]"/>
              <w:tag w:val="_GBC_659442fc24654f8db642f18c0532cf99"/>
              <w:id w:val="865723013"/>
              <w:lock w:val="sdtLocked"/>
              <w:placeholder>
                <w:docPart w:val="GBC22222222222222222222222222222"/>
              </w:placeholder>
            </w:sdtPr>
            <w:sdtEndPr>
              <w:rPr>
                <w:rFonts w:hint="eastAsia"/>
                <w:b/>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bookmarkEnd w:id="67"/>
    <w:p>
      <w:pPr>
        <w:sectPr>
          <w:pgSz w:w="11906" w:h="16838"/>
          <w:pgMar w:top="1525" w:right="1276" w:bottom="1440" w:left="1797" w:header="855" w:footer="992" w:gutter="0"/>
          <w:cols w:space="425" w:num="1"/>
          <w:docGrid w:linePitch="312" w:charSpace="0"/>
        </w:sectPr>
      </w:pPr>
    </w:p>
    <w:p/>
    <w:sdt>
      <w:sdtPr>
        <w:rPr>
          <w:rFonts w:hint="eastAsia" w:ascii="宋体" w:hAnsi="宋体" w:cs="宋体"/>
          <w:b w:val="0"/>
          <w:bCs w:val="0"/>
          <w:kern w:val="0"/>
          <w:szCs w:val="24"/>
        </w:rPr>
        <w:alias w:val="模块:报告期内控股股东及其他关联方非经营性占用资金情况  单位..."/>
        <w:tag w:val="_SEC_64e4682d0039484ab6016e0d63651914"/>
        <w:id w:val="865723017"/>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32"/>
            </w:numPr>
            <w:rPr>
              <w:rFonts w:ascii="宋体" w:hAnsi="宋体"/>
            </w:rPr>
          </w:pPr>
          <w:bookmarkStart w:id="68" w:name="_Hlk89336052"/>
          <w:r>
            <w:rPr>
              <w:rFonts w:hint="eastAsia" w:ascii="宋体" w:hAnsi="宋体"/>
            </w:rPr>
            <w:t>报</w:t>
          </w:r>
          <w:r>
            <w:rPr>
              <w:rFonts w:ascii="宋体" w:hAnsi="宋体"/>
            </w:rPr>
            <w:t>告期内</w:t>
          </w:r>
          <w:r>
            <w:rPr>
              <w:rFonts w:hint="eastAsia" w:ascii="宋体" w:hAnsi="宋体"/>
            </w:rPr>
            <w:t>控股股东及其他关联方非经营性占用资金情况</w:t>
          </w:r>
        </w:p>
        <w:sdt>
          <w:sdtPr>
            <w:rPr>
              <w:szCs w:val="21"/>
            </w:rPr>
            <w:alias w:val="是否适用：资金被占用情况及清欠进展情况[双击切换]"/>
            <w:tag w:val="_GBC_a94958949e0846929a78a71186526204"/>
            <w:id w:val="865723016"/>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68"/>
    <w:sdt>
      <w:sdtPr>
        <w:rPr>
          <w:rFonts w:hint="eastAsia" w:ascii="宋体" w:hAnsi="宋体" w:cs="宋体"/>
          <w:b w:val="0"/>
          <w:bCs w:val="0"/>
          <w:kern w:val="0"/>
          <w:szCs w:val="24"/>
        </w:rPr>
        <w:alias w:val="模块:违规担保情况"/>
        <w:tag w:val="_SEC_b410eb19cb794b80b75b15dd0963620a"/>
        <w:id w:val="865723019"/>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32"/>
            </w:numPr>
            <w:rPr>
              <w:rFonts w:ascii="宋体" w:hAnsi="宋体"/>
            </w:rPr>
          </w:pPr>
          <w:bookmarkStart w:id="69" w:name="_Hlk89337011"/>
          <w:r>
            <w:rPr>
              <w:rFonts w:hint="eastAsia" w:ascii="宋体" w:hAnsi="宋体"/>
            </w:rPr>
            <w:t>违规担保情况</w:t>
          </w:r>
        </w:p>
        <w:sdt>
          <w:sdtPr>
            <w:alias w:val="是否适用：违规担保情况[双击切换]"/>
            <w:tag w:val="_GBC_b2d16e23c066427a800b40aaa053bc8e"/>
            <w:id w:val="86572301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sdtContent>
        </w:sdt>
      </w:sdtContent>
    </w:sdt>
    <w:bookmarkEnd w:id="69"/>
    <w:sdt>
      <w:sdtPr>
        <w:rPr>
          <w:rFonts w:hint="eastAsia" w:ascii="宋体" w:hAnsi="宋体" w:cs="宋体"/>
          <w:b w:val="0"/>
          <w:bCs w:val="0"/>
          <w:kern w:val="0"/>
          <w:szCs w:val="24"/>
        </w:rPr>
        <w:alias w:val="模块:公司对会计师事务所“非标准意见审计报告”的说明"/>
        <w:tag w:val="_SEC_9d3a2dd92a2447d580108acf33ecf5ea"/>
        <w:id w:val="865723021"/>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2"/>
            </w:numPr>
            <w:rPr>
              <w:rFonts w:ascii="宋体" w:hAnsi="宋体" w:cs="宋体"/>
              <w:kern w:val="0"/>
              <w:szCs w:val="24"/>
            </w:rPr>
          </w:pPr>
          <w:r>
            <w:rPr>
              <w:rFonts w:hint="eastAsia" w:ascii="宋体" w:hAnsi="宋体" w:cs="宋体"/>
              <w:kern w:val="0"/>
              <w:szCs w:val="24"/>
            </w:rPr>
            <w:t>公司董事会对会计师事务所“非标准意见审计报告”的说明</w:t>
          </w:r>
        </w:p>
        <w:p>
          <w:pPr>
            <w:rPr>
              <w:szCs w:val="21"/>
            </w:rPr>
          </w:pPr>
          <w:sdt>
            <w:sdtPr>
              <w:alias w:val="是否适用：董事会对会计师事务所非标准审计报告的说明[双击切换]"/>
              <w:tag w:val="_GBC_81f7a662b6a641d8aadb05b1cb176ecf"/>
              <w:id w:val="865723020"/>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Content>
    </w:sdt>
    <w:p/>
    <w:p>
      <w:pPr>
        <w:pStyle w:val="3"/>
        <w:numPr>
          <w:ilvl w:val="0"/>
          <w:numId w:val="32"/>
        </w:numPr>
        <w:rPr>
          <w:rFonts w:ascii="宋体" w:hAnsi="宋体" w:cs="宋体"/>
          <w:kern w:val="0"/>
          <w:szCs w:val="24"/>
        </w:rPr>
      </w:pPr>
      <w:r>
        <w:rPr>
          <w:rFonts w:hint="eastAsia" w:ascii="宋体" w:hAnsi="宋体" w:cs="宋体"/>
          <w:kern w:val="0"/>
          <w:szCs w:val="24"/>
        </w:rPr>
        <w:t>公司对会计政策、会计估计变更或重大会计差错更正原因和影响的分析说明</w:t>
      </w:r>
    </w:p>
    <w:sdt>
      <w:sdtPr>
        <w:rPr>
          <w:rFonts w:hint="eastAsia" w:ascii="宋体" w:hAnsi="宋体" w:cs="宋体"/>
          <w:b w:val="0"/>
          <w:bCs w:val="0"/>
          <w:kern w:val="0"/>
          <w:szCs w:val="24"/>
        </w:rPr>
        <w:alias w:val="模块:董事公司对会计政策、会计估计变更原因及影响的分析说明"/>
        <w:tag w:val="_SEC_848c3b6b128d4e1c85d360627256d912"/>
        <w:id w:val="865723024"/>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34"/>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86572302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865723023"/>
            <w:lock w:val="sdtLocked"/>
            <w:placeholder>
              <w:docPart w:val="GBC22222222222222222222222222222"/>
            </w:placeholder>
          </w:sdtPr>
          <w:sdtEndPr>
            <w:rPr>
              <w:szCs w:val="21"/>
            </w:rPr>
          </w:sdtEndPr>
          <w:sdtContent>
            <w:p>
              <w:pPr>
                <w:autoSpaceDE w:val="0"/>
                <w:autoSpaceDN w:val="0"/>
                <w:adjustRightInd w:val="0"/>
                <w:spacing w:line="500" w:lineRule="exact"/>
                <w:ind w:firstLine="420" w:firstLineChars="200"/>
                <w:rPr>
                  <w:sz w:val="24"/>
                  <w:lang w:val="zh-CN"/>
                </w:rPr>
              </w:pPr>
              <w:r>
                <w:rPr>
                  <w:rFonts w:hint="eastAsia"/>
                  <w:szCs w:val="21"/>
                </w:rPr>
                <w:t>①</w:t>
              </w:r>
              <w:r>
                <w:rPr>
                  <w:rFonts w:ascii="Times New Roman" w:hAnsi="Times New Roman"/>
                </w:rPr>
                <w:t>执行财政部于2021年11月2日颁布的《企业会计准则实施问答》</w:t>
              </w:r>
              <w:r>
                <w:rPr>
                  <w:rFonts w:ascii="Times New Roman" w:hAnsi="Times New Roman"/>
                </w:rPr>
                <w:br w:type="textWrapping"/>
              </w:r>
              <w:r>
                <w:rPr>
                  <w:rFonts w:hint="eastAsia" w:ascii="Times New Roman" w:hAnsi="Times New Roman"/>
                </w:rPr>
                <w:t xml:space="preserve">    </w:t>
              </w:r>
              <w:r>
                <w:rPr>
                  <w:rFonts w:ascii="Times New Roman" w:hAnsi="Times New Roman"/>
                </w:rPr>
                <w:t>2017年度修订了《企业会计准则第14号——收入》（以</w:t>
              </w:r>
              <w:r>
                <w:rPr>
                  <w:rFonts w:asciiTheme="minorEastAsia" w:hAnsiTheme="minorEastAsia" w:eastAsiaTheme="minorEastAsia"/>
                </w:rPr>
                <w:t>下简称“新收入准则”）</w:t>
              </w:r>
              <w:r>
                <w:rPr>
                  <w:rFonts w:ascii="Times New Roman" w:hAnsi="Times New Roman"/>
                </w:rPr>
                <w:t>，根据财政部于2021年11月2日颁布的</w:t>
              </w:r>
              <w:r>
                <w:rPr>
                  <w:rFonts w:asciiTheme="minorEastAsia" w:hAnsiTheme="minorEastAsia" w:eastAsiaTheme="minorEastAsia"/>
                </w:rPr>
                <w:t>《企业会计准则实施问答》，针</w:t>
              </w:r>
              <w:r>
                <w:rPr>
                  <w:rFonts w:ascii="Times New Roman" w:hAnsi="Times New Roman"/>
                </w:rPr>
                <w:t>对发生在商品控制权转移给客户之前，且为履行销售合同而发生的运输成本，将其自销售费用全部重分类至营业成本。本公司自2021年1月1日起将作为合同履约成本的运输费列报于营业成本，并对上年同期数进行追溯调整。执行该规定未对本公司财务状况和经营成果产生重大影响。</w:t>
              </w:r>
            </w:p>
            <w:p>
              <w:pPr>
                <w:autoSpaceDE w:val="0"/>
                <w:autoSpaceDN w:val="0"/>
                <w:adjustRightInd w:val="0"/>
                <w:spacing w:line="500" w:lineRule="exact"/>
                <w:ind w:firstLine="420" w:firstLineChars="200"/>
                <w:rPr>
                  <w:rFonts w:ascii="Times New Roman" w:hAnsi="Times New Roman"/>
                </w:rPr>
              </w:pPr>
              <w:r>
                <w:rPr>
                  <w:rFonts w:hint="eastAsia" w:ascii="Times New Roman" w:hAnsi="Times New Roman"/>
                </w:rPr>
                <w:t>（1）对合并财务报表的影响</w:t>
              </w:r>
            </w:p>
            <w:tbl>
              <w:tblPr>
                <w:tblStyle w:val="37"/>
                <w:tblW w:w="5000" w:type="pct"/>
                <w:tblInd w:w="0" w:type="dxa"/>
                <w:tblBorders>
                  <w:top w:val="single" w:color="auto" w:sz="8" w:space="0"/>
                  <w:left w:val="none" w:color="auto" w:sz="0" w:space="0"/>
                  <w:bottom w:val="single" w:color="auto" w:sz="8"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124"/>
                <w:gridCol w:w="2125"/>
                <w:gridCol w:w="2673"/>
                <w:gridCol w:w="2127"/>
              </w:tblGrid>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74" w:type="pct"/>
                    <w:vMerge w:val="restart"/>
                    <w:shd w:val="clear" w:color="auto" w:fill="auto"/>
                    <w:vAlign w:val="center"/>
                  </w:tcPr>
                  <w:p>
                    <w:pPr>
                      <w:spacing w:line="500" w:lineRule="exact"/>
                      <w:ind w:firstLine="180" w:firstLineChars="100"/>
                      <w:jc w:val="center"/>
                      <w:rPr>
                        <w:rFonts w:ascii="Times New Roman" w:hAnsi="Times New Roman" w:cs="Times New Roman"/>
                        <w:color w:val="000000"/>
                        <w:sz w:val="18"/>
                        <w:szCs w:val="18"/>
                      </w:rPr>
                    </w:pPr>
                    <w:r>
                      <w:rPr>
                        <w:rFonts w:ascii="Times New Roman" w:cs="Times New Roman"/>
                        <w:color w:val="000000"/>
                        <w:sz w:val="18"/>
                        <w:szCs w:val="18"/>
                      </w:rPr>
                      <w:t>项目</w:t>
                    </w:r>
                  </w:p>
                </w:tc>
                <w:tc>
                  <w:tcPr>
                    <w:tcW w:w="3826" w:type="pct"/>
                    <w:gridSpan w:val="3"/>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hAnsi="Times New Roman" w:cs="Times New Roman"/>
                        <w:color w:val="000000"/>
                        <w:sz w:val="18"/>
                        <w:szCs w:val="18"/>
                      </w:rPr>
                      <w:t>2020</w:t>
                    </w:r>
                    <w:r>
                      <w:rPr>
                        <w:rFonts w:ascii="Times New Roman" w:cs="Times New Roman"/>
                        <w:color w:val="000000"/>
                        <w:sz w:val="18"/>
                        <w:szCs w:val="18"/>
                      </w:rPr>
                      <w:t>年度合并利润表</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10" w:hRule="atLeast"/>
                </w:trPr>
                <w:tc>
                  <w:tcPr>
                    <w:tcW w:w="1174" w:type="pct"/>
                    <w:vMerge w:val="continue"/>
                    <w:vAlign w:val="center"/>
                  </w:tcPr>
                  <w:p>
                    <w:pPr>
                      <w:spacing w:line="500" w:lineRule="exact"/>
                      <w:rPr>
                        <w:rFonts w:ascii="Times New Roman" w:hAnsi="Times New Roman" w:cs="Times New Roman"/>
                        <w:color w:val="000000"/>
                        <w:sz w:val="18"/>
                        <w:szCs w:val="18"/>
                      </w:rPr>
                    </w:pPr>
                  </w:p>
                </w:tc>
                <w:tc>
                  <w:tcPr>
                    <w:tcW w:w="1174" w:type="pct"/>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cs="Times New Roman"/>
                        <w:color w:val="000000"/>
                        <w:sz w:val="18"/>
                        <w:szCs w:val="18"/>
                      </w:rPr>
                      <w:t>调整前金额</w:t>
                    </w:r>
                  </w:p>
                </w:tc>
                <w:tc>
                  <w:tcPr>
                    <w:tcW w:w="1477" w:type="pct"/>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cs="Times New Roman"/>
                        <w:color w:val="000000"/>
                        <w:sz w:val="18"/>
                        <w:szCs w:val="18"/>
                      </w:rPr>
                      <w:t>调整后金额</w:t>
                    </w:r>
                  </w:p>
                </w:tc>
                <w:tc>
                  <w:tcPr>
                    <w:tcW w:w="1175" w:type="pct"/>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cs="Times New Roman"/>
                        <w:color w:val="000000"/>
                        <w:sz w:val="18"/>
                        <w:szCs w:val="18"/>
                      </w:rPr>
                      <w:t>调整金额</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74" w:type="pct"/>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营业成本</w:t>
                    </w:r>
                  </w:p>
                </w:tc>
                <w:tc>
                  <w:tcPr>
                    <w:tcW w:w="1174" w:type="pct"/>
                    <w:shd w:val="clear" w:color="auto" w:fill="auto"/>
                    <w:noWrap/>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516,506,318.74</w:t>
                    </w:r>
                  </w:p>
                </w:tc>
                <w:tc>
                  <w:tcPr>
                    <w:tcW w:w="1477" w:type="pct"/>
                    <w:shd w:val="clear" w:color="auto" w:fill="auto"/>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535,590,923.83</w:t>
                    </w:r>
                  </w:p>
                </w:tc>
                <w:tc>
                  <w:tcPr>
                    <w:tcW w:w="1175" w:type="pct"/>
                    <w:shd w:val="clear" w:color="auto" w:fill="auto"/>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19,084,605.09</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74" w:type="pct"/>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销售费用</w:t>
                    </w:r>
                  </w:p>
                </w:tc>
                <w:tc>
                  <w:tcPr>
                    <w:tcW w:w="1174" w:type="pct"/>
                    <w:shd w:val="clear" w:color="auto" w:fill="auto"/>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103,739,839.36</w:t>
                    </w:r>
                  </w:p>
                </w:tc>
                <w:tc>
                  <w:tcPr>
                    <w:tcW w:w="1477" w:type="pct"/>
                    <w:shd w:val="clear" w:color="auto" w:fill="auto"/>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84,655,234.27</w:t>
                    </w:r>
                  </w:p>
                </w:tc>
                <w:tc>
                  <w:tcPr>
                    <w:tcW w:w="1175" w:type="pct"/>
                    <w:shd w:val="clear" w:color="auto" w:fill="auto"/>
                    <w:noWrap/>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-19,084,605.09</w:t>
                    </w:r>
                  </w:p>
                </w:tc>
              </w:tr>
            </w:tbl>
            <w:p>
              <w:pPr>
                <w:autoSpaceDE w:val="0"/>
                <w:autoSpaceDN w:val="0"/>
                <w:adjustRightInd w:val="0"/>
                <w:spacing w:line="500" w:lineRule="exact"/>
                <w:ind w:firstLine="420" w:firstLineChars="200"/>
                <w:rPr>
                  <w:rFonts w:ascii="Times New Roman" w:hAnsi="Times New Roman"/>
                </w:rPr>
              </w:pPr>
              <w:r>
                <w:rPr>
                  <w:rFonts w:hint="eastAsia" w:ascii="Times New Roman" w:hAnsi="Times New Roman"/>
                </w:rPr>
                <w:t xml:space="preserve">（2）对母公司财务报表的影响 </w:t>
              </w:r>
            </w:p>
            <w:tbl>
              <w:tblPr>
                <w:tblStyle w:val="37"/>
                <w:tblW w:w="5000" w:type="pct"/>
                <w:tblInd w:w="0" w:type="dxa"/>
                <w:tblBorders>
                  <w:top w:val="single" w:color="auto" w:sz="8" w:space="0"/>
                  <w:left w:val="none" w:color="auto" w:sz="0" w:space="0"/>
                  <w:bottom w:val="single" w:color="auto" w:sz="8"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124"/>
                <w:gridCol w:w="2125"/>
                <w:gridCol w:w="2673"/>
                <w:gridCol w:w="2127"/>
              </w:tblGrid>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74" w:type="pct"/>
                    <w:vMerge w:val="restart"/>
                    <w:shd w:val="clear" w:color="auto" w:fill="auto"/>
                    <w:vAlign w:val="center"/>
                  </w:tcPr>
                  <w:p>
                    <w:pPr>
                      <w:spacing w:line="500" w:lineRule="exact"/>
                      <w:ind w:firstLine="180" w:firstLineChars="100"/>
                      <w:jc w:val="center"/>
                      <w:rPr>
                        <w:rFonts w:ascii="Times New Roman" w:hAnsi="Times New Roman" w:cs="Times New Roman"/>
                        <w:color w:val="000000"/>
                        <w:sz w:val="18"/>
                        <w:szCs w:val="18"/>
                      </w:rPr>
                    </w:pPr>
                    <w:r>
                      <w:rPr>
                        <w:rFonts w:ascii="Times New Roman" w:cs="Times New Roman"/>
                        <w:color w:val="000000"/>
                        <w:sz w:val="18"/>
                        <w:szCs w:val="18"/>
                      </w:rPr>
                      <w:t>项目</w:t>
                    </w:r>
                  </w:p>
                </w:tc>
                <w:tc>
                  <w:tcPr>
                    <w:tcW w:w="3826" w:type="pct"/>
                    <w:gridSpan w:val="3"/>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hAnsi="Times New Roman" w:cs="Times New Roman"/>
                        <w:color w:val="000000"/>
                        <w:sz w:val="18"/>
                        <w:szCs w:val="18"/>
                      </w:rPr>
                      <w:t>2020</w:t>
                    </w:r>
                    <w:r>
                      <w:rPr>
                        <w:rFonts w:ascii="Times New Roman" w:cs="Times New Roman"/>
                        <w:color w:val="000000"/>
                        <w:sz w:val="18"/>
                        <w:szCs w:val="18"/>
                      </w:rPr>
                      <w:t>年度利润表</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10" w:hRule="atLeast"/>
                </w:trPr>
                <w:tc>
                  <w:tcPr>
                    <w:tcW w:w="1174" w:type="pct"/>
                    <w:vMerge w:val="continue"/>
                    <w:vAlign w:val="center"/>
                  </w:tcPr>
                  <w:p>
                    <w:pPr>
                      <w:spacing w:line="500" w:lineRule="exact"/>
                      <w:rPr>
                        <w:rFonts w:ascii="Times New Roman" w:hAnsi="Times New Roman" w:cs="Times New Roman"/>
                        <w:color w:val="000000"/>
                        <w:sz w:val="18"/>
                        <w:szCs w:val="18"/>
                      </w:rPr>
                    </w:pPr>
                  </w:p>
                </w:tc>
                <w:tc>
                  <w:tcPr>
                    <w:tcW w:w="1174" w:type="pct"/>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cs="Times New Roman"/>
                        <w:color w:val="000000"/>
                        <w:sz w:val="18"/>
                        <w:szCs w:val="18"/>
                      </w:rPr>
                      <w:t>调整前金额</w:t>
                    </w:r>
                  </w:p>
                </w:tc>
                <w:tc>
                  <w:tcPr>
                    <w:tcW w:w="1477" w:type="pct"/>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cs="Times New Roman"/>
                        <w:color w:val="000000"/>
                        <w:sz w:val="18"/>
                        <w:szCs w:val="18"/>
                      </w:rPr>
                      <w:t>调整后金额</w:t>
                    </w:r>
                  </w:p>
                </w:tc>
                <w:tc>
                  <w:tcPr>
                    <w:tcW w:w="1175" w:type="pct"/>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cs="Times New Roman"/>
                        <w:color w:val="000000"/>
                        <w:sz w:val="18"/>
                        <w:szCs w:val="18"/>
                      </w:rPr>
                      <w:t>调整金额</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74" w:type="pct"/>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营业成本</w:t>
                    </w:r>
                  </w:p>
                </w:tc>
                <w:tc>
                  <w:tcPr>
                    <w:tcW w:w="1174" w:type="pct"/>
                    <w:shd w:val="clear" w:color="auto" w:fill="auto"/>
                    <w:noWrap/>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96,661,203.69</w:t>
                    </w:r>
                  </w:p>
                </w:tc>
                <w:tc>
                  <w:tcPr>
                    <w:tcW w:w="1477" w:type="pct"/>
                    <w:shd w:val="clear" w:color="auto" w:fill="auto"/>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103,087,965.93</w:t>
                    </w:r>
                  </w:p>
                </w:tc>
                <w:tc>
                  <w:tcPr>
                    <w:tcW w:w="1175" w:type="pct"/>
                    <w:shd w:val="clear" w:color="auto" w:fill="auto"/>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6,426,762.24</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74" w:type="pct"/>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销售费用</w:t>
                    </w:r>
                  </w:p>
                </w:tc>
                <w:tc>
                  <w:tcPr>
                    <w:tcW w:w="1174" w:type="pct"/>
                    <w:shd w:val="clear" w:color="auto" w:fill="auto"/>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54,300,514.38</w:t>
                    </w:r>
                  </w:p>
                </w:tc>
                <w:tc>
                  <w:tcPr>
                    <w:tcW w:w="1477" w:type="pct"/>
                    <w:shd w:val="clear" w:color="auto" w:fill="auto"/>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47,873,752.14</w:t>
                    </w:r>
                  </w:p>
                </w:tc>
                <w:tc>
                  <w:tcPr>
                    <w:tcW w:w="1175" w:type="pct"/>
                    <w:shd w:val="clear" w:color="auto" w:fill="auto"/>
                    <w:noWrap/>
                    <w:vAlign w:val="bottom"/>
                  </w:tcPr>
                  <w:p>
                    <w:pPr>
                      <w:spacing w:line="5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-6,426,762.24</w:t>
                    </w:r>
                  </w:p>
                </w:tc>
              </w:tr>
            </w:tbl>
            <w:p>
              <w:pPr>
                <w:autoSpaceDE w:val="0"/>
                <w:autoSpaceDN w:val="0"/>
                <w:adjustRightInd w:val="0"/>
                <w:spacing w:line="500" w:lineRule="exact"/>
                <w:ind w:firstLine="420" w:firstLineChars="200"/>
                <w:rPr>
                  <w:rFonts w:ascii="Times New Roman" w:hAnsi="Times New Roman"/>
                </w:rPr>
              </w:pPr>
              <w:r>
                <w:rPr>
                  <w:rFonts w:hint="eastAsia"/>
                </w:rPr>
                <w:t>②</w:t>
              </w:r>
              <w:r>
                <w:rPr>
                  <w:rFonts w:ascii="Times New Roman" w:hAnsi="Times New Roman"/>
                </w:rPr>
                <w:t>执行《企业会计准则第21号——租赁》（修订）</w:t>
              </w:r>
              <w:r>
                <w:rPr>
                  <w:rFonts w:ascii="Times New Roman" w:hAnsi="Times New Roman"/>
                </w:rPr>
                <w:br w:type="textWrapping"/>
              </w:r>
              <w:r>
                <w:rPr>
                  <w:rFonts w:hint="eastAsia" w:ascii="Times New Roman" w:hAnsi="Times New Roman"/>
                </w:rPr>
                <w:t xml:space="preserve">    本公司自 2021年1月1日起执行财政部于2018年颁布的《企业会计准第21号——租赁（修订），对会计政策相关内容进行了调整，根据新旧准则衔接规定，按照《企业会计准则第</w:t>
              </w:r>
              <w:r>
                <w:rPr>
                  <w:rFonts w:ascii="Times New Roman" w:hAnsi="Times New Roman"/>
                </w:rPr>
                <w:t>28</w:t>
              </w:r>
              <w:r>
                <w:rPr>
                  <w:rFonts w:hint="eastAsia" w:ascii="Times New Roman" w:hAnsi="Times New Roman"/>
                </w:rPr>
                <w:t>号</w:t>
              </w:r>
              <w:r>
                <w:rPr>
                  <w:rFonts w:ascii="Times New Roman" w:hAnsi="Times New Roman"/>
                </w:rPr>
                <w:t>——</w:t>
              </w:r>
              <w:r>
                <w:rPr>
                  <w:rFonts w:hint="eastAsia" w:ascii="Times New Roman" w:hAnsi="Times New Roman"/>
                </w:rPr>
                <w:t>会计政策、会计估计变更和差错更正》的规定采用追溯调整法处理。</w:t>
              </w:r>
            </w:p>
            <w:p>
              <w:pPr>
                <w:spacing w:line="500" w:lineRule="exact"/>
                <w:ind w:firstLine="420" w:firstLineChars="200"/>
                <w:outlineLvl w:val="1"/>
                <w:rPr>
                  <w:rFonts w:ascii="Times New Roman" w:hAnsi="Times New Roman"/>
                </w:rPr>
              </w:pPr>
              <w:r>
                <w:rPr>
                  <w:rFonts w:hint="eastAsia" w:ascii="Times New Roman" w:hAnsi="Times New Roman"/>
                </w:rPr>
                <w:t>上述会计政策更正对各年度合并财务报表项目影响如下：</w:t>
              </w:r>
            </w:p>
            <w:tbl>
              <w:tblPr>
                <w:tblStyle w:val="37"/>
                <w:tblW w:w="8260" w:type="dxa"/>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552"/>
                <w:gridCol w:w="1708"/>
                <w:gridCol w:w="1977"/>
                <w:gridCol w:w="202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2552" w:type="dxa"/>
                    <w:vMerge w:val="restart"/>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cs="Times New Roman"/>
                        <w:color w:val="000000"/>
                        <w:sz w:val="18"/>
                        <w:szCs w:val="18"/>
                      </w:rPr>
                      <w:t>项目</w:t>
                    </w:r>
                  </w:p>
                </w:tc>
                <w:tc>
                  <w:tcPr>
                    <w:tcW w:w="5708" w:type="dxa"/>
                    <w:gridSpan w:val="3"/>
                    <w:shd w:val="clear" w:color="auto" w:fill="auto"/>
                    <w:noWrap/>
                    <w:vAlign w:val="center"/>
                  </w:tcPr>
                  <w:p>
                    <w:pPr>
                      <w:spacing w:line="500" w:lineRule="exact"/>
                      <w:jc w:val="center"/>
                      <w:rPr>
                        <w:rFonts w:ascii="Times New Roman" w:hAnsi="Times New Roman" w:cs="Times New Roman"/>
                        <w:color w:val="000000"/>
                        <w:sz w:val="18"/>
                        <w:szCs w:val="18"/>
                      </w:rPr>
                    </w:pPr>
                    <w:r>
                      <w:rPr>
                        <w:rFonts w:ascii="Times New Roman" w:hAnsi="Times New Roman" w:cs="Times New Roman"/>
                        <w:color w:val="000000"/>
                        <w:sz w:val="18"/>
                        <w:szCs w:val="18"/>
                      </w:rPr>
                      <w:t>2020</w:t>
                    </w:r>
                    <w:r>
                      <w:rPr>
                        <w:rFonts w:ascii="Times New Roman" w:cs="Times New Roman"/>
                        <w:color w:val="000000"/>
                        <w:sz w:val="18"/>
                        <w:szCs w:val="18"/>
                      </w:rPr>
                      <w:t>年</w:t>
                    </w:r>
                    <w:r>
                      <w:rPr>
                        <w:rFonts w:ascii="Times New Roman" w:hAnsi="Times New Roman" w:cs="Times New Roman"/>
                        <w:color w:val="000000"/>
                        <w:sz w:val="18"/>
                        <w:szCs w:val="18"/>
                      </w:rPr>
                      <w:t>12</w:t>
                    </w:r>
                    <w:r>
                      <w:rPr>
                        <w:rFonts w:ascii="Times New Roman" w:cs="Times New Roman"/>
                        <w:color w:val="000000"/>
                        <w:sz w:val="18"/>
                        <w:szCs w:val="18"/>
                      </w:rPr>
                      <w:t>月</w:t>
                    </w:r>
                    <w:r>
                      <w:rPr>
                        <w:rFonts w:ascii="Times New Roman" w:hAnsi="Times New Roman" w:cs="Times New Roman"/>
                        <w:color w:val="000000"/>
                        <w:sz w:val="18"/>
                        <w:szCs w:val="18"/>
                      </w:rPr>
                      <w:t>31</w:t>
                    </w:r>
                    <w:r>
                      <w:rPr>
                        <w:rFonts w:ascii="Times New Roman" w:cs="Times New Roman"/>
                        <w:color w:val="000000"/>
                        <w:sz w:val="18"/>
                        <w:szCs w:val="18"/>
                      </w:rPr>
                      <w:t>日</w:t>
                    </w:r>
                    <w:r>
                      <w:rPr>
                        <w:rFonts w:ascii="Times New Roman" w:hAnsi="Times New Roman" w:cs="Times New Roman"/>
                        <w:color w:val="000000"/>
                        <w:sz w:val="18"/>
                        <w:szCs w:val="18"/>
                      </w:rPr>
                      <w:t>/2020</w:t>
                    </w:r>
                    <w:r>
                      <w:rPr>
                        <w:rFonts w:ascii="Times New Roman" w:cs="Times New Roman"/>
                        <w:color w:val="000000"/>
                        <w:sz w:val="18"/>
                        <w:szCs w:val="18"/>
                      </w:rPr>
                      <w:t>年度</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vMerge w:val="continue"/>
                    <w:vAlign w:val="center"/>
                  </w:tcPr>
                  <w:p>
                    <w:pPr>
                      <w:spacing w:line="500" w:lineRule="exact"/>
                      <w:rPr>
                        <w:rFonts w:ascii="Times New Roman" w:hAnsi="Times New Roman" w:cs="Times New Roman"/>
                        <w:color w:val="000000"/>
                        <w:sz w:val="18"/>
                        <w:szCs w:val="18"/>
                      </w:rPr>
                    </w:pPr>
                  </w:p>
                </w:tc>
                <w:tc>
                  <w:tcPr>
                    <w:tcW w:w="1708" w:type="dxa"/>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cs="Times New Roman"/>
                        <w:color w:val="000000"/>
                        <w:sz w:val="18"/>
                        <w:szCs w:val="18"/>
                      </w:rPr>
                      <w:t>调整前金额</w:t>
                    </w:r>
                  </w:p>
                </w:tc>
                <w:tc>
                  <w:tcPr>
                    <w:tcW w:w="1977" w:type="dxa"/>
                    <w:shd w:val="clear" w:color="auto" w:fill="auto"/>
                    <w:vAlign w:val="center"/>
                  </w:tcPr>
                  <w:p>
                    <w:pPr>
                      <w:spacing w:line="500" w:lineRule="exact"/>
                      <w:jc w:val="center"/>
                      <w:rPr>
                        <w:rFonts w:ascii="Times New Roman" w:hAnsi="Times New Roman" w:cs="Times New Roman"/>
                        <w:color w:val="000000"/>
                        <w:sz w:val="18"/>
                        <w:szCs w:val="18"/>
                      </w:rPr>
                    </w:pPr>
                    <w:r>
                      <w:rPr>
                        <w:rFonts w:ascii="Times New Roman" w:cs="Times New Roman"/>
                        <w:color w:val="000000"/>
                        <w:sz w:val="18"/>
                        <w:szCs w:val="18"/>
                      </w:rPr>
                      <w:t>新租赁准则调整影响</w:t>
                    </w:r>
                  </w:p>
                </w:tc>
                <w:tc>
                  <w:tcPr>
                    <w:tcW w:w="2023" w:type="dxa"/>
                    <w:shd w:val="clear" w:color="auto" w:fill="auto"/>
                    <w:noWrap/>
                    <w:vAlign w:val="center"/>
                  </w:tcPr>
                  <w:p>
                    <w:pPr>
                      <w:spacing w:line="500" w:lineRule="exact"/>
                      <w:jc w:val="center"/>
                      <w:rPr>
                        <w:rFonts w:ascii="Times New Roman" w:hAnsi="Times New Roman" w:cs="Times New Roman"/>
                        <w:color w:val="000000"/>
                        <w:sz w:val="18"/>
                        <w:szCs w:val="18"/>
                      </w:rPr>
                    </w:pPr>
                    <w:r>
                      <w:rPr>
                        <w:rFonts w:ascii="Times New Roman" w:cs="Times New Roman"/>
                        <w:color w:val="000000"/>
                        <w:sz w:val="18"/>
                        <w:szCs w:val="18"/>
                      </w:rPr>
                      <w:t>调整后金额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其他流动资产</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4,486,019.37</w:t>
                    </w: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-430,320.00</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4,055,699.37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使用权资产</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2,454,860.59</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2,454,860.59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一年内到期的非流动负债</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809,875.55</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809,875.55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其他流动负债</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24,652,879.75</w:t>
                    </w: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203,040.00</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24,855,919.75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租赁负债</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1,314,619.89</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1,314,619.89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管理费用</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61,917,634.09</w:t>
                    </w: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-204,635.57</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61,712,998.52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财务费用</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-40,814,222.46</w:t>
                    </w: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158,782.96</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-40,655,439.50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少数股东损益</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180,305.09</w:t>
                    </w: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2,842.86</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183,147.95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盈余公积</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245,652,148.24</w:t>
                    </w: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-30,299.49</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245,621,848.75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未分配利润</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155,531,354.76</w:t>
                    </w: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-253,909.68</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155,277,445.08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2552" w:type="dxa"/>
                    <w:shd w:val="clear" w:color="auto" w:fill="auto"/>
                    <w:vAlign w:val="center"/>
                  </w:tcPr>
                  <w:p>
                    <w:pPr>
                      <w:spacing w:line="500" w:lineRule="exact"/>
                      <w:rPr>
                        <w:rFonts w:ascii="Times New Roman" w:hAnsi="Times New Roman" w:cs="Times New Roman"/>
                        <w:color w:val="000000"/>
                        <w:sz w:val="18"/>
                        <w:szCs w:val="18"/>
                      </w:rPr>
                    </w:pPr>
                    <w:r>
                      <w:rPr>
                        <w:rFonts w:ascii="Times New Roman" w:cs="Times New Roman"/>
                        <w:color w:val="000000"/>
                        <w:sz w:val="18"/>
                        <w:szCs w:val="18"/>
                      </w:rPr>
                      <w:t>少数股东权益</w:t>
                    </w:r>
                  </w:p>
                </w:tc>
                <w:tc>
                  <w:tcPr>
                    <w:tcW w:w="1708" w:type="dxa"/>
                    <w:shd w:val="clear" w:color="auto" w:fill="auto"/>
                    <w:noWrap/>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-6,007,034.75</w:t>
                    </w:r>
                  </w:p>
                </w:tc>
                <w:tc>
                  <w:tcPr>
                    <w:tcW w:w="1977" w:type="dxa"/>
                    <w:shd w:val="clear" w:color="auto" w:fill="auto"/>
                    <w:vAlign w:val="bottom"/>
                  </w:tcPr>
                  <w:p>
                    <w:pPr>
                      <w:spacing w:line="50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-18,785.68</w:t>
                    </w:r>
                  </w:p>
                </w:tc>
                <w:tc>
                  <w:tcPr>
                    <w:tcW w:w="2023" w:type="dxa"/>
                    <w:shd w:val="clear" w:color="auto" w:fill="auto"/>
                    <w:vAlign w:val="bottom"/>
                  </w:tcPr>
                  <w:p>
                    <w:pPr>
                      <w:spacing w:line="50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-6,025,820.43</w:t>
                    </w:r>
                  </w:p>
                </w:tc>
              </w:tr>
            </w:tbl>
            <w:p>
              <w:pPr>
                <w:autoSpaceDE w:val="0"/>
                <w:autoSpaceDN w:val="0"/>
                <w:adjustRightInd w:val="0"/>
                <w:spacing w:line="480" w:lineRule="exact"/>
                <w:ind w:firstLine="420" w:firstLineChars="200"/>
                <w:rPr>
                  <w:rFonts w:ascii="Times New Roman" w:hAnsi="Times New Roman"/>
                </w:rPr>
              </w:pPr>
              <w:r>
                <w:rPr>
                  <w:rFonts w:hint="eastAsia" w:ascii="Times New Roman" w:hAnsi="Times New Roman"/>
                </w:rPr>
                <w:t>续：</w:t>
              </w:r>
            </w:p>
            <w:tbl>
              <w:tblPr>
                <w:tblStyle w:val="37"/>
                <w:tblW w:w="8260" w:type="dxa"/>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344"/>
                <w:gridCol w:w="1916"/>
                <w:gridCol w:w="1977"/>
                <w:gridCol w:w="202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2344" w:type="dxa"/>
                    <w:vMerge w:val="restart"/>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项目</w:t>
                    </w:r>
                  </w:p>
                </w:tc>
                <w:tc>
                  <w:tcPr>
                    <w:tcW w:w="5916" w:type="dxa"/>
                    <w:gridSpan w:val="3"/>
                    <w:shd w:val="clear" w:color="auto" w:fill="auto"/>
                    <w:noWrap/>
                    <w:vAlign w:val="center"/>
                  </w:tcPr>
                  <w:p>
                    <w:pPr>
                      <w:spacing w:line="480" w:lineRule="exact"/>
                      <w:jc w:val="center"/>
                      <w:rPr>
                        <w:rFonts w:ascii="Times New Roman" w:hAnsi="Times New Roman" w:cs="Times New Roman"/>
                        <w:color w:val="000000"/>
                        <w:sz w:val="18"/>
                        <w:szCs w:val="18"/>
                      </w:rPr>
                    </w:pPr>
                    <w:r>
                      <w:rPr>
                        <w:rFonts w:ascii="Times New Roman" w:hAnsi="Times New Roman" w:cs="Times New Roman"/>
                        <w:color w:val="000000"/>
                        <w:sz w:val="18"/>
                        <w:szCs w:val="18"/>
                      </w:rPr>
                      <w:t>2019</w:t>
                    </w:r>
                    <w:r>
                      <w:rPr>
                        <w:rFonts w:ascii="Times New Roman" w:cs="Times New Roman"/>
                        <w:color w:val="000000"/>
                        <w:sz w:val="18"/>
                        <w:szCs w:val="18"/>
                      </w:rPr>
                      <w:t>年</w:t>
                    </w:r>
                    <w:r>
                      <w:rPr>
                        <w:rFonts w:ascii="Times New Roman" w:hAnsi="Times New Roman" w:cs="Times New Roman"/>
                        <w:color w:val="000000"/>
                        <w:sz w:val="18"/>
                        <w:szCs w:val="18"/>
                      </w:rPr>
                      <w:t>12</w:t>
                    </w:r>
                    <w:r>
                      <w:rPr>
                        <w:rFonts w:ascii="Times New Roman" w:cs="Times New Roman"/>
                        <w:color w:val="000000"/>
                        <w:sz w:val="18"/>
                        <w:szCs w:val="18"/>
                      </w:rPr>
                      <w:t>月</w:t>
                    </w:r>
                    <w:r>
                      <w:rPr>
                        <w:rFonts w:ascii="Times New Roman" w:hAnsi="Times New Roman" w:cs="Times New Roman"/>
                        <w:color w:val="000000"/>
                        <w:sz w:val="18"/>
                        <w:szCs w:val="18"/>
                      </w:rPr>
                      <w:t>31</w:t>
                    </w:r>
                    <w:r>
                      <w:rPr>
                        <w:rFonts w:ascii="Times New Roman" w:cs="Times New Roman"/>
                        <w:color w:val="000000"/>
                        <w:sz w:val="18"/>
                        <w:szCs w:val="18"/>
                      </w:rPr>
                      <w:t>日</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344" w:type="dxa"/>
                    <w:vMerge w:val="continue"/>
                    <w:vAlign w:val="center"/>
                  </w:tcPr>
                  <w:p>
                    <w:pPr>
                      <w:spacing w:line="480" w:lineRule="exact"/>
                      <w:rPr>
                        <w:rFonts w:ascii="Times New Roman" w:hAnsi="Times New Roman" w:cs="Times New Roman"/>
                        <w:color w:val="000000"/>
                        <w:sz w:val="18"/>
                        <w:szCs w:val="18"/>
                      </w:rPr>
                    </w:pPr>
                  </w:p>
                </w:tc>
                <w:tc>
                  <w:tcPr>
                    <w:tcW w:w="1916" w:type="dxa"/>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调整前金额</w:t>
                    </w:r>
                  </w:p>
                </w:tc>
                <w:tc>
                  <w:tcPr>
                    <w:tcW w:w="1977" w:type="dxa"/>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新租赁准则调整影响</w:t>
                    </w:r>
                  </w:p>
                </w:tc>
                <w:tc>
                  <w:tcPr>
                    <w:tcW w:w="2023" w:type="dxa"/>
                    <w:shd w:val="clear" w:color="auto" w:fill="auto"/>
                    <w:noWrap/>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调整后金额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344" w:type="dxa"/>
                    <w:shd w:val="clear" w:color="auto" w:fill="auto"/>
                    <w:vAlign w:val="center"/>
                  </w:tcPr>
                  <w:p>
                    <w:pPr>
                      <w:spacing w:line="480" w:lineRule="exact"/>
                      <w:rPr>
                        <w:rFonts w:ascii="Times New Roman" w:hAnsi="Times New Roman" w:cs="Times New Roman"/>
                        <w:color w:val="000000"/>
                        <w:sz w:val="18"/>
                        <w:szCs w:val="18"/>
                      </w:rPr>
                    </w:pPr>
                    <w:r>
                      <w:rPr>
                        <w:rFonts w:ascii="Times New Roman" w:cs="Times New Roman"/>
                        <w:color w:val="000000"/>
                        <w:sz w:val="18"/>
                        <w:szCs w:val="18"/>
                      </w:rPr>
                      <w:t>盈余公积</w:t>
                    </w:r>
                  </w:p>
                </w:tc>
                <w:tc>
                  <w:tcPr>
                    <w:tcW w:w="1916" w:type="dxa"/>
                    <w:shd w:val="clear" w:color="auto" w:fill="auto"/>
                    <w:noWrap/>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245,652,148.24</w:t>
                    </w:r>
                  </w:p>
                </w:tc>
                <w:tc>
                  <w:tcPr>
                    <w:tcW w:w="1977" w:type="dxa"/>
                    <w:shd w:val="clear" w:color="auto" w:fill="auto"/>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-30,299.49</w:t>
                    </w:r>
                  </w:p>
                </w:tc>
                <w:tc>
                  <w:tcPr>
                    <w:tcW w:w="2023" w:type="dxa"/>
                    <w:shd w:val="clear" w:color="auto" w:fill="auto"/>
                    <w:vAlign w:val="center"/>
                  </w:tcPr>
                  <w:p>
                    <w:pPr>
                      <w:spacing w:line="48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245,621,848.75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344" w:type="dxa"/>
                    <w:shd w:val="clear" w:color="auto" w:fill="auto"/>
                    <w:vAlign w:val="center"/>
                  </w:tcPr>
                  <w:p>
                    <w:pPr>
                      <w:spacing w:line="480" w:lineRule="exact"/>
                      <w:rPr>
                        <w:rFonts w:ascii="Times New Roman" w:hAnsi="Times New Roman" w:cs="Times New Roman"/>
                        <w:color w:val="000000"/>
                        <w:sz w:val="18"/>
                        <w:szCs w:val="18"/>
                      </w:rPr>
                    </w:pPr>
                    <w:r>
                      <w:rPr>
                        <w:rFonts w:ascii="Times New Roman" w:cs="Times New Roman"/>
                        <w:color w:val="000000"/>
                        <w:sz w:val="18"/>
                        <w:szCs w:val="18"/>
                      </w:rPr>
                      <w:t>未分配利润</w:t>
                    </w:r>
                  </w:p>
                </w:tc>
                <w:tc>
                  <w:tcPr>
                    <w:tcW w:w="1916" w:type="dxa"/>
                    <w:shd w:val="clear" w:color="auto" w:fill="auto"/>
                    <w:noWrap/>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96,793,046.06</w:t>
                    </w:r>
                  </w:p>
                </w:tc>
                <w:tc>
                  <w:tcPr>
                    <w:tcW w:w="1977" w:type="dxa"/>
                    <w:shd w:val="clear" w:color="auto" w:fill="auto"/>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-296,919.43</w:t>
                    </w:r>
                  </w:p>
                </w:tc>
                <w:tc>
                  <w:tcPr>
                    <w:tcW w:w="2023" w:type="dxa"/>
                    <w:shd w:val="clear" w:color="auto" w:fill="auto"/>
                    <w:vAlign w:val="center"/>
                  </w:tcPr>
                  <w:p>
                    <w:pPr>
                      <w:spacing w:line="48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96,496,126.63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2344" w:type="dxa"/>
                    <w:shd w:val="clear" w:color="auto" w:fill="auto"/>
                    <w:vAlign w:val="center"/>
                  </w:tcPr>
                  <w:p>
                    <w:pPr>
                      <w:spacing w:line="480" w:lineRule="exact"/>
                      <w:rPr>
                        <w:rFonts w:ascii="Times New Roman" w:hAnsi="Times New Roman" w:cs="Times New Roman"/>
                        <w:color w:val="000000"/>
                        <w:sz w:val="18"/>
                        <w:szCs w:val="18"/>
                      </w:rPr>
                    </w:pPr>
                    <w:r>
                      <w:rPr>
                        <w:rFonts w:ascii="Times New Roman" w:cs="Times New Roman"/>
                        <w:color w:val="000000"/>
                        <w:sz w:val="18"/>
                        <w:szCs w:val="18"/>
                      </w:rPr>
                      <w:t>少数股东权益</w:t>
                    </w:r>
                  </w:p>
                </w:tc>
                <w:tc>
                  <w:tcPr>
                    <w:tcW w:w="1916" w:type="dxa"/>
                    <w:shd w:val="clear" w:color="auto" w:fill="auto"/>
                    <w:noWrap/>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-6,187,339.84</w:t>
                    </w:r>
                  </w:p>
                </w:tc>
                <w:tc>
                  <w:tcPr>
                    <w:tcW w:w="1977" w:type="dxa"/>
                    <w:shd w:val="clear" w:color="auto" w:fill="auto"/>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-21,628.54</w:t>
                    </w:r>
                  </w:p>
                </w:tc>
                <w:tc>
                  <w:tcPr>
                    <w:tcW w:w="2023" w:type="dxa"/>
                    <w:shd w:val="clear" w:color="auto" w:fill="auto"/>
                    <w:vAlign w:val="center"/>
                  </w:tcPr>
                  <w:p>
                    <w:pPr>
                      <w:spacing w:line="48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-6,208,968.38</w:t>
                    </w:r>
                  </w:p>
                </w:tc>
              </w:tr>
            </w:tbl>
            <w:p>
              <w:pPr>
                <w:rPr>
                  <w:szCs w:val="21"/>
                </w:rPr>
              </w:pPr>
            </w:p>
          </w:sdtContent>
        </w:sdt>
      </w:sdtContent>
    </w:sdt>
    <w:p/>
    <w:sdt>
      <w:sdtPr>
        <w:rPr>
          <w:rFonts w:hint="eastAsia" w:ascii="宋体" w:hAnsi="宋体" w:cs="宋体"/>
          <w:b w:val="0"/>
          <w:bCs w:val="0"/>
          <w:kern w:val="0"/>
          <w:szCs w:val="24"/>
        </w:rPr>
        <w:alias w:val="模块:董事会对重要前期差错更正的原因及影响的分析说明"/>
        <w:tag w:val="_SEC_a2664cc90b224463a6b390e3c02032b0"/>
        <w:id w:val="865723026"/>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34"/>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86572302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ascii="宋体" w:hAnsi="宋体" w:cs="宋体"/>
          <w:b w:val="0"/>
          <w:bCs w:val="0"/>
          <w:kern w:val="0"/>
          <w:szCs w:val="24"/>
        </w:rPr>
        <w:alias w:val="模块:与前任会计师事务所进行的沟通情况"/>
        <w:tag w:val="_SEC_31d0510af7aa48b5949b42c21c05d191"/>
        <w:id w:val="865723028"/>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34"/>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86572302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4"/>
        </w:rPr>
        <w:alias w:val="模块:其他说明"/>
        <w:tag w:val="_SEC_350b62c37aba49baa8dbca093e97c5c0"/>
        <w:id w:val="865723030"/>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34"/>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86572302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0"/>
          <w:numId w:val="32"/>
        </w:numPr>
        <w:rPr>
          <w:rFonts w:ascii="宋体" w:hAnsi="宋体" w:cs="宋体"/>
          <w:kern w:val="0"/>
          <w:szCs w:val="24"/>
        </w:rPr>
      </w:pPr>
      <w:r>
        <w:rPr>
          <w:rFonts w:ascii="宋体" w:hAnsi="宋体" w:cs="宋体"/>
          <w:kern w:val="0"/>
          <w:szCs w:val="24"/>
        </w:rPr>
        <w:t>聘任、解聘会计师事务所情况</w:t>
      </w:r>
    </w:p>
    <w:sdt>
      <w:sdtPr>
        <w:alias w:val="选项模块:聘任、解聘会计师事务所情况"/>
        <w:tag w:val="_SEC_4317320322b74f4fbace375f2fdcd88e"/>
        <w:id w:val="865723045"/>
        <w:lock w:val="sdtLocked"/>
        <w:placeholder>
          <w:docPart w:val="GBC22222222222222222222222222222"/>
        </w:placeholder>
      </w:sdtPr>
      <w:sdtContent>
        <w:p>
          <w:pPr>
            <w:jc w:val="right"/>
          </w:pPr>
          <w:r>
            <w:rPr>
              <w:rFonts w:hint="eastAsia"/>
            </w:rPr>
            <w:t>单位：</w:t>
          </w:r>
          <w:sdt>
            <w:sdtPr>
              <w:rPr>
                <w:rFonts w:hint="eastAsia"/>
              </w:rPr>
              <w:alias w:val="单位：聘任、解聘会计师事务所情况"/>
              <w:tag w:val="_GBC_26e166c9302c4cd6aef51526fb663693"/>
              <w:id w:val="86572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8657230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widowControl w:val="0"/>
                  <w:jc w:val="both"/>
                  <w:rPr>
                    <w:szCs w:val="21"/>
                  </w:rPr>
                </w:pPr>
              </w:p>
            </w:tc>
            <w:sdt>
              <w:sdtPr>
                <w:tag w:val="_PLD_364aa8d2f946450c8e3aa85ae050a07e"/>
                <w:id w:val="865723033"/>
                <w:lock w:val="sdtLocked"/>
              </w:sdtPr>
              <w:sdtContent>
                <w:tc>
                  <w:tcPr>
                    <w:tcW w:w="4525" w:type="dxa"/>
                  </w:tcPr>
                  <w:p>
                    <w:pPr>
                      <w:widowControl w:val="0"/>
                      <w:jc w:val="center"/>
                      <w:rPr>
                        <w:szCs w:val="21"/>
                      </w:rPr>
                    </w:pPr>
                    <w:r>
                      <w:rPr>
                        <w:rFonts w:hint="eastAsia"/>
                        <w:szCs w:val="21"/>
                      </w:rPr>
                      <w:t>现聘任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cb50119840415b8495bc32adcd0b31"/>
                <w:id w:val="865723034"/>
                <w:lock w:val="sdtLocked"/>
              </w:sdtPr>
              <w:sdtContent>
                <w:tc>
                  <w:tcPr>
                    <w:tcW w:w="4524" w:type="dxa"/>
                  </w:tcPr>
                  <w:p>
                    <w:pPr>
                      <w:widowControl w:val="0"/>
                      <w:jc w:val="both"/>
                    </w:pPr>
                    <w:r>
                      <w:rPr>
                        <w:rFonts w:hint="eastAsia"/>
                        <w:szCs w:val="21"/>
                      </w:rPr>
                      <w:t>境内会计师事务所名称</w:t>
                    </w:r>
                  </w:p>
                </w:tc>
              </w:sdtContent>
            </w:sdt>
            <w:tc>
              <w:tcPr>
                <w:tcW w:w="4525" w:type="dxa"/>
                <w:vAlign w:val="center"/>
              </w:tcPr>
              <w:p>
                <w:pPr>
                  <w:widowControl w:val="0"/>
                  <w:jc w:val="right"/>
                  <w:rPr>
                    <w:sz w:val="24"/>
                  </w:rPr>
                </w:pPr>
                <w:r>
                  <w:t>永拓会计师事务所（特殊普通合伙）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884016c404b70b56b51dca806a7f6"/>
                <w:id w:val="865723035"/>
                <w:lock w:val="sdtLocked"/>
              </w:sdtPr>
              <w:sdtContent>
                <w:tc>
                  <w:tcPr>
                    <w:tcW w:w="4524" w:type="dxa"/>
                  </w:tcPr>
                  <w:p>
                    <w:pPr>
                      <w:widowControl w:val="0"/>
                      <w:jc w:val="both"/>
                    </w:pPr>
                    <w:r>
                      <w:rPr>
                        <w:rFonts w:hint="eastAsia"/>
                        <w:szCs w:val="21"/>
                      </w:rPr>
                      <w:t>境内会计师事务所报酬</w:t>
                    </w:r>
                  </w:p>
                </w:tc>
              </w:sdtContent>
            </w:sdt>
            <w:tc>
              <w:tcPr>
                <w:tcW w:w="4525" w:type="dxa"/>
                <w:vAlign w:val="center"/>
              </w:tcPr>
              <w:p>
                <w:pPr>
                  <w:widowControl w:val="0"/>
                  <w:jc w:val="right"/>
                  <w:rPr>
                    <w:rFonts w:ascii="Times New Roman" w:hAnsi="Times New Roman" w:cs="Times New Roman"/>
                    <w:sz w:val="24"/>
                  </w:rPr>
                </w:pPr>
                <w:r>
                  <w:rPr>
                    <w:rFonts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4d0f60a14d41b3a048248da4532c21"/>
                <w:id w:val="865723036"/>
                <w:lock w:val="sdtLocked"/>
              </w:sdtPr>
              <w:sdtContent>
                <w:tc>
                  <w:tcPr>
                    <w:tcW w:w="4524" w:type="dxa"/>
                  </w:tcPr>
                  <w:p>
                    <w:pPr>
                      <w:widowControl w:val="0"/>
                      <w:jc w:val="both"/>
                    </w:pPr>
                    <w:r>
                      <w:rPr>
                        <w:rFonts w:hint="eastAsia"/>
                        <w:szCs w:val="21"/>
                      </w:rPr>
                      <w:t>境内会计师事务所审计年限</w:t>
                    </w:r>
                  </w:p>
                </w:tc>
              </w:sdtContent>
            </w:sdt>
            <w:tc>
              <w:tcPr>
                <w:tcW w:w="4525" w:type="dxa"/>
                <w:vAlign w:val="center"/>
              </w:tcPr>
              <w:p>
                <w:pPr>
                  <w:widowControl w:val="0"/>
                  <w:jc w:val="right"/>
                  <w:rPr>
                    <w:rFonts w:ascii="Times New Roman" w:hAnsi="Times New Roman" w:cs="Times New Roman"/>
                    <w:sz w:val="24"/>
                  </w:rPr>
                </w:pPr>
                <w:r>
                  <w:rPr>
                    <w:rFonts w:hint="eastAsia" w:ascii="Times New Roman" w:hAnsi="Times New Roman" w:cs="Times New Roman"/>
                    <w:sz w:val="24"/>
                  </w:rPr>
                  <w:t>2</w:t>
                </w:r>
              </w:p>
            </w:tc>
          </w:tr>
        </w:tbl>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969"/>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widowControl w:val="0"/>
                  <w:jc w:val="both"/>
                </w:pPr>
              </w:p>
            </w:tc>
            <w:sdt>
              <w:sdtPr>
                <w:tag w:val="_PLD_c9ec27d8a8454f91bb769203a75df4b3"/>
                <w:id w:val="865723040"/>
                <w:lock w:val="sdtLocked"/>
              </w:sdtPr>
              <w:sdtContent>
                <w:tc>
                  <w:tcPr>
                    <w:tcW w:w="3969" w:type="dxa"/>
                    <w:vAlign w:val="center"/>
                  </w:tcPr>
                  <w:p>
                    <w:pPr>
                      <w:widowControl w:val="0"/>
                      <w:jc w:val="center"/>
                    </w:pPr>
                    <w:r>
                      <w:rPr>
                        <w:rFonts w:hint="eastAsia"/>
                        <w:szCs w:val="21"/>
                      </w:rPr>
                      <w:t>名称</w:t>
                    </w:r>
                  </w:p>
                </w:tc>
              </w:sdtContent>
            </w:sdt>
            <w:sdt>
              <w:sdtPr>
                <w:tag w:val="_PLD_ae4e80c7f64046dcb42116bfa53b53af"/>
                <w:id w:val="865723041"/>
                <w:lock w:val="sdtLocked"/>
              </w:sdtPr>
              <w:sdtContent>
                <w:tc>
                  <w:tcPr>
                    <w:tcW w:w="2278" w:type="dxa"/>
                    <w:vAlign w:val="center"/>
                  </w:tcPr>
                  <w:p>
                    <w:pPr>
                      <w:widowControl w:val="0"/>
                      <w:jc w:val="center"/>
                    </w:pPr>
                    <w:r>
                      <w:rPr>
                        <w:rFonts w:hint="eastAsia"/>
                        <w:szCs w:val="21"/>
                      </w:rPr>
                      <w:t>报酬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7b9b36bf86614c808ea65de10637144b"/>
                <w:id w:val="865723042"/>
                <w:lock w:val="sdtLocked"/>
              </w:sdtPr>
              <w:sdtContent>
                <w:tc>
                  <w:tcPr>
                    <w:tcW w:w="2802" w:type="dxa"/>
                  </w:tcPr>
                  <w:p>
                    <w:pPr>
                      <w:widowControl w:val="0"/>
                      <w:jc w:val="both"/>
                    </w:pPr>
                    <w:r>
                      <w:rPr>
                        <w:rFonts w:hint="eastAsia"/>
                      </w:rPr>
                      <w:t>内部控制审计会计师事务所</w:t>
                    </w:r>
                  </w:p>
                </w:tc>
              </w:sdtContent>
            </w:sdt>
            <w:tc>
              <w:tcPr>
                <w:tcW w:w="3969" w:type="dxa"/>
                <w:vAlign w:val="center"/>
              </w:tcPr>
              <w:p>
                <w:pPr>
                  <w:widowControl w:val="0"/>
                  <w:jc w:val="both"/>
                  <w:rPr>
                    <w:sz w:val="24"/>
                  </w:rPr>
                </w:pPr>
                <w:r>
                  <w:t>永拓会计师事务所合伙（特殊普通合伙）</w:t>
                </w:r>
              </w:p>
            </w:tc>
            <w:tc>
              <w:tcPr>
                <w:tcW w:w="2278" w:type="dxa"/>
                <w:vAlign w:val="center"/>
              </w:tcPr>
              <w:p>
                <w:pPr>
                  <w:widowControl w:val="0"/>
                  <w:jc w:val="right"/>
                  <w:rPr>
                    <w:rFonts w:ascii="Times New Roman" w:hAnsi="Times New Roman" w:cs="Times New Roman"/>
                    <w:sz w:val="24"/>
                  </w:rPr>
                </w:pPr>
                <w:r>
                  <w:rPr>
                    <w:rFonts w:ascii="Times New Roman" w:hAnsi="Times New Roman" w:cs="Times New Roman"/>
                  </w:rPr>
                  <w:t>28</w:t>
                </w:r>
              </w:p>
            </w:tc>
          </w:tr>
        </w:tbl>
        <w:p/>
      </w:sdtContent>
    </w:sdt>
    <w:sdt>
      <w:sdtPr>
        <w:alias w:val="模块:聘任、解聘会计师事务所的情况说明"/>
        <w:tag w:val="_SEC_322c3d9669f246aa87ccb7f9dc50a714"/>
        <w:id w:val="865723048"/>
        <w:lock w:val="sdtLocked"/>
        <w:placeholder>
          <w:docPart w:val="GBC22222222222222222222222222222"/>
        </w:placeholder>
      </w:sdtPr>
      <w:sdtEndPr>
        <w:rPr>
          <w:rFonts w:hint="eastAsia"/>
        </w:rPr>
      </w:sdtEndPr>
      <w:sdtContent>
        <w:p>
          <w:r>
            <w:t>聘任、解聘会计师事务所的情况说明</w:t>
          </w:r>
        </w:p>
        <w:sdt>
          <w:sdtPr>
            <w:alias w:val="是否适用：聘任、解聘会计师事务所情况[双击切换]"/>
            <w:tag w:val="_GBC_376f0811302240c0a118add2061458b6"/>
            <w:id w:val="86572304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865723047"/>
            <w:lock w:val="sdtLocked"/>
            <w:placeholder>
              <w:docPart w:val="GBC22222222222222222222222222222"/>
            </w:placeholder>
          </w:sdtPr>
          <w:sdtEndPr>
            <w:rPr>
              <w:rFonts w:hint="eastAsia"/>
              <w:szCs w:val="21"/>
            </w:rPr>
          </w:sdtEndPr>
          <w:sdtContent>
            <w:p>
              <w:pPr>
                <w:spacing w:line="400" w:lineRule="exact"/>
                <w:ind w:firstLine="424" w:firstLineChars="202"/>
                <w:rPr>
                  <w:szCs w:val="21"/>
                </w:rPr>
              </w:pPr>
              <w:r>
                <w:rPr>
                  <w:rFonts w:ascii="Times New Roman" w:hAnsi="Times New Roman" w:cs="Times New Roman"/>
                  <w:szCs w:val="21"/>
                </w:rPr>
                <w:t>202</w:t>
              </w:r>
              <w:r>
                <w:rPr>
                  <w:rFonts w:hint="eastAsia" w:ascii="Times New Roman" w:hAnsi="Times New Roman" w:cs="Times New Roman"/>
                  <w:szCs w:val="21"/>
                </w:rPr>
                <w:t>1</w:t>
              </w:r>
              <w:r>
                <w:rPr>
                  <w:rFonts w:ascii="Times New Roman" w:cs="Times New Roman"/>
                  <w:szCs w:val="21"/>
                </w:rPr>
                <w:t>年</w:t>
              </w:r>
              <w:r>
                <w:rPr>
                  <w:rFonts w:hint="eastAsia" w:ascii="Times New Roman" w:cs="Times New Roman"/>
                  <w:szCs w:val="21"/>
                </w:rPr>
                <w:t>7</w:t>
              </w:r>
              <w:r>
                <w:rPr>
                  <w:rFonts w:ascii="Times New Roman" w:cs="Times New Roman"/>
                  <w:szCs w:val="21"/>
                </w:rPr>
                <w:t>月</w:t>
              </w:r>
              <w:r>
                <w:rPr>
                  <w:rFonts w:hint="eastAsia" w:ascii="Times New Roman" w:cs="Times New Roman"/>
                  <w:szCs w:val="21"/>
                </w:rPr>
                <w:t>16</w:t>
              </w:r>
              <w:r>
                <w:rPr>
                  <w:rFonts w:ascii="Times New Roman" w:cs="Times New Roman"/>
                  <w:szCs w:val="21"/>
                </w:rPr>
                <w:t>日，公司召开</w:t>
              </w:r>
              <w:r>
                <w:rPr>
                  <w:rFonts w:ascii="Times New Roman" w:hAnsi="Times New Roman" w:cs="Times New Roman"/>
                  <w:szCs w:val="21"/>
                </w:rPr>
                <w:t>202</w:t>
              </w:r>
              <w:r>
                <w:rPr>
                  <w:rFonts w:hint="eastAsia" w:ascii="Times New Roman" w:hAnsi="Times New Roman" w:cs="Times New Roman"/>
                  <w:szCs w:val="21"/>
                </w:rPr>
                <w:t>1</w:t>
              </w:r>
              <w:r>
                <w:rPr>
                  <w:rFonts w:ascii="Times New Roman" w:cs="Times New Roman"/>
                  <w:szCs w:val="21"/>
                </w:rPr>
                <w:t>年第</w:t>
              </w:r>
              <w:r>
                <w:rPr>
                  <w:rFonts w:hint="eastAsia" w:ascii="Times New Roman" w:cs="Times New Roman"/>
                  <w:szCs w:val="21"/>
                </w:rPr>
                <w:t>一</w:t>
              </w:r>
              <w:r>
                <w:rPr>
                  <w:rFonts w:ascii="Times New Roman" w:cs="Times New Roman"/>
                  <w:szCs w:val="21"/>
                </w:rPr>
                <w:t>次临时股东大会，审议通过了《关于聘请永拓会计师事务所（特殊普通合伙）为公司</w:t>
              </w:r>
              <w:r>
                <w:rPr>
                  <w:rFonts w:ascii="Times New Roman" w:hAnsi="Times New Roman" w:cs="Times New Roman"/>
                  <w:szCs w:val="21"/>
                </w:rPr>
                <w:t>202</w:t>
              </w:r>
              <w:r>
                <w:rPr>
                  <w:rFonts w:hint="eastAsia" w:ascii="Times New Roman" w:hAnsi="Times New Roman" w:cs="Times New Roman"/>
                  <w:szCs w:val="21"/>
                </w:rPr>
                <w:t>1</w:t>
              </w:r>
              <w:r>
                <w:rPr>
                  <w:rFonts w:ascii="Times New Roman" w:cs="Times New Roman"/>
                  <w:szCs w:val="21"/>
                </w:rPr>
                <w:t>年度财务报表及内部控制审计机构的议案》，决定聘请永拓会计师事务所（特殊普通合伙）为公司</w:t>
              </w:r>
              <w:r>
                <w:rPr>
                  <w:rFonts w:ascii="Times New Roman" w:hAnsi="Times New Roman" w:cs="Times New Roman"/>
                  <w:szCs w:val="21"/>
                </w:rPr>
                <w:t>202</w:t>
              </w:r>
              <w:r>
                <w:rPr>
                  <w:rFonts w:hint="eastAsia" w:ascii="Times New Roman" w:hAnsi="Times New Roman" w:cs="Times New Roman"/>
                  <w:szCs w:val="21"/>
                </w:rPr>
                <w:t>1</w:t>
              </w:r>
              <w:r>
                <w:rPr>
                  <w:rFonts w:ascii="Times New Roman" w:cs="Times New Roman"/>
                  <w:szCs w:val="21"/>
                </w:rPr>
                <w:t>年度财务报表及内部控制审计机构。财务报表审计费用为</w:t>
              </w:r>
              <w:r>
                <w:rPr>
                  <w:rFonts w:ascii="Times New Roman" w:hAnsi="Times New Roman" w:cs="Times New Roman"/>
                  <w:szCs w:val="21"/>
                </w:rPr>
                <w:t>50</w:t>
              </w:r>
              <w:r>
                <w:rPr>
                  <w:rFonts w:ascii="Times New Roman" w:cs="Times New Roman"/>
                  <w:szCs w:val="21"/>
                </w:rPr>
                <w:t>万元，内控审计费用为</w:t>
              </w:r>
              <w:r>
                <w:rPr>
                  <w:rFonts w:ascii="Times New Roman" w:hAnsi="Times New Roman" w:cs="Times New Roman"/>
                  <w:szCs w:val="21"/>
                </w:rPr>
                <w:t>28</w:t>
              </w:r>
              <w:r>
                <w:rPr>
                  <w:rFonts w:ascii="Times New Roman" w:cs="Times New Roman"/>
                  <w:szCs w:val="21"/>
                </w:rPr>
                <w:t>万元。</w:t>
              </w:r>
            </w:p>
          </w:sdtContent>
        </w:sdt>
      </w:sdtContent>
    </w:sdt>
    <w:p/>
    <w:sdt>
      <w:sdtPr>
        <w:alias w:val="模块:审计期间改聘会计师事务所的情况说明"/>
        <w:tag w:val="_SEC_9e5ff31b39074841b1732f4693c6a461"/>
        <w:id w:val="865723050"/>
        <w:lock w:val="sdtLocked"/>
        <w:placeholder>
          <w:docPart w:val="GBC22222222222222222222222222222"/>
        </w:placeholder>
      </w:sdtPr>
      <w:sdtEndPr>
        <w:rPr>
          <w:rFonts w:hint="eastAsia"/>
        </w:rPr>
      </w:sdtEndPr>
      <w:sdtContent>
        <w:p>
          <w:r>
            <w:t>审计期间改聘会计师事务所的情况说明</w:t>
          </w:r>
        </w:p>
        <w:sdt>
          <w:sdtPr>
            <w:rPr>
              <w:rFonts w:hint="eastAsia"/>
            </w:rPr>
            <w:alias w:val="是否适用：审计期间改聘会计师事务所的情况说明[双击切换]"/>
            <w:tag w:val="_GBC_34c57619e2904c83a8840614e4e5d5d0"/>
            <w:id w:val="86572304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3"/>
        <w:numPr>
          <w:ilvl w:val="0"/>
          <w:numId w:val="32"/>
        </w:numPr>
        <w:rPr>
          <w:rFonts w:ascii="宋体" w:hAnsi="宋体" w:cs="宋体"/>
          <w:kern w:val="0"/>
          <w:szCs w:val="24"/>
        </w:rPr>
      </w:pPr>
      <w:r>
        <w:rPr>
          <w:rFonts w:ascii="宋体" w:hAnsi="宋体" w:cs="宋体"/>
          <w:kern w:val="0"/>
          <w:szCs w:val="24"/>
          <w:shd w:val="solid" w:color="FFFFFF" w:fill="auto"/>
        </w:rPr>
        <w:t>面临</w:t>
      </w:r>
      <w:r>
        <w:rPr>
          <w:rFonts w:hint="eastAsia" w:ascii="宋体" w:hAnsi="宋体" w:cs="宋体"/>
          <w:kern w:val="0"/>
          <w:szCs w:val="24"/>
          <w:shd w:val="solid" w:color="FFFFFF" w:fill="auto"/>
        </w:rPr>
        <w:t>退</w:t>
      </w:r>
      <w:r>
        <w:rPr>
          <w:rFonts w:ascii="宋体" w:hAnsi="宋体" w:cs="宋体"/>
          <w:kern w:val="0"/>
          <w:szCs w:val="24"/>
          <w:shd w:val="solid" w:color="FFFFFF" w:fill="auto"/>
        </w:rPr>
        <w:t>市风险的情况</w:t>
      </w:r>
    </w:p>
    <w:p>
      <w:pPr>
        <w:pStyle w:val="4"/>
        <w:numPr>
          <w:ilvl w:val="0"/>
          <w:numId w:val="35"/>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模块:导致退市风险警示的原因"/>
        <w:tag w:val="_SEC_f15fc49cb4ff42c5a7ce2d836dd0c3fc"/>
        <w:id w:val="865723052"/>
        <w:lock w:val="sdtLocked"/>
        <w:placeholder>
          <w:docPart w:val="GBC22222222222222222222222222222"/>
        </w:placeholder>
      </w:sdtPr>
      <w:sdtEndPr>
        <w:rPr>
          <w:rFonts w:hint="default"/>
          <w:szCs w:val="21"/>
        </w:rPr>
      </w:sdtEndPr>
      <w:sdtContent>
        <w:sdt>
          <w:sdtPr>
            <w:rPr>
              <w:rFonts w:hint="eastAsia"/>
              <w:szCs w:val="21"/>
            </w:rPr>
            <w:alias w:val="是否适用：导致暂停上市的原因[双击切换]"/>
            <w:tag w:val="_GBC_5be6e6fabf4849c7b63c5d08ac7706e1"/>
            <w:id w:val="865723051"/>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ascii="宋体" w:hAnsi="宋体" w:cs="宋体"/>
          <w:b w:val="0"/>
          <w:bCs w:val="0"/>
          <w:kern w:val="0"/>
          <w:szCs w:val="21"/>
        </w:rPr>
        <w:alias w:val="模块:公司拟采取的应对措施"/>
        <w:tag w:val="_SEC_9dd9fc587be540dab1fcdb757f5036d7"/>
        <w:id w:val="865723054"/>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35"/>
            </w:numPr>
            <w:rPr>
              <w:szCs w:val="21"/>
            </w:rPr>
          </w:pPr>
          <w:r>
            <w:rPr>
              <w:rFonts w:hint="eastAsia"/>
              <w:szCs w:val="21"/>
            </w:rPr>
            <w:t>公司拟采取的应对措施</w:t>
          </w:r>
        </w:p>
        <w:sdt>
          <w:sdtPr>
            <w:rPr>
              <w:szCs w:val="21"/>
            </w:rPr>
            <w:alias w:val="是否适用：公司拟采取的措施[双击切换]"/>
            <w:tag w:val="_GBC_8656f473b4d943fe8fa1477037f607c5"/>
            <w:id w:val="86572305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面临终止上市的情况和原因  "/>
        <w:tag w:val="_SEC_a0a08509d12c43b6a3c3f5de51b245bd"/>
        <w:id w:val="865723056"/>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35"/>
            </w:numPr>
            <w:rPr>
              <w:rFonts w:ascii="宋体" w:hAnsi="宋体" w:cs="宋体"/>
              <w:kern w:val="0"/>
              <w:szCs w:val="21"/>
            </w:rPr>
          </w:pPr>
          <w:bookmarkStart w:id="70" w:name="_Hlk89346186"/>
          <w:r>
            <w:rPr>
              <w:rFonts w:hint="eastAsia" w:ascii="宋体" w:hAnsi="宋体" w:cs="宋体"/>
              <w:kern w:val="0"/>
              <w:szCs w:val="21"/>
            </w:rPr>
            <w:t>面临终止上市的情况和原因</w:t>
          </w:r>
        </w:p>
        <w:sdt>
          <w:sdtPr>
            <w:rPr>
              <w:rFonts w:hint="eastAsia"/>
              <w:szCs w:val="21"/>
            </w:rPr>
            <w:alias w:val="是否适用：面临终止上市的情况和原因 [双击切换]"/>
            <w:tag w:val="_GBC_36002fff87954035b149cfd20b1790d5"/>
            <w:id w:val="86572305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70"/>
    <w:sdt>
      <w:sdtPr>
        <w:rPr>
          <w:rFonts w:ascii="宋体" w:hAnsi="宋体" w:cs="宋体"/>
          <w:b w:val="0"/>
          <w:bCs w:val="0"/>
          <w:kern w:val="0"/>
          <w:szCs w:val="24"/>
        </w:rPr>
        <w:alias w:val="模块:破产重整相关事项"/>
        <w:tag w:val="_SEC_40f00e43fb5a4ec79cf5293b027262f4"/>
        <w:id w:val="865723058"/>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2"/>
            </w:numPr>
          </w:pPr>
          <w:r>
            <w:t>破产重整相关事项</w:t>
          </w:r>
        </w:p>
        <w:sdt>
          <w:sdtPr>
            <w:alias w:val="是否适用：破产重整相关事项[双击切换]"/>
            <w:tag w:val="_GBC_5840a694c2a04f98893394e6da3bc9cc"/>
            <w:id w:val="86572305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0"/>
          <w:numId w:val="32"/>
        </w:numPr>
      </w:pPr>
      <w:r>
        <w:t>重大诉讼、仲裁事项</w:t>
      </w:r>
    </w:p>
    <w:sdt>
      <w:sdtPr>
        <w:alias w:val="本年度公司有无重大诉讼、仲裁事项"/>
        <w:tag w:val="_GBC_b7d97a978491465ca563fa610688ebef"/>
        <w:id w:val="865723059"/>
        <w:lock w:val="sdtLocked"/>
        <w:placeholder>
          <w:docPart w:val="GBC22222222222222222222222222222"/>
        </w:placeholder>
      </w:sdtPr>
      <w:sdtContent>
        <w:p>
          <w:pPr>
            <w:rPr>
              <w:szCs w:val="21"/>
            </w:rPr>
          </w:pPr>
          <w:r>
            <w:fldChar w:fldCharType="begin"/>
          </w:r>
          <w:r>
            <w:instrText xml:space="preserve"> MACROBUTTON  SnrToggleCheckbox □本年度公司有重大诉讼、仲裁事项 </w:instrText>
          </w:r>
          <w:r>
            <w:fldChar w:fldCharType="end"/>
          </w:r>
          <w:r>
            <w:fldChar w:fldCharType="begin"/>
          </w:r>
          <w:r>
            <w:instrText xml:space="preserve"> MACROBUTTON  SnrToggleCheckbox √本年度公司无重大诉讼、仲裁事项 </w:instrText>
          </w:r>
          <w:r>
            <w:fldChar w:fldCharType="end"/>
          </w:r>
        </w:p>
      </w:sdtContent>
    </w:sdt>
    <w:p>
      <w:pPr>
        <w:rPr>
          <w:szCs w:val="21"/>
        </w:rPr>
      </w:pPr>
    </w:p>
    <w:p>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865723061"/>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32"/>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865723060"/>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报告期内公司及其控股股东、实际控制人诚信状况的说明"/>
        <w:tag w:val="_SEC_a173054d21f9405fa83bf7d1309bfdc4"/>
        <w:id w:val="865723063"/>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2"/>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86572306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3"/>
        <w:numPr>
          <w:ilvl w:val="0"/>
          <w:numId w:val="32"/>
        </w:numPr>
      </w:pPr>
      <w:r>
        <w:rPr>
          <w:rFonts w:hint="eastAsia"/>
        </w:rPr>
        <w:t>重大关联交易</w:t>
      </w:r>
    </w:p>
    <w:p>
      <w:pPr>
        <w:pStyle w:val="4"/>
        <w:numPr>
          <w:ilvl w:val="2"/>
          <w:numId w:val="5"/>
        </w:numPr>
        <w:rPr>
          <w:szCs w:val="21"/>
        </w:rPr>
      </w:pPr>
      <w:bookmarkStart w:id="71" w:name="_Toc342491961"/>
      <w:bookmarkStart w:id="72" w:name="_Toc342565953"/>
      <w:r>
        <w:rPr>
          <w:rFonts w:hint="eastAsia"/>
          <w:szCs w:val="21"/>
        </w:rPr>
        <w:t>与日常经营相关的关联交易</w:t>
      </w:r>
      <w:bookmarkEnd w:id="71"/>
      <w:bookmarkEnd w:id="72"/>
    </w:p>
    <w:sdt>
      <w:sdtPr>
        <w:rPr>
          <w:rFonts w:ascii="Calibri" w:hAnsi="Calibri" w:eastAsia="宋体" w:cs="宋体"/>
          <w:b w:val="0"/>
          <w:bCs w:val="0"/>
          <w:kern w:val="0"/>
          <w:sz w:val="24"/>
          <w:szCs w:val="24"/>
        </w:rPr>
        <w:alias w:val="模块:已在临时公告披露且后续实施无进展或变化的事项"/>
        <w:tag w:val="_SEC_9b2b3d5bc53a45ad87e57bafa9cc658c"/>
        <w:id w:val="865723065"/>
        <w:lock w:val="sdtLocked"/>
        <w:placeholder>
          <w:docPart w:val="GBC22222222222222222222222222222"/>
        </w:placeholder>
      </w:sdtPr>
      <w:sdtEndPr>
        <w:rPr>
          <w:rFonts w:ascii="宋体" w:hAnsi="宋体" w:eastAsia="宋体" w:cs="宋体"/>
          <w:b w:val="0"/>
          <w:bCs w:val="0"/>
          <w:kern w:val="0"/>
          <w:sz w:val="21"/>
          <w:szCs w:val="24"/>
        </w:rPr>
      </w:sdtEndPr>
      <w:sdtContent>
        <w:p>
          <w:pPr>
            <w:pStyle w:val="5"/>
            <w:numPr>
              <w:ilvl w:val="2"/>
              <w:numId w:val="36"/>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86572306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Calibri" w:hAnsi="Calibri" w:eastAsia="宋体" w:cs="宋体"/>
          <w:b w:val="0"/>
          <w:bCs w:val="0"/>
          <w:kern w:val="0"/>
          <w:sz w:val="24"/>
          <w:szCs w:val="24"/>
        </w:rPr>
        <w:alias w:val="模块:已在临时公告披露，但有后续实施的进展或变化的事项"/>
        <w:tag w:val="_SEC_c2c70cd3f9974feb98c2265569f9b212"/>
        <w:id w:val="865723067"/>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2"/>
              <w:numId w:val="36"/>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86572306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Calibri" w:hAnsi="Calibri" w:eastAsia="宋体" w:cs="宋体"/>
          <w:b w:val="0"/>
          <w:bCs w:val="0"/>
          <w:kern w:val="0"/>
          <w:sz w:val="24"/>
          <w:szCs w:val="24"/>
        </w:rPr>
        <w:alias w:val="模块:临时公告未披露的事项"/>
        <w:tag w:val="_SEC_18ede113eb9d4e58b96677300bb03f7d"/>
        <w:id w:val="865723091"/>
        <w:lock w:val="sdtLocked"/>
        <w:placeholder>
          <w:docPart w:val="GBC22222222222222222222222222222"/>
        </w:placeholder>
      </w:sdtPr>
      <w:sdtEndPr>
        <w:rPr>
          <w:rFonts w:hint="default" w:ascii="宋体" w:hAnsi="宋体" w:eastAsia="宋体" w:cs="宋体"/>
          <w:b w:val="0"/>
          <w:bCs w:val="0"/>
          <w:kern w:val="0"/>
          <w:sz w:val="21"/>
          <w:szCs w:val="24"/>
        </w:rPr>
      </w:sdtEndPr>
      <w:sdtContent>
        <w:p>
          <w:pPr>
            <w:pStyle w:val="5"/>
            <w:numPr>
              <w:ilvl w:val="2"/>
              <w:numId w:val="36"/>
            </w:numPr>
          </w:pPr>
          <w:bookmarkStart w:id="73" w:name="_Toc342565956"/>
          <w:bookmarkStart w:id="74" w:name="_Toc342491964"/>
          <w:r>
            <w:rPr>
              <w:rFonts w:hint="eastAsia"/>
            </w:rPr>
            <w:t>临时公告未披露的事</w:t>
          </w:r>
          <w:bookmarkEnd w:id="73"/>
          <w:bookmarkEnd w:id="74"/>
          <w:r>
            <w:rPr>
              <w:rFonts w:hint="eastAsia"/>
            </w:rPr>
            <w:t>项</w:t>
          </w:r>
        </w:p>
        <w:sdt>
          <w:sdtPr>
            <w:alias w:val="是否适用：与日常经营相关的关联交易_临时公告未披露的事项[双击切换]"/>
            <w:tag w:val="_GBC_3f1135e0d6d440e6a4af283441bd65d2"/>
            <w:id w:val="86572306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4"/>
        <w:numPr>
          <w:ilvl w:val="2"/>
          <w:numId w:val="5"/>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eastAsia="宋体" w:cs="宋体"/>
          <w:b w:val="0"/>
          <w:bCs w:val="0"/>
          <w:kern w:val="0"/>
          <w:sz w:val="24"/>
          <w:szCs w:val="24"/>
        </w:rPr>
        <w:alias w:val="模块:已在临时公告披露且后续实施无进展或变化的事项"/>
        <w:tag w:val="_SEC_5101ea14b3704066958f40b02b8e01b2"/>
        <w:id w:val="865723097"/>
        <w:lock w:val="sdtLocked"/>
        <w:placeholder>
          <w:docPart w:val="GBC22222222222222222222222222222"/>
        </w:placeholder>
      </w:sdtPr>
      <w:sdtEndPr>
        <w:rPr>
          <w:rFonts w:ascii="宋体" w:hAnsi="宋体" w:eastAsia="宋体" w:cs="宋体"/>
          <w:b w:val="0"/>
          <w:bCs w:val="0"/>
          <w:kern w:val="0"/>
          <w:sz w:val="21"/>
          <w:szCs w:val="24"/>
        </w:rPr>
      </w:sdtEndPr>
      <w:sdtContent>
        <w:p>
          <w:pPr>
            <w:pStyle w:val="5"/>
            <w:numPr>
              <w:ilvl w:val="0"/>
              <w:numId w:val="37"/>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86572309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188ee45227d45f381d6f25e86478458"/>
                <w:id w:val="865723093"/>
                <w:lock w:val="sdtLocked"/>
              </w:sdtPr>
              <w:sdtEndPr>
                <w:rPr>
                  <w:rFonts w:ascii="Times New Roman" w:hAnsi="Times New Roman" w:cs="Times New Roman"/>
                </w:rPr>
              </w:sdtEndPr>
              <w:sdtContent>
                <w:tc>
                  <w:tcPr>
                    <w:tcW w:w="2500" w:type="pct"/>
                    <w:vAlign w:val="center"/>
                  </w:tcPr>
                  <w:p>
                    <w:pPr>
                      <w:widowControl w:val="0"/>
                      <w:jc w:val="center"/>
                      <w:rPr>
                        <w:rFonts w:ascii="Times New Roman" w:hAnsi="Times New Roman" w:cs="Times New Roman"/>
                        <w:szCs w:val="21"/>
                      </w:rPr>
                    </w:pPr>
                    <w:r>
                      <w:rPr>
                        <w:rFonts w:ascii="Times New Roman" w:cs="Times New Roman"/>
                        <w:szCs w:val="21"/>
                      </w:rPr>
                      <w:t>事项概述</w:t>
                    </w:r>
                  </w:p>
                </w:tc>
              </w:sdtContent>
            </w:sdt>
            <w:sdt>
              <w:sdtPr>
                <w:rPr>
                  <w:rFonts w:ascii="Times New Roman" w:hAnsi="Times New Roman" w:cs="Times New Roman"/>
                </w:rPr>
                <w:tag w:val="_PLD_0c44a61d6566427086931bb8189dad89"/>
                <w:id w:val="865723094"/>
                <w:lock w:val="sdtLocked"/>
              </w:sdtPr>
              <w:sdtEndPr>
                <w:rPr>
                  <w:rFonts w:ascii="Times New Roman" w:hAnsi="Times New Roman" w:cs="Times New Roman"/>
                </w:rPr>
              </w:sdtEndPr>
              <w:sdtContent>
                <w:tc>
                  <w:tcPr>
                    <w:tcW w:w="2500" w:type="pct"/>
                    <w:vAlign w:val="center"/>
                  </w:tcPr>
                  <w:p>
                    <w:pPr>
                      <w:widowControl w:val="0"/>
                      <w:jc w:val="center"/>
                      <w:rPr>
                        <w:rFonts w:ascii="Times New Roman" w:hAnsi="Times New Roman" w:cs="Times New Roman"/>
                        <w:szCs w:val="21"/>
                      </w:rPr>
                    </w:pPr>
                    <w:r>
                      <w:rPr>
                        <w:rFonts w:ascii="Times New Roman" w:cs="Times New Roman"/>
                        <w:szCs w:val="21"/>
                      </w:rPr>
                      <w:t>查询索引</w:t>
                    </w:r>
                  </w:p>
                </w:tc>
              </w:sdtContent>
            </w:sdt>
          </w:tr>
          <w:sdt>
            <w:sdtPr>
              <w:rPr>
                <w:rFonts w:ascii="Times New Roman" w:hAnsi="Times New Roman" w:cs="Times New Roman" w:eastAsiaTheme="minorEastAsia"/>
                <w:kern w:val="2"/>
                <w:szCs w:val="21"/>
              </w:rPr>
              <w:alias w:val="资产收购、出售发生的关联交易事项已在临时报告披露且后续实施无进展或变化的"/>
              <w:tag w:val="_TUP_a8756654617345fbb9d5c990ec64bc7e"/>
              <w:id w:val="865723095"/>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widowControl w:val="0"/>
                      <w:jc w:val="both"/>
                      <w:rPr>
                        <w:rFonts w:ascii="Times New Roman" w:hAnsi="Times New Roman" w:cs="Times New Roman"/>
                        <w:szCs w:val="21"/>
                      </w:rPr>
                    </w:pPr>
                    <w:r>
                      <w:rPr>
                        <w:rFonts w:ascii="Times New Roman" w:cs="Times New Roman"/>
                      </w:rPr>
                      <w:t>公司</w:t>
                    </w:r>
                    <w:r>
                      <w:rPr>
                        <w:rFonts w:ascii="Times New Roman" w:hAnsi="Times New Roman" w:cs="Times New Roman"/>
                      </w:rPr>
                      <w:t>2019</w:t>
                    </w:r>
                    <w:r>
                      <w:rPr>
                        <w:rFonts w:ascii="Times New Roman" w:cs="Times New Roman"/>
                      </w:rPr>
                      <w:t>年实施重大资产出售暨关联交易项目，将持有的纸品公司和房开公司的股权以及对纸品公司、纸业公司和房开公司的债权，转让给公司第一大股东产投集团。</w:t>
                    </w:r>
                  </w:p>
                </w:tc>
                <w:tc>
                  <w:tcPr>
                    <w:tcW w:w="2500" w:type="pct"/>
                    <w:vAlign w:val="center"/>
                  </w:tcPr>
                  <w:p>
                    <w:pPr>
                      <w:widowControl w:val="0"/>
                      <w:jc w:val="both"/>
                      <w:rPr>
                        <w:rFonts w:ascii="Times New Roman" w:hAnsi="Times New Roman" w:cs="Times New Roman"/>
                        <w:szCs w:val="21"/>
                      </w:rPr>
                    </w:pPr>
                    <w:r>
                      <w:rPr>
                        <w:rFonts w:ascii="Times New Roman" w:hAnsi="Times New Roman" w:cs="Times New Roman"/>
                      </w:rPr>
                      <w:t>详见公司临时公告：临2019-022至临2019-035，临2019-037，临2019-038。</w:t>
                    </w:r>
                  </w:p>
                </w:tc>
              </w:tr>
            </w:sdtContent>
          </w:sdt>
          <w:sdt>
            <w:sdtPr>
              <w:rPr>
                <w:rFonts w:ascii="Times New Roman" w:hAnsi="Times New Roman" w:cs="Times New Roman" w:eastAsiaTheme="minorEastAsia"/>
                <w:kern w:val="2"/>
                <w:szCs w:val="21"/>
              </w:rPr>
              <w:alias w:val="资产收购、出售发生的关联交易事项已在临时报告披露且后续实施无进展或变化的"/>
              <w:tag w:val="_TUP_a8756654617345fbb9d5c990ec64bc7e"/>
              <w:id w:val="865723096"/>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widowControl w:val="0"/>
                      <w:jc w:val="both"/>
                      <w:rPr>
                        <w:rFonts w:ascii="Times New Roman" w:hAnsi="Times New Roman" w:cs="Times New Roman"/>
                        <w:szCs w:val="21"/>
                      </w:rPr>
                    </w:pPr>
                    <w:r>
                      <w:rPr>
                        <w:rFonts w:ascii="Times New Roman" w:hAnsi="Calibri" w:cs="Times New Roman" w:eastAsiaTheme="minorEastAsia"/>
                        <w:kern w:val="2"/>
                        <w:szCs w:val="21"/>
                      </w:rPr>
                      <w:t>报告期内，公司收到上述重大资产出售项目剩余款项和利息。</w:t>
                    </w:r>
                    <w:r>
                      <w:rPr>
                        <w:rFonts w:ascii="Times New Roman" w:cs="Times New Roman"/>
                        <w:szCs w:val="21"/>
                      </w:rPr>
                      <w:t>该项目所涉标的资产已完成过户登记、债权已移交，公司已按期收到交易对方支付的全部交易对价</w:t>
                    </w:r>
                    <w:r>
                      <w:rPr>
                        <w:rFonts w:hint="eastAsia" w:ascii="Times New Roman" w:cs="Times New Roman"/>
                        <w:szCs w:val="21"/>
                      </w:rPr>
                      <w:t>款</w:t>
                    </w:r>
                    <w:r>
                      <w:rPr>
                        <w:rFonts w:ascii="Times New Roman" w:cs="Times New Roman"/>
                        <w:szCs w:val="21"/>
                      </w:rPr>
                      <w:t>和利息。</w:t>
                    </w:r>
                  </w:p>
                </w:tc>
                <w:tc>
                  <w:tcPr>
                    <w:tcW w:w="2500" w:type="pct"/>
                    <w:vAlign w:val="center"/>
                  </w:tcPr>
                  <w:p>
                    <w:pPr>
                      <w:widowControl w:val="0"/>
                      <w:jc w:val="both"/>
                      <w:rPr>
                        <w:rFonts w:ascii="Times New Roman" w:hAnsi="Times New Roman" w:cs="Times New Roman"/>
                        <w:szCs w:val="21"/>
                      </w:rPr>
                    </w:pPr>
                    <w:r>
                      <w:rPr>
                        <w:rFonts w:ascii="Times New Roman" w:hAnsi="Times New Roman" w:cs="Times New Roman"/>
                        <w:szCs w:val="21"/>
                      </w:rPr>
                      <w:t>详见公司临时公告：临2021-025，临2021-028，临2021-029。</w:t>
                    </w:r>
                  </w:p>
                </w:tc>
              </w:tr>
            </w:sdtContent>
          </w:sdt>
        </w:tbl>
        <w:p/>
        <w:p/>
      </w:sdtContent>
    </w:sdt>
    <w:sdt>
      <w:sdtPr>
        <w:rPr>
          <w:rFonts w:ascii="宋体" w:hAnsi="宋体" w:eastAsia="宋体" w:cs="宋体"/>
          <w:b w:val="0"/>
          <w:bCs w:val="0"/>
          <w:kern w:val="0"/>
          <w:szCs w:val="24"/>
        </w:rPr>
        <w:alias w:val="模块:已在临时公告披露，但有后续实施的进展或变化的事项  （空..."/>
        <w:tag w:val="_SEC_212a9f990eed40aea6f3097b326c6b3f"/>
        <w:id w:val="865723099"/>
        <w:lock w:val="sdtLocked"/>
        <w:placeholder>
          <w:docPart w:val="GBC22222222222222222222222222222"/>
        </w:placeholder>
      </w:sdtPr>
      <w:sdtEndPr>
        <w:rPr>
          <w:rFonts w:ascii="Times New Roman" w:hAnsi="Times New Roman" w:eastAsia="宋体" w:cs="Times New Roman"/>
          <w:b w:val="0"/>
          <w:bCs w:val="0"/>
          <w:color w:val="FF0000"/>
          <w:kern w:val="0"/>
          <w:szCs w:val="24"/>
        </w:rPr>
      </w:sdtEndPr>
      <w:sdtContent>
        <w:p>
          <w:pPr>
            <w:pStyle w:val="5"/>
            <w:numPr>
              <w:ilvl w:val="0"/>
              <w:numId w:val="37"/>
            </w:numPr>
          </w:pPr>
          <w:bookmarkStart w:id="75" w:name="_Hlk90309315"/>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865723098"/>
            <w:lock w:val="sdtLocked"/>
            <w:placeholder>
              <w:docPart w:val="GBC22222222222222222222222222222"/>
            </w:placeholder>
          </w:sdtPr>
          <w:sdtEndPr>
            <w:rPr>
              <w:rFonts w:hint="eastAsia"/>
              <w:szCs w:val="21"/>
            </w:rPr>
          </w:sdtEndPr>
          <w:sdtContent>
            <w:p>
              <w:pPr>
                <w:rPr>
                  <w:rFonts w:ascii="Times New Roman" w:hAnsi="Times New Roman" w:cs="Times New Roman"/>
                  <w:color w:val="FF0000"/>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75"/>
    <w:p>
      <w:pPr>
        <w:rPr>
          <w:color w:val="FF0000"/>
          <w:szCs w:val="21"/>
        </w:rPr>
      </w:pPr>
    </w:p>
    <w:sdt>
      <w:sdtPr>
        <w:rPr>
          <w:rFonts w:ascii="Calibri" w:hAnsi="Calibri" w:eastAsia="宋体" w:cs="宋体"/>
          <w:b w:val="0"/>
          <w:bCs w:val="0"/>
          <w:kern w:val="0"/>
          <w:sz w:val="24"/>
          <w:szCs w:val="24"/>
        </w:rPr>
        <w:alias w:val="模块:临时公告未披露的事项"/>
        <w:tag w:val="_SEC_0cf43ef9267042f5910eeb382017750a"/>
        <w:id w:val="865723101"/>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0"/>
              <w:numId w:val="37"/>
            </w:numPr>
          </w:pPr>
          <w:r>
            <w:t>临时公告未披露的事项</w:t>
          </w:r>
        </w:p>
        <w:sdt>
          <w:sdtPr>
            <w:alias w:val="是否适用：资产收购、出售发生的关联交易_临时公告未披露的事项[双击切换]"/>
            <w:tag w:val="_GBC_c2403e21caad4498842c2f1cf3384c0d"/>
            <w:id w:val="86572310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eastAsia="宋体" w:cs="宋体"/>
          <w:b w:val="0"/>
          <w:bCs w:val="0"/>
          <w:kern w:val="0"/>
          <w:szCs w:val="24"/>
        </w:rPr>
        <w:alias w:val="模块:涉及业绩约定的，应当披露报告期内的业绩实现情况"/>
        <w:tag w:val="_SEC_2377f3c46fe8488f9d7f53b4f8ba80b1"/>
        <w:id w:val="865723103"/>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37"/>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865723102"/>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4"/>
        <w:numPr>
          <w:ilvl w:val="2"/>
          <w:numId w:val="5"/>
        </w:numPr>
        <w:rPr>
          <w:szCs w:val="21"/>
        </w:rPr>
      </w:pPr>
      <w:r>
        <w:rPr>
          <w:szCs w:val="21"/>
        </w:rPr>
        <w:t>共同对外投资的重大关联交易</w:t>
      </w:r>
    </w:p>
    <w:sdt>
      <w:sdtPr>
        <w:rPr>
          <w:rFonts w:ascii="Calibri" w:hAnsi="Calibri" w:eastAsia="宋体" w:cs="宋体"/>
          <w:b w:val="0"/>
          <w:bCs w:val="0"/>
          <w:kern w:val="0"/>
          <w:sz w:val="24"/>
          <w:szCs w:val="24"/>
        </w:rPr>
        <w:alias w:val="模块:已在临时公告披露且后续实施无进展或变化的事项"/>
        <w:tag w:val="_SEC_51b6cf40b087426eb6434404a0feb888"/>
        <w:id w:val="865723105"/>
        <w:lock w:val="sdtLocked"/>
        <w:placeholder>
          <w:docPart w:val="GBC22222222222222222222222222222"/>
        </w:placeholder>
      </w:sdtPr>
      <w:sdtEndPr>
        <w:rPr>
          <w:rFonts w:ascii="宋体" w:hAnsi="宋体" w:eastAsia="宋体" w:cs="宋体"/>
          <w:b w:val="0"/>
          <w:bCs w:val="0"/>
          <w:kern w:val="0"/>
          <w:sz w:val="21"/>
          <w:szCs w:val="24"/>
        </w:rPr>
      </w:sdtEndPr>
      <w:sdtContent>
        <w:p>
          <w:pPr>
            <w:pStyle w:val="5"/>
            <w:numPr>
              <w:ilvl w:val="0"/>
              <w:numId w:val="38"/>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86572310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sdtContent>
        </w:sdt>
      </w:sdtContent>
    </w:sdt>
    <w:sdt>
      <w:sdtPr>
        <w:rPr>
          <w:rFonts w:ascii="Calibri" w:hAnsi="Calibri" w:eastAsia="宋体" w:cs="宋体"/>
          <w:b w:val="0"/>
          <w:bCs w:val="0"/>
          <w:kern w:val="0"/>
          <w:sz w:val="24"/>
          <w:szCs w:val="24"/>
        </w:rPr>
        <w:alias w:val="模块:已在临时公告披露，但有后续实施的进展或变化的事项"/>
        <w:tag w:val="_SEC_6fb162dfa53544919d9b59362cf9fe07"/>
        <w:id w:val="865723107"/>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0"/>
              <w:numId w:val="38"/>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6572310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ascii="Calibri" w:hAnsi="Calibri" w:eastAsia="宋体" w:cs="宋体"/>
          <w:b w:val="0"/>
          <w:bCs w:val="0"/>
          <w:kern w:val="0"/>
          <w:sz w:val="24"/>
          <w:szCs w:val="24"/>
        </w:rPr>
        <w:alias w:val="模块:临时公告未披露的事项"/>
        <w:tag w:val="_SEC_c27b95cb91e04e0cb1142e21dcff5adc"/>
        <w:id w:val="865723109"/>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0"/>
              <w:numId w:val="38"/>
            </w:numPr>
          </w:pPr>
          <w:r>
            <w:t>临时公告未披露的事项</w:t>
          </w:r>
        </w:p>
        <w:sdt>
          <w:sdtPr>
            <w:alias w:val="是否适用：共同对外投资的重大关联交易_临时公告未披露的事项[双击切换]"/>
            <w:tag w:val="_GBC_0a8e93fe81464e209d3619d1be6a3349"/>
            <w:id w:val="86572310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p>
      <w:pPr>
        <w:rPr>
          <w:szCs w:val="21"/>
        </w:rPr>
      </w:pPr>
    </w:p>
    <w:p>
      <w:pPr>
        <w:pStyle w:val="4"/>
        <w:numPr>
          <w:ilvl w:val="2"/>
          <w:numId w:val="5"/>
        </w:numPr>
        <w:rPr>
          <w:szCs w:val="21"/>
        </w:rPr>
      </w:pPr>
      <w:r>
        <w:rPr>
          <w:rFonts w:hint="eastAsia"/>
          <w:szCs w:val="21"/>
        </w:rPr>
        <w:t>关联债权债务往来</w:t>
      </w:r>
    </w:p>
    <w:sdt>
      <w:sdtPr>
        <w:rPr>
          <w:rFonts w:ascii="Calibri" w:hAnsi="Calibri" w:eastAsia="宋体" w:cs="宋体"/>
          <w:b w:val="0"/>
          <w:bCs w:val="0"/>
          <w:kern w:val="0"/>
          <w:sz w:val="24"/>
          <w:szCs w:val="24"/>
        </w:rPr>
        <w:alias w:val="模块:已在临时公告披露且后续实施无进展或变化的事项"/>
        <w:tag w:val="_SEC_1159433f604446c4a73e7743924d5bde"/>
        <w:id w:val="865723111"/>
        <w:lock w:val="sdtLocked"/>
        <w:placeholder>
          <w:docPart w:val="GBC22222222222222222222222222222"/>
        </w:placeholder>
      </w:sdtPr>
      <w:sdtEndPr>
        <w:rPr>
          <w:rFonts w:ascii="宋体" w:hAnsi="宋体" w:eastAsia="宋体" w:cs="宋体"/>
          <w:b w:val="0"/>
          <w:bCs w:val="0"/>
          <w:kern w:val="0"/>
          <w:sz w:val="21"/>
          <w:szCs w:val="24"/>
        </w:rPr>
      </w:sdtEndPr>
      <w:sdtContent>
        <w:p>
          <w:pPr>
            <w:pStyle w:val="5"/>
            <w:numPr>
              <w:ilvl w:val="0"/>
              <w:numId w:val="39"/>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86572311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sdtContent>
        </w:sdt>
      </w:sdtContent>
    </w:sdt>
    <w:sdt>
      <w:sdtPr>
        <w:rPr>
          <w:rFonts w:ascii="Calibri" w:hAnsi="Calibri" w:eastAsia="宋体" w:cs="宋体"/>
          <w:b w:val="0"/>
          <w:bCs w:val="0"/>
          <w:kern w:val="0"/>
          <w:sz w:val="24"/>
          <w:szCs w:val="24"/>
        </w:rPr>
        <w:alias w:val="模块:已在临时公告披露，但有后续实施的进展或变化的事项"/>
        <w:tag w:val="_SEC_ce119db951414db2a004501c8a65a54b"/>
        <w:id w:val="865723113"/>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0"/>
              <w:numId w:val="39"/>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86572311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Calibri" w:hAnsi="Calibri" w:eastAsia="宋体" w:cs="宋体"/>
          <w:b w:val="0"/>
          <w:bCs w:val="0"/>
          <w:kern w:val="0"/>
          <w:sz w:val="24"/>
          <w:szCs w:val="24"/>
        </w:rPr>
        <w:alias w:val="模块:临时公告未披露的事项"/>
        <w:tag w:val="_SEC_5a41258e75f8445f9f091dbefa9eab6b"/>
        <w:id w:val="865723115"/>
        <w:lock w:val="sdtLocked"/>
        <w:placeholder>
          <w:docPart w:val="GBC22222222222222222222222222222"/>
        </w:placeholder>
      </w:sdtPr>
      <w:sdtEndPr>
        <w:rPr>
          <w:rFonts w:hint="eastAsia" w:eastAsia="宋体" w:cs="宋体" w:asciiTheme="minorEastAsia" w:hAnsiTheme="minorEastAsia"/>
          <w:b w:val="0"/>
          <w:bCs w:val="0"/>
          <w:kern w:val="0"/>
          <w:sz w:val="21"/>
          <w:szCs w:val="21"/>
        </w:rPr>
      </w:sdtEndPr>
      <w:sdtContent>
        <w:p>
          <w:pPr>
            <w:pStyle w:val="5"/>
            <w:numPr>
              <w:ilvl w:val="0"/>
              <w:numId w:val="39"/>
            </w:numPr>
          </w:pPr>
          <w:r>
            <w:rPr>
              <w:rFonts w:hint="eastAsia"/>
            </w:rPr>
            <w:t>临时公告未披露的事项</w:t>
          </w:r>
        </w:p>
        <w:sdt>
          <w:sdtPr>
            <w:alias w:val="是否适用：关联债权债务往来_临时公告未披露的事项[双击切换]"/>
            <w:tag w:val="_GBC_d9a88c6705ef48d49848c2b93cb503f2"/>
            <w:id w:val="86572311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pPr>
                <w:rPr>
                  <w:rFonts w:asciiTheme="minorEastAsia" w:hAnsiTheme="minorEastAsia"/>
                  <w:szCs w:val="21"/>
                </w:rPr>
              </w:pPr>
            </w:p>
          </w:sdtContent>
        </w:sdt>
      </w:sdtContent>
    </w:sdt>
    <w:p>
      <w:pPr>
        <w:pStyle w:val="4"/>
        <w:numPr>
          <w:ilvl w:val="2"/>
          <w:numId w:val="5"/>
        </w:numPr>
        <w:rPr>
          <w:rFonts w:ascii="宋体" w:hAnsi="宋体"/>
        </w:rPr>
      </w:pPr>
      <w:bookmarkStart w:id="76" w:name="_Hlk89346519"/>
      <w:bookmarkStart w:id="77" w:name="_Hlk89953756"/>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865723116"/>
        <w:lock w:val="sdtLocked"/>
        <w:placeholder>
          <w:docPart w:val="GBC22222222222222222222222222222"/>
        </w:placeholder>
      </w:sdtPr>
      <w:sdtContent>
        <w:p>
          <w:pPr>
            <w:rPr>
              <w:color w:val="000000" w:themeColor="text1"/>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76"/>
    <w:p>
      <w:pPr>
        <w:rPr>
          <w:color w:val="000000" w:themeColor="text1"/>
          <w:szCs w:val="21"/>
        </w:rPr>
      </w:pPr>
    </w:p>
    <w:bookmarkEnd w:id="77"/>
    <w:sdt>
      <w:sdtPr>
        <w:rPr>
          <w:rFonts w:hint="eastAsia" w:ascii="宋体" w:hAnsi="宋体" w:cs="宋体"/>
          <w:b w:val="0"/>
          <w:bCs w:val="0"/>
          <w:kern w:val="0"/>
          <w:szCs w:val="21"/>
        </w:rPr>
        <w:alias w:val="模块:其他"/>
        <w:tag w:val="_SEC_fdaa9d4446c44111831efafcc3898613"/>
        <w:id w:val="865723118"/>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2"/>
              <w:numId w:val="5"/>
            </w:numPr>
            <w:rPr>
              <w:szCs w:val="21"/>
            </w:rPr>
          </w:pPr>
          <w:r>
            <w:rPr>
              <w:rFonts w:hint="eastAsia"/>
              <w:szCs w:val="21"/>
            </w:rPr>
            <w:t>其他</w:t>
          </w:r>
        </w:p>
        <w:sdt>
          <w:sdtPr>
            <w:rPr>
              <w:rFonts w:hint="eastAsia" w:asciiTheme="minorEastAsia" w:hAnsiTheme="minorEastAsia" w:eastAsiaTheme="minorEastAsia"/>
              <w:szCs w:val="21"/>
            </w:rPr>
            <w:alias w:val="是否适用：重大关联交易其他说明[双击切换]"/>
            <w:tag w:val="_GBC_49b04883b7a84a83b6a8bfec05cbb445"/>
            <w:id w:val="865723117"/>
            <w:lock w:val="sdtLocked"/>
            <w:placeholder>
              <w:docPart w:val="GBC22222222222222222222222222222"/>
            </w:placeholder>
          </w:sdtPr>
          <w:sdtEndPr>
            <w:rPr>
              <w:rFonts w:hint="eastAsia" w:asciiTheme="minorEastAsia" w:hAnsiTheme="minorEastAsia" w:eastAsiaTheme="minor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3"/>
        <w:numPr>
          <w:ilvl w:val="0"/>
          <w:numId w:val="32"/>
        </w:numPr>
      </w:pPr>
      <w:r>
        <w:rPr>
          <w:rFonts w:hint="eastAsia"/>
        </w:rPr>
        <w:t>重大合同及其履行情况</w:t>
      </w:r>
    </w:p>
    <w:p>
      <w:pPr>
        <w:pStyle w:val="4"/>
        <w:numPr>
          <w:ilvl w:val="0"/>
          <w:numId w:val="40"/>
        </w:numPr>
        <w:rPr>
          <w:szCs w:val="21"/>
        </w:rPr>
      </w:pPr>
      <w:r>
        <w:rPr>
          <w:szCs w:val="21"/>
        </w:rPr>
        <w:t>托管、承包、租赁事项</w:t>
      </w:r>
    </w:p>
    <w:sdt>
      <w:sdtPr>
        <w:rPr>
          <w:rFonts w:hint="eastAsia" w:ascii="Calibri" w:hAnsi="Calibri" w:eastAsia="宋体" w:cs="宋体"/>
          <w:b w:val="0"/>
          <w:bCs w:val="0"/>
          <w:kern w:val="0"/>
          <w:sz w:val="24"/>
          <w:szCs w:val="24"/>
        </w:rPr>
        <w:alias w:val="模块:托管情况"/>
        <w:tag w:val="_SEC_0543ebbac7a94a11b10d8648f7254d13"/>
        <w:id w:val="865723120"/>
        <w:lock w:val="sdtLocked"/>
        <w:placeholder>
          <w:docPart w:val="GBC22222222222222222222222222222"/>
        </w:placeholder>
      </w:sdtPr>
      <w:sdtEndPr>
        <w:rPr>
          <w:rFonts w:hint="eastAsia" w:ascii="宋体" w:hAnsi="宋体" w:eastAsia="宋体" w:cs="宋体"/>
          <w:b w:val="0"/>
          <w:bCs w:val="0"/>
          <w:kern w:val="0"/>
          <w:sz w:val="21"/>
          <w:szCs w:val="21"/>
          <w:shd w:val="pct10" w:color="auto" w:fill="FFFFFF"/>
        </w:rPr>
      </w:sdtEndPr>
      <w:sdtContent>
        <w:p>
          <w:pPr>
            <w:pStyle w:val="5"/>
            <w:numPr>
              <w:ilvl w:val="0"/>
              <w:numId w:val="41"/>
            </w:numPr>
          </w:pPr>
          <w:r>
            <w:rPr>
              <w:rFonts w:hint="eastAsia"/>
            </w:rPr>
            <w:t>托管情况</w:t>
          </w:r>
        </w:p>
        <w:sdt>
          <w:sdtPr>
            <w:alias w:val="是否适用：托管情况[双击切换]"/>
            <w:tag w:val="_GBC_f528f5eedb9346f6b0fbdbe3967882e7"/>
            <w:id w:val="86572311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shd w:val="pct10" w:color="auto" w:fill="FFFFFF"/>
            </w:rPr>
          </w:pPr>
        </w:p>
      </w:sdtContent>
    </w:sdt>
    <w:sdt>
      <w:sdtPr>
        <w:rPr>
          <w:rFonts w:ascii="Calibri" w:hAnsi="Calibri" w:eastAsia="宋体" w:cs="宋体"/>
          <w:b w:val="0"/>
          <w:bCs w:val="0"/>
          <w:kern w:val="0"/>
          <w:sz w:val="24"/>
          <w:szCs w:val="24"/>
        </w:rPr>
        <w:alias w:val="模块:承包情况                         ..."/>
        <w:tag w:val="_SEC_d3e1b22be78242a687413a4836e3009d"/>
        <w:id w:val="865723122"/>
        <w:lock w:val="sdtLocked"/>
        <w:placeholder>
          <w:docPart w:val="GBC22222222222222222222222222222"/>
        </w:placeholder>
      </w:sdtPr>
      <w:sdtEndPr>
        <w:rPr>
          <w:rFonts w:hint="eastAsia" w:ascii="宋体" w:hAnsi="宋体" w:eastAsia="宋体" w:cs="宋体"/>
          <w:b w:val="0"/>
          <w:bCs w:val="0"/>
          <w:kern w:val="0"/>
          <w:sz w:val="21"/>
          <w:szCs w:val="21"/>
          <w:shd w:val="pct10" w:color="auto" w:fill="FFFFFF"/>
        </w:rPr>
      </w:sdtEndPr>
      <w:sdtContent>
        <w:p>
          <w:pPr>
            <w:pStyle w:val="5"/>
            <w:numPr>
              <w:ilvl w:val="0"/>
              <w:numId w:val="41"/>
            </w:numPr>
          </w:pPr>
          <w:r>
            <w:t>承包情况</w:t>
          </w:r>
        </w:p>
        <w:sdt>
          <w:sdtPr>
            <w:alias w:val="是否适用：承包情况[双击切换]"/>
            <w:tag w:val="_GBC_ef45025eb2d84c78907511abec2bd222"/>
            <w:id w:val="865723121"/>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shd w:val="pct10" w:color="auto" w:fill="FFFFFF"/>
            </w:rPr>
          </w:pPr>
        </w:p>
      </w:sdtContent>
    </w:sdt>
    <w:sdt>
      <w:sdtPr>
        <w:rPr>
          <w:rFonts w:ascii="Calibri" w:hAnsi="Calibri" w:eastAsia="宋体" w:cs="宋体"/>
          <w:b w:val="0"/>
          <w:bCs w:val="0"/>
          <w:kern w:val="0"/>
          <w:sz w:val="24"/>
          <w:szCs w:val="24"/>
        </w:rPr>
        <w:alias w:val="模块:租赁情况                         ..."/>
        <w:tag w:val="_SEC_7309f241ae4444d2a7c93aa358e3eb6f"/>
        <w:id w:val="865723124"/>
        <w:lock w:val="sdtLocked"/>
        <w:placeholder>
          <w:docPart w:val="GBC22222222222222222222222222222"/>
        </w:placeholder>
      </w:sdtPr>
      <w:sdtEndPr>
        <w:rPr>
          <w:rFonts w:hint="eastAsia" w:ascii="宋体" w:hAnsi="宋体" w:eastAsia="宋体" w:cs="宋体"/>
          <w:b w:val="0"/>
          <w:bCs w:val="0"/>
          <w:kern w:val="0"/>
          <w:sz w:val="21"/>
          <w:szCs w:val="21"/>
          <w:shd w:val="pct10" w:color="auto" w:fill="FFFFFF"/>
        </w:rPr>
      </w:sdtEndPr>
      <w:sdtContent>
        <w:p>
          <w:pPr>
            <w:pStyle w:val="5"/>
            <w:numPr>
              <w:ilvl w:val="0"/>
              <w:numId w:val="41"/>
            </w:numPr>
          </w:pPr>
          <w:r>
            <w:t>租赁情况</w:t>
          </w:r>
        </w:p>
        <w:sdt>
          <w:sdtPr>
            <w:alias w:val="是否适用：租赁情况[双击切换]"/>
            <w:tag w:val="_GBC_c1d0d78a63af4d48a7427277c2db3ac5"/>
            <w:id w:val="86572312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shd w:val="pct10" w:color="auto" w:fill="FFFFFF"/>
            </w:rPr>
          </w:pPr>
        </w:p>
      </w:sdtContent>
    </w:sdt>
    <w:p>
      <w:pPr>
        <w:rPr>
          <w:szCs w:val="21"/>
          <w:shd w:val="pct10" w:color="auto" w:fill="FFFFFF"/>
        </w:rPr>
        <w:sectPr>
          <w:pgSz w:w="11906" w:h="16838"/>
          <w:pgMar w:top="1525" w:right="1276" w:bottom="1440" w:left="1797" w:header="855" w:footer="992" w:gutter="0"/>
          <w:cols w:space="425" w:num="1"/>
          <w:docGrid w:linePitch="312" w:charSpace="0"/>
        </w:sectPr>
      </w:pPr>
    </w:p>
    <w:p>
      <w:pPr>
        <w:pStyle w:val="4"/>
        <w:numPr>
          <w:ilvl w:val="0"/>
          <w:numId w:val="40"/>
        </w:numPr>
        <w:rPr>
          <w:szCs w:val="21"/>
        </w:rPr>
      </w:pPr>
      <w:bookmarkStart w:id="78" w:name="_Toc342491982"/>
      <w:bookmarkStart w:id="79" w:name="_Toc342565974"/>
      <w:bookmarkStart w:id="80" w:name="OLE_LINK2"/>
      <w:bookmarkStart w:id="81" w:name="OLE_LINK3"/>
      <w:r>
        <w:rPr>
          <w:rFonts w:hint="eastAsia"/>
          <w:szCs w:val="21"/>
        </w:rPr>
        <w:t>担保情况</w:t>
      </w:r>
      <w:bookmarkEnd w:id="78"/>
      <w:bookmarkEnd w:id="79"/>
    </w:p>
    <w:bookmarkEnd w:id="80"/>
    <w:bookmarkEnd w:id="81"/>
    <w:sdt>
      <w:sdtPr>
        <w:rPr>
          <w:szCs w:val="21"/>
        </w:rPr>
        <w:alias w:val="是否适用：担保情况[双击切换]"/>
        <w:tag w:val="_GBC_b799a3ac65f846e088fcfb2dd2591ede"/>
        <w:id w:val="865723125"/>
        <w:lock w:val="sdtConten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865723173"/>
        <w:lock w:val="sdtLocked"/>
        <w:placeholder>
          <w:docPart w:val="GBC22222222222222222222222222222"/>
        </w:placeholder>
      </w:sdtPr>
      <w:sdtEndPr>
        <w:rPr>
          <w:rFonts w:hint="eastAsia" w:asciiTheme="minorEastAsia" w:hAnsiTheme="minorEastAsia" w:eastAsiaTheme="minorEastAsia"/>
          <w:szCs w:val="21"/>
        </w:rPr>
      </w:sdtEndPr>
      <w:sdtContent>
        <w:p>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8657231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rFonts w:hint="eastAsia"/>
              <w:szCs w:val="21"/>
            </w:rPr>
            <w:t xml:space="preserve">  币种</w:t>
          </w:r>
          <w:r>
            <w:rPr>
              <w:szCs w:val="21"/>
            </w:rPr>
            <w:t xml:space="preserve">: </w:t>
          </w:r>
          <w:sdt>
            <w:sdtPr>
              <w:rPr>
                <w:szCs w:val="21"/>
              </w:rPr>
              <w:alias w:val="币种：担保情况"/>
              <w:tag w:val="_GBC_bbefcb25022447d5a0413d1c31ffdf65"/>
              <w:id w:val="8657231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882"/>
            <w:gridCol w:w="921"/>
            <w:gridCol w:w="916"/>
            <w:gridCol w:w="1023"/>
            <w:gridCol w:w="920"/>
            <w:gridCol w:w="920"/>
            <w:gridCol w:w="393"/>
            <w:gridCol w:w="521"/>
            <w:gridCol w:w="920"/>
            <w:gridCol w:w="920"/>
            <w:gridCol w:w="920"/>
            <w:gridCol w:w="917"/>
            <w:gridCol w:w="1023"/>
            <w:gridCol w:w="917"/>
            <w:gridCol w:w="920"/>
            <w:gridCol w:w="9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47382e1239d84f6f9f6c6d4b5423c108"/>
                <w:id w:val="865723128"/>
                <w:lock w:val="sdtLocked"/>
              </w:sdt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jc w:val="center"/>
                      <w:rPr>
                        <w:szCs w:val="21"/>
                      </w:rPr>
                    </w:pPr>
                    <w:bookmarkStart w:id="82" w:name="_Hlk89953992"/>
                    <w:r>
                      <w:rPr>
                        <w:rFonts w:hint="eastAsia"/>
                        <w:szCs w:val="21"/>
                      </w:rPr>
                      <w:t>公司对外担保情况（不包括对子公司的担保）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09b2f27e560e48058fd68a7522d4a21e"/>
                <w:id w:val="865723129"/>
                <w:lock w:val="sdtLocked"/>
              </w:sdtPr>
              <w:sdtContent>
                <w:tc>
                  <w:tcPr>
                    <w:tcW w:w="317" w:type="pct"/>
                    <w:tcBorders>
                      <w:top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担保方</w:t>
                    </w:r>
                  </w:p>
                </w:tc>
              </w:sdtContent>
            </w:sdt>
            <w:sdt>
              <w:sdtPr>
                <w:tag w:val="_PLD_3052f673b3b345d3a7af649302ea170a"/>
                <w:id w:val="865723130"/>
                <w:lock w:val="sdtLocked"/>
              </w:sdtPr>
              <w:sdtContent>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865723131"/>
                <w:lock w:val="sdtLocked"/>
              </w:sdt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被担保方</w:t>
                    </w:r>
                  </w:p>
                </w:tc>
              </w:sdtContent>
            </w:sdt>
            <w:sdt>
              <w:sdtPr>
                <w:tag w:val="_PLD_f9cf7e1836e34488ac32b6e51fd66dc5"/>
                <w:id w:val="865723132"/>
                <w:lock w:val="sdtLocked"/>
              </w:sdtPr>
              <w:sdtContent>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担保金额</w:t>
                    </w:r>
                  </w:p>
                </w:tc>
              </w:sdtContent>
            </w:sdt>
            <w:sdt>
              <w:sdtPr>
                <w:tag w:val="_PLD_2605894e64924e1c948143543497b30d"/>
                <w:id w:val="865723133"/>
                <w:lock w:val="sdtLocked"/>
              </w:sdt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865723134"/>
                <w:lock w:val="sdtLocked"/>
              </w:sdt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w:t>
                    </w:r>
                  </w:p>
                  <w:p>
                    <w:pPr>
                      <w:autoSpaceDE w:val="0"/>
                      <w:autoSpaceDN w:val="0"/>
                      <w:adjustRightInd w:val="0"/>
                      <w:jc w:val="center"/>
                      <w:rPr>
                        <w:szCs w:val="21"/>
                      </w:rPr>
                    </w:pPr>
                    <w:r>
                      <w:rPr>
                        <w:rFonts w:hint="eastAsia"/>
                        <w:szCs w:val="21"/>
                      </w:rPr>
                      <w:t>起始日</w:t>
                    </w:r>
                  </w:p>
                </w:tc>
              </w:sdtContent>
            </w:sdt>
            <w:sdt>
              <w:sdtPr>
                <w:tag w:val="_PLD_6e343c1dd4c74b69b0e199f26aa0fc9a"/>
                <w:id w:val="865723135"/>
                <w:lock w:val="sdtLocked"/>
              </w:sdtPr>
              <w:sdtContent>
                <w:tc>
                  <w:tcPr>
                    <w:tcW w:w="3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w:t>
                    </w:r>
                  </w:p>
                  <w:p>
                    <w:pPr>
                      <w:autoSpaceDE w:val="0"/>
                      <w:autoSpaceDN w:val="0"/>
                      <w:adjustRightInd w:val="0"/>
                      <w:jc w:val="center"/>
                      <w:rPr>
                        <w:szCs w:val="21"/>
                      </w:rPr>
                    </w:pPr>
                    <w:r>
                      <w:rPr>
                        <w:rFonts w:hint="eastAsia"/>
                        <w:szCs w:val="21"/>
                      </w:rPr>
                      <w:t>到期日</w:t>
                    </w:r>
                  </w:p>
                </w:tc>
              </w:sdtContent>
            </w:sdt>
            <w:sdt>
              <w:sdtPr>
                <w:tag w:val="_PLD_85aaff970e8f4025937e66f170fc0506"/>
                <w:id w:val="865723136"/>
                <w:lock w:val="sdtLocked"/>
              </w:sdt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担保类型</w:t>
                    </w:r>
                  </w:p>
                </w:tc>
              </w:sdtContent>
            </w:sdt>
            <w:tc>
              <w:tcPr>
                <w:tcW w:w="330" w:type="pct"/>
                <w:tcBorders>
                  <w:top w:val="single" w:color="auto" w:sz="4" w:space="0"/>
                  <w:left w:val="single" w:color="auto" w:sz="4" w:space="0"/>
                  <w:bottom w:val="single" w:color="auto" w:sz="4" w:space="0"/>
                  <w:right w:val="single" w:color="auto" w:sz="4" w:space="0"/>
                </w:tcBorders>
                <w:vAlign w:val="center"/>
              </w:tcPr>
              <w:sdt>
                <w:sdtPr>
                  <w:rPr>
                    <w:rFonts w:hint="eastAsia"/>
                  </w:rPr>
                  <w:tag w:val="_PLD_d3fba9513b1742aeaf3cc03df939c3a6"/>
                  <w:id w:val="865723137"/>
                  <w:lock w:val="sdtLocked"/>
                </w:sdtPr>
                <w:sdtEndPr>
                  <w:rPr>
                    <w:rFonts w:hint="eastAsia"/>
                  </w:rPr>
                </w:sdtEndPr>
                <w:sdtContent>
                  <w:p>
                    <w:pPr>
                      <w:autoSpaceDE w:val="0"/>
                      <w:autoSpaceDN w:val="0"/>
                      <w:adjustRightInd w:val="0"/>
                      <w:jc w:val="center"/>
                    </w:pPr>
                    <w:r>
                      <w:rPr>
                        <w:rFonts w:hint="eastAsia"/>
                      </w:rPr>
                      <w:t>担保物（如有）</w:t>
                    </w:r>
                  </w:p>
                </w:sdtContent>
              </w:sdt>
            </w:tc>
            <w:sdt>
              <w:sdtPr>
                <w:tag w:val="_PLD_fad806f6aed64969a9f500fc55be69bf"/>
                <w:id w:val="865723138"/>
                <w:lock w:val="sdtLocked"/>
              </w:sdt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865723139"/>
                <w:lock w:val="sdtLocked"/>
              </w:sdt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担保是否逾期</w:t>
                    </w:r>
                  </w:p>
                </w:tc>
              </w:sdtContent>
            </w:sdt>
            <w:sdt>
              <w:sdtPr>
                <w:tag w:val="_PLD_e8056176e7db49139234d1df564f5c3a"/>
                <w:id w:val="865723140"/>
                <w:lock w:val="sdtLocked"/>
              </w:sdtPr>
              <w:sdtContent>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担保逾期金额</w:t>
                    </w:r>
                  </w:p>
                </w:tc>
              </w:sdtContent>
            </w:sdt>
            <w:sdt>
              <w:sdtPr>
                <w:tag w:val="_PLD_5c3b131124fe44f69e4b80cf09f7c755"/>
                <w:id w:val="865723141"/>
                <w:lock w:val="sdtLocked"/>
              </w:sdt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反担保情况</w:t>
                    </w:r>
                  </w:p>
                </w:tc>
              </w:sdtContent>
            </w:sdt>
            <w:sdt>
              <w:sdtPr>
                <w:tag w:val="_PLD_5a6bd2cf94e8411b88105a2190c5b4fb"/>
                <w:id w:val="865723142"/>
                <w:lock w:val="sdtLocked"/>
              </w:sdt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865723143"/>
                <w:lock w:val="sdtLocked"/>
              </w:sdtPr>
              <w:sdtContent>
                <w:tc>
                  <w:tcPr>
                    <w:tcW w:w="322"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szCs w:val="21"/>
                      </w:rPr>
                    </w:pPr>
                    <w:r>
                      <w:rPr>
                        <w:rFonts w:hint="eastAsia"/>
                        <w:szCs w:val="21"/>
                      </w:rPr>
                      <w:t>关联</w:t>
                    </w:r>
                  </w:p>
                  <w:p>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865723150"/>
              <w:lock w:val="sdtLocked"/>
              <w:placeholder>
                <w:docPart w:val="GBC11111111111111111111111111111"/>
              </w:placeholder>
            </w:sdtPr>
            <w:sdtEndPr>
              <w:rPr>
                <w:color w:val="FFC000"/>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17" w:type="pct"/>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p>
                </w:tc>
                <w:sdt>
                  <w:sdtPr>
                    <w:rPr>
                      <w:rFonts w:hint="eastAsia"/>
                      <w:bCs/>
                      <w:szCs w:val="21"/>
                    </w:rPr>
                    <w:alias w:val="担保方与上市公司的关联关系"/>
                    <w:tag w:val="_GBC_2e446bc7579a4b2db650f2a8defc57b7"/>
                    <w:id w:val="865723144"/>
                    <w:lock w:val="sdtLocked"/>
                    <w:showingPlcHdr/>
                    <w:comboBox>
                      <w:listItem w:displayText="公司本部" w:value="公司本部"/>
                      <w:listItem w:displayText="控股子公司" w:value="控股子公司"/>
                      <w:listItem w:displayText="全资子公司" w:value="全资子公司"/>
                    </w:comboBox>
                  </w:sdtPr>
                  <w:sdtEndPr>
                    <w:rPr>
                      <w:rFonts w:hint="eastAsia"/>
                      <w:bCs/>
                      <w:szCs w:val="21"/>
                    </w:rPr>
                  </w:sdtEndPr>
                  <w:sdtContent>
                    <w:tc>
                      <w:tcPr>
                        <w:tcW w:w="331"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color w:val="FFC000"/>
                            <w:szCs w:val="21"/>
                          </w:rPr>
                        </w:pPr>
                        <w:r>
                          <w:rPr>
                            <w:rFonts w:hint="eastAsia"/>
                          </w:rPr>
                          <w:t>　</w:t>
                        </w:r>
                      </w:p>
                    </w:tc>
                  </w:sdtContent>
                </w:sdt>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p>
                </w:tc>
                <w:tc>
                  <w:tcPr>
                    <w:tcW w:w="3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ind w:right="84" w:rightChars="40"/>
                      <w:jc w:val="right"/>
                      <w:rPr>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p>
                </w:tc>
                <w:tc>
                  <w:tcPr>
                    <w:tcW w:w="328" w:type="pct"/>
                    <w:gridSpan w:val="2"/>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p>
                </w:tc>
                <w:sdt>
                  <w:sdtPr>
                    <w:rPr>
                      <w:szCs w:val="21"/>
                    </w:rPr>
                    <w:alias w:val="担保类型"/>
                    <w:tag w:val="_GBC_affd72f534db4dbea735ffb69233d55c"/>
                    <w:id w:val="865723145"/>
                    <w:lock w:val="sdtLocked"/>
                    <w:showingPlcHdr/>
                    <w:comboBox>
                      <w:listItem w:displayText="一般担保" w:value="一般担保"/>
                      <w:listItem w:displayText="连带责任担保" w:value="连带责任担保"/>
                    </w:comboBox>
                  </w:sdtPr>
                  <w:sdtEndPr>
                    <w:rPr>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color w:val="FFC000"/>
                            <w:szCs w:val="21"/>
                          </w:rPr>
                        </w:pPr>
                        <w:r>
                          <w:rPr>
                            <w:rFonts w:hint="eastAsia"/>
                          </w:rPr>
                          <w:t>　</w:t>
                        </w:r>
                      </w:p>
                    </w:tc>
                  </w:sdtContent>
                </w:sdt>
                <w:tc>
                  <w:tcPr>
                    <w:tcW w:w="330" w:type="pct"/>
                    <w:tcBorders>
                      <w:top w:val="single" w:color="auto" w:sz="4" w:space="0"/>
                      <w:left w:val="single" w:color="auto" w:sz="4" w:space="0"/>
                      <w:bottom w:val="single" w:color="auto" w:sz="4" w:space="0"/>
                      <w:right w:val="single" w:color="auto" w:sz="4" w:space="0"/>
                    </w:tcBorders>
                  </w:tcPr>
                  <w:p>
                    <w:pPr>
                      <w:autoSpaceDE w:val="0"/>
                      <w:autoSpaceDN w:val="0"/>
                      <w:adjustRightInd w:val="0"/>
                      <w:rPr>
                        <w:bCs/>
                        <w:szCs w:val="21"/>
                      </w:rPr>
                    </w:pPr>
                  </w:p>
                </w:tc>
                <w:sdt>
                  <w:sdtPr>
                    <w:rPr>
                      <w:rFonts w:hint="eastAsia"/>
                      <w:bCs/>
                      <w:szCs w:val="21"/>
                    </w:rPr>
                    <w:alias w:val="担保是否已经履行完毕"/>
                    <w:tag w:val="_GBC_61f81248895641f4b3a03b6d7bf72a1b"/>
                    <w:id w:val="865723146"/>
                    <w:lock w:val="sdtLocked"/>
                    <w:showingPlcHdr/>
                    <w:comboBox>
                      <w:listItem w:displayText="是" w:value="true"/>
                      <w:listItem w:displayText="否" w:value="false"/>
                    </w:comboBox>
                  </w:sdtPr>
                  <w:sdtEndPr>
                    <w:rPr>
                      <w:rFonts w:hint="eastAsia"/>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color w:val="FFC000"/>
                            <w:szCs w:val="21"/>
                          </w:rPr>
                        </w:pPr>
                        <w:r>
                          <w:rPr>
                            <w:rFonts w:hint="eastAsia"/>
                          </w:rPr>
                          <w:t>　</w:t>
                        </w:r>
                      </w:p>
                    </w:tc>
                  </w:sdtContent>
                </w:sdt>
                <w:sdt>
                  <w:sdtPr>
                    <w:rPr>
                      <w:rFonts w:hint="eastAsia"/>
                      <w:bCs/>
                      <w:szCs w:val="21"/>
                    </w:rPr>
                    <w:alias w:val="担保是否逾期"/>
                    <w:tag w:val="_GBC_c6b9d1f792064d3f8a852d307386846b"/>
                    <w:id w:val="865723147"/>
                    <w:lock w:val="sdtLocked"/>
                    <w:showingPlcHdr/>
                    <w:comboBox>
                      <w:listItem w:displayText="是" w:value="true"/>
                      <w:listItem w:displayText="否" w:value="false"/>
                    </w:comboBox>
                  </w:sdtPr>
                  <w:sdtEndPr>
                    <w:rPr>
                      <w:rFonts w:hint="eastAsia"/>
                      <w:bCs/>
                      <w:szCs w:val="21"/>
                    </w:rPr>
                  </w:sdtEndPr>
                  <w:sdtContent>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color w:val="FFC000"/>
                            <w:szCs w:val="21"/>
                          </w:rPr>
                        </w:pPr>
                        <w:r>
                          <w:rPr>
                            <w:rFonts w:hint="eastAsia"/>
                          </w:rPr>
                          <w:t>　</w:t>
                        </w:r>
                      </w:p>
                    </w:tc>
                  </w:sdtContent>
                </w:sdt>
                <w:tc>
                  <w:tcPr>
                    <w:tcW w:w="3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ind w:right="84" w:rightChars="40"/>
                      <w:jc w:val="right"/>
                      <w:rPr>
                        <w:bCs/>
                        <w:szCs w:val="21"/>
                      </w:rPr>
                    </w:pPr>
                  </w:p>
                </w:tc>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p>
                </w:tc>
                <w:sdt>
                  <w:sdtPr>
                    <w:rPr>
                      <w:rFonts w:hint="eastAsia"/>
                      <w:bCs/>
                      <w:szCs w:val="21"/>
                    </w:rPr>
                    <w:alias w:val="是否为关联方担保"/>
                    <w:tag w:val="_GBC_44554d74636543a7b143039de86b7494"/>
                    <w:id w:val="865723148"/>
                    <w:lock w:val="sdtLocked"/>
                    <w:showingPlcHdr/>
                    <w:comboBox>
                      <w:listItem w:displayText="是" w:value="true"/>
                      <w:listItem w:displayText="否" w:value="false"/>
                    </w:comboBox>
                  </w:sdtPr>
                  <w:sdtEndPr>
                    <w:rPr>
                      <w:rFonts w:hint="eastAsia"/>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color w:val="FFC000"/>
                            <w:szCs w:val="21"/>
                          </w:rPr>
                        </w:pPr>
                        <w:r>
                          <w:rPr>
                            <w:rFonts w:hint="eastAsia"/>
                          </w:rPr>
                          <w:t>　</w:t>
                        </w:r>
                      </w:p>
                    </w:tc>
                  </w:sdtContent>
                </w:sdt>
                <w:sdt>
                  <w:sdtPr>
                    <w:rPr>
                      <w:szCs w:val="21"/>
                    </w:rPr>
                    <w:alias w:val="担保中关联方与本公司关系"/>
                    <w:tag w:val="_GBC_e5957983376e4a2f82b346d338d10f40"/>
                    <w:id w:val="86572314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szCs w:val="21"/>
                    </w:rPr>
                  </w:sdtEndPr>
                  <w:sdtContent>
                    <w:tc>
                      <w:tcPr>
                        <w:tcW w:w="322" w:type="pct"/>
                        <w:tcBorders>
                          <w:top w:val="single" w:color="auto" w:sz="4" w:space="0"/>
                          <w:left w:val="single" w:color="auto" w:sz="4" w:space="0"/>
                          <w:bottom w:val="single" w:color="auto" w:sz="4" w:space="0"/>
                        </w:tcBorders>
                        <w:shd w:val="clear" w:color="auto" w:fill="auto"/>
                      </w:tcPr>
                      <w:p>
                        <w:pPr>
                          <w:autoSpaceDE w:val="0"/>
                          <w:autoSpaceDN w:val="0"/>
                          <w:adjustRightInd w:val="0"/>
                          <w:jc w:val="center"/>
                          <w:rPr>
                            <w:color w:val="FFC000"/>
                            <w:szCs w:val="21"/>
                          </w:rPr>
                        </w:pPr>
                        <w:r>
                          <w:rPr>
                            <w:rFonts w:hint="eastAsia"/>
                          </w:rPr>
                          <w:t>　</w:t>
                        </w:r>
                      </w:p>
                    </w:tc>
                  </w:sdtContent>
                </w:sdt>
              </w:tr>
            </w:sdtContent>
          </w:sdt>
          <w:sdt>
            <w:sdtPr>
              <w:rPr>
                <w:szCs w:val="21"/>
              </w:rPr>
              <w:alias w:val="担保情况"/>
              <w:tag w:val="_TUP_adfe31bb7cfc45dc9c8db4004890a06c"/>
              <w:id w:val="865723157"/>
              <w:lock w:val="sdtLocked"/>
              <w:placeholder>
                <w:docPart w:val="GBC11111111111111111111111111111"/>
              </w:placeholder>
            </w:sdtPr>
            <w:sdtEndPr>
              <w:rPr>
                <w:color w:val="FFC000"/>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17" w:type="pct"/>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p>
                </w:tc>
                <w:sdt>
                  <w:sdtPr>
                    <w:rPr>
                      <w:rFonts w:hint="eastAsia"/>
                      <w:bCs/>
                      <w:szCs w:val="21"/>
                    </w:rPr>
                    <w:alias w:val="担保方与上市公司的关联关系"/>
                    <w:tag w:val="_GBC_2e446bc7579a4b2db650f2a8defc57b7"/>
                    <w:id w:val="865723151"/>
                    <w:lock w:val="sdtLocked"/>
                    <w:showingPlcHdr/>
                    <w:comboBox>
                      <w:listItem w:displayText="公司本部" w:value="公司本部"/>
                      <w:listItem w:displayText="控股子公司" w:value="控股子公司"/>
                      <w:listItem w:displayText="全资子公司" w:value="全资子公司"/>
                    </w:comboBox>
                  </w:sdtPr>
                  <w:sdtEndPr>
                    <w:rPr>
                      <w:rFonts w:hint="eastAsia"/>
                      <w:bCs/>
                      <w:szCs w:val="21"/>
                    </w:rPr>
                  </w:sdtEndPr>
                  <w:sdtContent>
                    <w:tc>
                      <w:tcPr>
                        <w:tcW w:w="331"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color w:val="FFC000"/>
                            <w:szCs w:val="21"/>
                          </w:rPr>
                        </w:pPr>
                        <w:r>
                          <w:rPr>
                            <w:rFonts w:hint="eastAsia"/>
                          </w:rPr>
                          <w:t>　</w:t>
                        </w:r>
                      </w:p>
                    </w:tc>
                  </w:sdtContent>
                </w:sdt>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p>
                </w:tc>
                <w:tc>
                  <w:tcPr>
                    <w:tcW w:w="3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ind w:right="84" w:rightChars="40"/>
                      <w:jc w:val="right"/>
                      <w:rPr>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p>
                </w:tc>
                <w:tc>
                  <w:tcPr>
                    <w:tcW w:w="328" w:type="pct"/>
                    <w:gridSpan w:val="2"/>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p>
                </w:tc>
                <w:sdt>
                  <w:sdtPr>
                    <w:rPr>
                      <w:szCs w:val="21"/>
                    </w:rPr>
                    <w:alias w:val="担保类型"/>
                    <w:tag w:val="_GBC_affd72f534db4dbea735ffb69233d55c"/>
                    <w:id w:val="865723152"/>
                    <w:lock w:val="sdtLocked"/>
                    <w:showingPlcHdr/>
                    <w:comboBox>
                      <w:listItem w:displayText="一般担保" w:value="一般担保"/>
                      <w:listItem w:displayText="连带责任担保" w:value="连带责任担保"/>
                    </w:comboBox>
                  </w:sdtPr>
                  <w:sdtEndPr>
                    <w:rPr>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color w:val="FFC000"/>
                            <w:szCs w:val="21"/>
                          </w:rPr>
                        </w:pPr>
                        <w:r>
                          <w:rPr>
                            <w:rFonts w:hint="eastAsia"/>
                          </w:rPr>
                          <w:t>　</w:t>
                        </w:r>
                      </w:p>
                    </w:tc>
                  </w:sdtContent>
                </w:sdt>
                <w:tc>
                  <w:tcPr>
                    <w:tcW w:w="330" w:type="pct"/>
                    <w:tcBorders>
                      <w:top w:val="single" w:color="auto" w:sz="4" w:space="0"/>
                      <w:left w:val="single" w:color="auto" w:sz="4" w:space="0"/>
                      <w:bottom w:val="single" w:color="auto" w:sz="4" w:space="0"/>
                      <w:right w:val="single" w:color="auto" w:sz="4" w:space="0"/>
                    </w:tcBorders>
                  </w:tcPr>
                  <w:p>
                    <w:pPr>
                      <w:autoSpaceDE w:val="0"/>
                      <w:autoSpaceDN w:val="0"/>
                      <w:adjustRightInd w:val="0"/>
                      <w:rPr>
                        <w:bCs/>
                        <w:szCs w:val="21"/>
                      </w:rPr>
                    </w:pPr>
                  </w:p>
                </w:tc>
                <w:sdt>
                  <w:sdtPr>
                    <w:rPr>
                      <w:rFonts w:hint="eastAsia"/>
                      <w:bCs/>
                      <w:szCs w:val="21"/>
                    </w:rPr>
                    <w:alias w:val="担保是否已经履行完毕"/>
                    <w:tag w:val="_GBC_61f81248895641f4b3a03b6d7bf72a1b"/>
                    <w:id w:val="865723153"/>
                    <w:lock w:val="sdtLocked"/>
                    <w:showingPlcHdr/>
                    <w:comboBox>
                      <w:listItem w:displayText="是" w:value="true"/>
                      <w:listItem w:displayText="否" w:value="false"/>
                    </w:comboBox>
                  </w:sdtPr>
                  <w:sdtEndPr>
                    <w:rPr>
                      <w:rFonts w:hint="eastAsia"/>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color w:val="FFC000"/>
                            <w:szCs w:val="21"/>
                          </w:rPr>
                        </w:pPr>
                        <w:r>
                          <w:rPr>
                            <w:rFonts w:hint="eastAsia"/>
                          </w:rPr>
                          <w:t>　</w:t>
                        </w:r>
                      </w:p>
                    </w:tc>
                  </w:sdtContent>
                </w:sdt>
                <w:sdt>
                  <w:sdtPr>
                    <w:rPr>
                      <w:rFonts w:hint="eastAsia"/>
                      <w:bCs/>
                      <w:szCs w:val="21"/>
                    </w:rPr>
                    <w:alias w:val="担保是否逾期"/>
                    <w:tag w:val="_GBC_c6b9d1f792064d3f8a852d307386846b"/>
                    <w:id w:val="865723154"/>
                    <w:lock w:val="sdtLocked"/>
                    <w:showingPlcHdr/>
                    <w:comboBox>
                      <w:listItem w:displayText="是" w:value="true"/>
                      <w:listItem w:displayText="否" w:value="false"/>
                    </w:comboBox>
                  </w:sdtPr>
                  <w:sdtEndPr>
                    <w:rPr>
                      <w:rFonts w:hint="eastAsia"/>
                      <w:bCs/>
                      <w:szCs w:val="21"/>
                    </w:rPr>
                  </w:sdtEndPr>
                  <w:sdtContent>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color w:val="FFC000"/>
                            <w:szCs w:val="21"/>
                          </w:rPr>
                        </w:pPr>
                        <w:r>
                          <w:rPr>
                            <w:rFonts w:hint="eastAsia"/>
                          </w:rPr>
                          <w:t>　</w:t>
                        </w:r>
                      </w:p>
                    </w:tc>
                  </w:sdtContent>
                </w:sdt>
                <w:tc>
                  <w:tcPr>
                    <w:tcW w:w="3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ind w:right="84" w:rightChars="40"/>
                      <w:jc w:val="right"/>
                      <w:rPr>
                        <w:bCs/>
                        <w:szCs w:val="21"/>
                      </w:rPr>
                    </w:pPr>
                  </w:p>
                </w:tc>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p>
                </w:tc>
                <w:sdt>
                  <w:sdtPr>
                    <w:rPr>
                      <w:rFonts w:hint="eastAsia"/>
                      <w:bCs/>
                      <w:szCs w:val="21"/>
                    </w:rPr>
                    <w:alias w:val="是否为关联方担保"/>
                    <w:tag w:val="_GBC_44554d74636543a7b143039de86b7494"/>
                    <w:id w:val="865723155"/>
                    <w:lock w:val="sdtLocked"/>
                    <w:showingPlcHdr/>
                    <w:comboBox>
                      <w:listItem w:displayText="是" w:value="true"/>
                      <w:listItem w:displayText="否" w:value="false"/>
                    </w:comboBox>
                  </w:sdtPr>
                  <w:sdtEndPr>
                    <w:rPr>
                      <w:rFonts w:hint="eastAsia"/>
                      <w:bCs/>
                      <w:szCs w:val="21"/>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color w:val="FFC000"/>
                            <w:szCs w:val="21"/>
                          </w:rPr>
                        </w:pPr>
                        <w:r>
                          <w:rPr>
                            <w:rFonts w:hint="eastAsia"/>
                          </w:rPr>
                          <w:t>　</w:t>
                        </w:r>
                      </w:p>
                    </w:tc>
                  </w:sdtContent>
                </w:sdt>
                <w:sdt>
                  <w:sdtPr>
                    <w:rPr>
                      <w:szCs w:val="21"/>
                    </w:rPr>
                    <w:alias w:val="担保中关联方与本公司关系"/>
                    <w:tag w:val="_GBC_e5957983376e4a2f82b346d338d10f40"/>
                    <w:id w:val="86572315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szCs w:val="21"/>
                    </w:rPr>
                  </w:sdtEndPr>
                  <w:sdtContent>
                    <w:tc>
                      <w:tcPr>
                        <w:tcW w:w="322" w:type="pct"/>
                        <w:tcBorders>
                          <w:top w:val="single" w:color="auto" w:sz="4" w:space="0"/>
                          <w:left w:val="single" w:color="auto" w:sz="4" w:space="0"/>
                          <w:bottom w:val="single" w:color="auto" w:sz="4" w:space="0"/>
                        </w:tcBorders>
                        <w:shd w:val="clear" w:color="auto" w:fill="auto"/>
                      </w:tcPr>
                      <w:p>
                        <w:pPr>
                          <w:autoSpaceDE w:val="0"/>
                          <w:autoSpaceDN w:val="0"/>
                          <w:adjustRightInd w:val="0"/>
                          <w:jc w:val="center"/>
                          <w:rPr>
                            <w:color w:val="FFC000"/>
                            <w:szCs w:val="21"/>
                          </w:rPr>
                        </w:pPr>
                        <w:r>
                          <w:rPr>
                            <w:rFonts w:hint="eastAsia"/>
                          </w:rPr>
                          <w:t>　</w:t>
                        </w:r>
                      </w:p>
                    </w:tc>
                  </w:sdtContent>
                </w:sdt>
              </w:tr>
            </w:sdtContent>
          </w:sd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2bbd9416ce924e6baeb4bb75899a8721"/>
                <w:id w:val="865723158"/>
                <w:lock w:val="sdtLocked"/>
              </w:sdtPr>
              <w:sdtContent>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报告期内担保发生额合计（不包括对子公司的担保）</w:t>
                    </w:r>
                  </w:p>
                </w:tc>
              </w:sdtContent>
            </w:sdt>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562efe08f15c423d939d15f2bf8a1274"/>
                <w:id w:val="865723159"/>
                <w:lock w:val="sdtLocked"/>
              </w:sdtPr>
              <w:sdtContent>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Times New Roman" w:hAnsi="Times New Roman" w:cs="Times New Roman"/>
                </w:rPr>
                <w:tag w:val="_PLD_0209e1df4d9c45da9415f0566332a134"/>
                <w:id w:val="865723160"/>
                <w:lock w:val="sdtLocked"/>
              </w:sdtPr>
              <w:sdtEndPr>
                <w:rPr>
                  <w:rFonts w:ascii="Times New Roman" w:hAnsi="Times New Roman" w:cs="Times New Roman"/>
                </w:rPr>
              </w:sdtEnd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rFonts w:ascii="Times New Roman" w:hAnsi="Times New Roman" w:cs="Times New Roman"/>
                        <w:szCs w:val="21"/>
                      </w:rPr>
                    </w:pPr>
                    <w:r>
                      <w:rPr>
                        <w:rFonts w:ascii="Times New Roman" w:cs="Times New Roman"/>
                        <w:szCs w:val="21"/>
                      </w:rPr>
                      <w:t>公司及其子公司对子公司的担保情况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f1ef7fd66cd24c3e9477255f64383f30"/>
                <w:id w:val="865723161"/>
                <w:lock w:val="sdtLocked"/>
              </w:sdtPr>
              <w:sdtContent>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color w:val="FF0000"/>
                        <w:szCs w:val="21"/>
                      </w:rPr>
                    </w:pPr>
                    <w:r>
                      <w:rPr>
                        <w:rFonts w:hint="eastAsia"/>
                        <w:szCs w:val="21"/>
                      </w:rPr>
                      <w:t>报告期内对子公司担保发生额合计</w:t>
                    </w:r>
                  </w:p>
                </w:tc>
              </w:sdtContent>
            </w:sdt>
            <w:tc>
              <w:tcPr>
                <w:tcW w:w="2855" w:type="pct"/>
                <w:gridSpan w:val="9"/>
                <w:tcBorders>
                  <w:top w:val="single" w:color="auto" w:sz="4" w:space="0"/>
                  <w:left w:val="single" w:color="auto" w:sz="4" w:space="0"/>
                  <w:bottom w:val="single" w:color="auto" w:sz="4" w:space="0"/>
                </w:tcBorders>
                <w:shd w:val="clear" w:color="auto" w:fill="auto"/>
                <w:vAlign w:val="center"/>
              </w:tcPr>
              <w:p>
                <w:pPr>
                  <w:ind w:right="84" w:rightChars="40"/>
                  <w:jc w:val="right"/>
                  <w:rPr>
                    <w:rFonts w:ascii="Times New Roman" w:hAnsi="Times New Roman" w:cs="Times New Roman"/>
                    <w:szCs w:val="21"/>
                  </w:rPr>
                </w:pPr>
                <w:r>
                  <w:rPr>
                    <w:rFonts w:ascii="Times New Roman" w:hAnsi="Times New Roman" w:cs="Times New Roman"/>
                    <w:szCs w:val="21"/>
                  </w:rPr>
                  <w:t>1,200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3cd11ead60c24b4db1767011d51198b4"/>
                <w:id w:val="865723162"/>
                <w:lock w:val="sdtLocked"/>
              </w:sdtPr>
              <w:sdtContent>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color w:val="FF0000"/>
                        <w:szCs w:val="21"/>
                      </w:rPr>
                    </w:pPr>
                    <w:r>
                      <w:rPr>
                        <w:rFonts w:hint="eastAsia"/>
                        <w:szCs w:val="21"/>
                      </w:rPr>
                      <w:t>报告期末对子公司担保余额合计（</w:t>
                    </w:r>
                    <w:r>
                      <w:rPr>
                        <w:szCs w:val="21"/>
                      </w:rPr>
                      <w:t>B</w:t>
                    </w:r>
                    <w:r>
                      <w:rPr>
                        <w:rFonts w:hint="eastAsia"/>
                        <w:szCs w:val="21"/>
                      </w:rPr>
                      <w:t>）</w:t>
                    </w:r>
                  </w:p>
                </w:tc>
              </w:sdtContent>
            </w:sdt>
            <w:tc>
              <w:tcPr>
                <w:tcW w:w="2855"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ind w:right="84" w:rightChars="40"/>
                  <w:jc w:val="right"/>
                  <w:rPr>
                    <w:rFonts w:ascii="Times New Roman" w:hAnsi="Times New Roman" w:cs="Times New Roman"/>
                    <w:szCs w:val="21"/>
                  </w:rPr>
                </w:pPr>
                <w:r>
                  <w:rPr>
                    <w:rFonts w:ascii="Times New Roman" w:hAnsi="Times New Roman" w:cs="Times New Roman"/>
                    <w:szCs w:val="21"/>
                  </w:rPr>
                  <w:t>2,500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Times New Roman" w:hAnsi="Times New Roman" w:cs="Times New Roman"/>
                </w:rPr>
                <w:tag w:val="_PLD_b5d1fceb6fbd4fadb84d698d3eb35967"/>
                <w:id w:val="865723163"/>
                <w:lock w:val="sdtLocked"/>
              </w:sdtPr>
              <w:sdtEndPr>
                <w:rPr>
                  <w:rFonts w:ascii="Times New Roman" w:hAnsi="Times New Roman" w:cs="Times New Roman"/>
                </w:rPr>
              </w:sdtEnd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rFonts w:ascii="Times New Roman" w:hAnsi="Times New Roman" w:cs="Times New Roman"/>
                        <w:szCs w:val="21"/>
                      </w:rPr>
                    </w:pPr>
                    <w:r>
                      <w:rPr>
                        <w:rFonts w:ascii="Times New Roman" w:cs="Times New Roman"/>
                        <w:szCs w:val="21"/>
                      </w:rPr>
                      <w:t>公司担保总额情况（包括对子公司的担保）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470" w:hRule="atLeast"/>
            </w:trPr>
            <w:sdt>
              <w:sdtPr>
                <w:tag w:val="_PLD_97cf9dc93a8b49cfb6030a7de370518b"/>
                <w:id w:val="865723164"/>
                <w:lock w:val="sdtLocked"/>
              </w:sdtPr>
              <w:sdtContent>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szCs w:val="21"/>
                      </w:rPr>
                    </w:pPr>
                    <w:r>
                      <w:rPr>
                        <w:rFonts w:hint="eastAsia"/>
                        <w:szCs w:val="21"/>
                      </w:rPr>
                      <w:t>担保总额（</w:t>
                    </w:r>
                    <w:r>
                      <w:rPr>
                        <w:szCs w:val="21"/>
                      </w:rPr>
                      <w:t>A+B</w:t>
                    </w:r>
                    <w:r>
                      <w:rPr>
                        <w:rFonts w:hint="eastAsia"/>
                        <w:szCs w:val="21"/>
                      </w:rPr>
                      <w:t>）</w:t>
                    </w:r>
                  </w:p>
                </w:tc>
              </w:sdtContent>
            </w:sdt>
            <w:tc>
              <w:tcPr>
                <w:tcW w:w="2855"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ind w:right="84" w:rightChars="40"/>
                  <w:jc w:val="right"/>
                  <w:rPr>
                    <w:rFonts w:ascii="Times New Roman" w:hAnsi="Times New Roman" w:cs="Times New Roman"/>
                    <w:szCs w:val="21"/>
                  </w:rPr>
                </w:pPr>
                <w:r>
                  <w:rPr>
                    <w:rFonts w:ascii="Times New Roman" w:hAnsi="Times New Roman" w:cs="Times New Roman"/>
                    <w:szCs w:val="21"/>
                  </w:rPr>
                  <w:t>2,500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d21a7917b9ff4d6dbd8483eff1afbd82"/>
                <w:id w:val="865723165"/>
                <w:lock w:val="sdtLocked"/>
              </w:sdtPr>
              <w:sdtContent>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szCs w:val="21"/>
                      </w:rPr>
                    </w:pPr>
                    <w:r>
                      <w:rPr>
                        <w:rFonts w:hint="eastAsia"/>
                        <w:szCs w:val="21"/>
                      </w:rPr>
                      <w:t>担保总额占公司净资产的比例</w:t>
                    </w:r>
                    <w:r>
                      <w:rPr>
                        <w:szCs w:val="21"/>
                      </w:rPr>
                      <w:t>(%)</w:t>
                    </w:r>
                  </w:p>
                </w:tc>
              </w:sdtContent>
            </w:sdt>
            <w:tc>
              <w:tcPr>
                <w:tcW w:w="2855"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ind w:right="84" w:rightChars="40"/>
                  <w:jc w:val="right"/>
                  <w:rPr>
                    <w:rFonts w:ascii="Times New Roman" w:hAnsi="Times New Roman" w:cs="Times New Roman"/>
                    <w:szCs w:val="21"/>
                  </w:rPr>
                </w:pPr>
                <w:r>
                  <w:rPr>
                    <w:rFonts w:ascii="Times New Roman" w:hAnsi="Times New Roman" w:cs="Times New Roman"/>
                    <w:szCs w:val="21"/>
                  </w:rPr>
                  <w:t>1.17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5975855d5ef9445cb4cf0cccb044de3a"/>
                <w:id w:val="865723166"/>
                <w:lock w:val="sdtLocked"/>
              </w:sdtPr>
              <w:sdtContent>
                <w:tc>
                  <w:tcPr>
                    <w:tcW w:w="5000" w:type="pct"/>
                    <w:gridSpan w:val="16"/>
                    <w:tcBorders>
                      <w:top w:val="single" w:color="auto" w:sz="4" w:space="0"/>
                      <w:bottom w:val="single" w:color="auto" w:sz="4" w:space="0"/>
                    </w:tcBorders>
                    <w:shd w:val="clear" w:color="auto" w:fill="auto"/>
                  </w:tcPr>
                  <w:p>
                    <w:pPr>
                      <w:pStyle w:val="15"/>
                      <w:autoSpaceDE w:val="0"/>
                      <w:autoSpaceDN w:val="0"/>
                      <w:adjustRightInd w:val="0"/>
                      <w:ind w:right="84" w:rightChars="40"/>
                      <w:rPr>
                        <w:rFonts w:ascii="宋体" w:hAnsi="宋体"/>
                      </w:rPr>
                    </w:pPr>
                    <w:r>
                      <w:rPr>
                        <w:rFonts w:hint="eastAsia" w:ascii="宋体" w:hAnsi="宋体"/>
                      </w:rPr>
                      <w:t>其中：</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30e2076758ce45debdae6789989817df"/>
                <w:id w:val="865723167"/>
                <w:lock w:val="sdtLocked"/>
              </w:sdtPr>
              <w:sdtContent>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e527b526e0d24f5982870686d243c818"/>
                <w:id w:val="865723168"/>
                <w:lock w:val="sdtLocked"/>
              </w:sdtPr>
              <w:sdtContent>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c38dcad268724b6bac72df7893ce62db"/>
                <w:id w:val="865723169"/>
                <w:lock w:val="sdtLocked"/>
              </w:sdtPr>
              <w:sdtContent>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7512871b7304408389a5ea305fc55c96"/>
                <w:id w:val="865723170"/>
                <w:lock w:val="sdtLocked"/>
              </w:sdtPr>
              <w:sdtContent>
                <w:tc>
                  <w:tcPr>
                    <w:tcW w:w="2145"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dc6ba07e028f446dbbaf6b0897841a8f"/>
                <w:id w:val="865723171"/>
                <w:lock w:val="sdtLocked"/>
              </w:sdtPr>
              <w:sdtContent>
                <w:tc>
                  <w:tcPr>
                    <w:tcW w:w="2145" w:type="pct"/>
                    <w:gridSpan w:val="7"/>
                    <w:tcBorders>
                      <w:top w:val="single" w:color="auto" w:sz="4" w:space="0"/>
                      <w:bottom w:val="single" w:color="auto" w:sz="4" w:space="0"/>
                      <w:right w:val="single" w:color="auto" w:sz="4" w:space="0"/>
                    </w:tcBorders>
                    <w:shd w:val="clear" w:color="auto" w:fill="auto"/>
                    <w:vAlign w:val="center"/>
                  </w:tcPr>
                  <w:p>
                    <w:pPr>
                      <w:pStyle w:val="15"/>
                      <w:autoSpaceDE w:val="0"/>
                      <w:autoSpaceDN w:val="0"/>
                      <w:adjustRightInd w:val="0"/>
                      <w:rPr>
                        <w:rFonts w:ascii="宋体" w:hAnsi="宋体"/>
                      </w:rPr>
                    </w:pPr>
                    <w:r>
                      <w:rPr>
                        <w:rFonts w:hint="eastAsia" w:ascii="宋体" w:hAnsi="宋体"/>
                      </w:rPr>
                      <w:t>未到期担保可能承担连带清偿责任说明</w:t>
                    </w:r>
                  </w:p>
                </w:tc>
              </w:sdtContent>
            </w:sdt>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4a19c6649f7a44079219c22961b8203f"/>
                <w:id w:val="865723172"/>
                <w:lock w:val="sdtLocked"/>
              </w:sdtPr>
              <w:sdtContent>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担保情况说明</w:t>
                    </w:r>
                  </w:p>
                </w:tc>
              </w:sdtContent>
            </w:sdt>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rPr>
                    <w:szCs w:val="21"/>
                  </w:rPr>
                </w:pPr>
              </w:p>
            </w:tc>
          </w:tr>
          <w:bookmarkEnd w:id="82"/>
        </w:tbl>
        <w:p/>
        <w:p>
          <w:pPr>
            <w:rPr>
              <w:rFonts w:asciiTheme="minorEastAsia" w:hAnsiTheme="minorEastAsia" w:eastAsiaTheme="minorEastAsia"/>
              <w:szCs w:val="21"/>
            </w:rPr>
          </w:pPr>
        </w:p>
      </w:sdtContent>
    </w:sdt>
    <w:p>
      <w:pPr>
        <w:rPr>
          <w:rFonts w:asciiTheme="minorEastAsia" w:hAnsiTheme="minorEastAsia" w:eastAsiaTheme="minorEastAsia"/>
          <w:szCs w:val="21"/>
        </w:rPr>
        <w:sectPr>
          <w:pgSz w:w="16838" w:h="11906" w:orient="landscape"/>
          <w:pgMar w:top="1797" w:right="1525" w:bottom="1276" w:left="1440" w:header="855" w:footer="992" w:gutter="0"/>
          <w:cols w:space="425" w:num="1"/>
          <w:docGrid w:linePitch="312" w:charSpace="0"/>
        </w:sectPr>
      </w:pPr>
    </w:p>
    <w:p>
      <w:pPr>
        <w:pStyle w:val="4"/>
        <w:numPr>
          <w:ilvl w:val="0"/>
          <w:numId w:val="40"/>
        </w:numPr>
        <w:rPr>
          <w:szCs w:val="21"/>
        </w:rPr>
      </w:pPr>
      <w:r>
        <w:rPr>
          <w:rFonts w:hint="eastAsia"/>
          <w:szCs w:val="21"/>
        </w:rPr>
        <w:t>委托他人进行现金资产管理的情况</w:t>
      </w:r>
    </w:p>
    <w:p>
      <w:pPr>
        <w:pStyle w:val="5"/>
        <w:numPr>
          <w:ilvl w:val="0"/>
          <w:numId w:val="42"/>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865723184"/>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43"/>
            </w:numPr>
          </w:pPr>
          <w:r>
            <w:t>委托理财总体情况</w:t>
          </w:r>
        </w:p>
        <w:sdt>
          <w:sdtPr>
            <w:rPr>
              <w:rFonts w:hint="eastAsia"/>
            </w:rPr>
            <w:alias w:val="是否适用：委托理财总体情况[双击切换]"/>
            <w:tag w:val="_GBC_939edce711f74cc3bede852019388a3e"/>
            <w:id w:val="865723174"/>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委托理财总体情况"/>
              <w:tag w:val="_GBC_995d6d32b0f247b897c1e3683394b78e"/>
              <w:id w:val="865723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委托理财总体情况"/>
              <w:tag w:val="_GBC_4eea93464f564ac386eb7f3f2731c982"/>
              <w:id w:val="8657231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701"/>
            <w:gridCol w:w="1419"/>
            <w:gridCol w:w="1701"/>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Cs w:val="21"/>
                </w:rPr>
                <w:tag w:val="_PLD_adc56e4902a44336b31583f6d92ae8fe"/>
                <w:id w:val="5812387"/>
                <w:lock w:val="sdtLocked"/>
              </w:sdtPr>
              <w:sdtEndPr>
                <w:rPr>
                  <w:rFonts w:ascii="Times New Roman" w:hAnsi="Times New Roman" w:cs="Times New Roman"/>
                  <w:szCs w:val="21"/>
                </w:rPr>
              </w:sdtEndPr>
              <w:sdtContent>
                <w:tc>
                  <w:tcPr>
                    <w:tcW w:w="1078" w:type="pct"/>
                    <w:shd w:val="clear" w:color="auto" w:fill="auto"/>
                    <w:vAlign w:val="center"/>
                  </w:tcPr>
                  <w:p>
                    <w:pPr>
                      <w:ind w:left="352" w:leftChars="132" w:hanging="75" w:hangingChars="36"/>
                      <w:jc w:val="center"/>
                      <w:rPr>
                        <w:rFonts w:ascii="Times New Roman" w:hAnsi="Times New Roman" w:cs="Times New Roman"/>
                        <w:szCs w:val="21"/>
                      </w:rPr>
                    </w:pPr>
                    <w:r>
                      <w:rPr>
                        <w:rFonts w:ascii="Times New Roman" w:cs="Times New Roman"/>
                        <w:szCs w:val="21"/>
                      </w:rPr>
                      <w:t>类型</w:t>
                    </w:r>
                  </w:p>
                </w:tc>
              </w:sdtContent>
            </w:sdt>
            <w:sdt>
              <w:sdtPr>
                <w:rPr>
                  <w:rFonts w:ascii="Times New Roman" w:hAnsi="Times New Roman" w:cs="Times New Roman"/>
                  <w:szCs w:val="21"/>
                </w:rPr>
                <w:tag w:val="_PLD_1e4b1b71c269470f8c1a8d2bf4482c76"/>
                <w:id w:val="5812388"/>
                <w:lock w:val="sdtLocked"/>
              </w:sdtPr>
              <w:sdtEndPr>
                <w:rPr>
                  <w:rFonts w:ascii="Times New Roman" w:hAnsi="Times New Roman" w:cs="Times New Roman"/>
                  <w:szCs w:val="21"/>
                </w:rPr>
              </w:sdtEndPr>
              <w:sdtContent>
                <w:tc>
                  <w:tcPr>
                    <w:tcW w:w="940" w:type="pct"/>
                    <w:shd w:val="clear" w:color="auto" w:fill="auto"/>
                    <w:vAlign w:val="center"/>
                  </w:tcPr>
                  <w:p>
                    <w:pPr>
                      <w:jc w:val="center"/>
                      <w:rPr>
                        <w:rFonts w:ascii="Times New Roman" w:hAnsi="Times New Roman" w:cs="Times New Roman"/>
                        <w:szCs w:val="21"/>
                      </w:rPr>
                    </w:pPr>
                    <w:r>
                      <w:rPr>
                        <w:rFonts w:ascii="Times New Roman" w:cs="Times New Roman"/>
                        <w:szCs w:val="21"/>
                      </w:rPr>
                      <w:t>资金来源</w:t>
                    </w:r>
                  </w:p>
                </w:tc>
              </w:sdtContent>
            </w:sdt>
            <w:sdt>
              <w:sdtPr>
                <w:rPr>
                  <w:rFonts w:ascii="Times New Roman" w:hAnsi="Times New Roman" w:cs="Times New Roman"/>
                  <w:szCs w:val="21"/>
                </w:rPr>
                <w:tag w:val="_PLD_7b0c91758b05423d8c85e6e2043dcc9e"/>
                <w:id w:val="5812389"/>
                <w:lock w:val="sdtLocked"/>
              </w:sdtPr>
              <w:sdtEndPr>
                <w:rPr>
                  <w:rFonts w:ascii="Times New Roman" w:hAnsi="Times New Roman" w:cs="Times New Roman"/>
                  <w:szCs w:val="21"/>
                </w:rPr>
              </w:sdtEndPr>
              <w:sdtContent>
                <w:tc>
                  <w:tcPr>
                    <w:tcW w:w="784" w:type="pct"/>
                    <w:shd w:val="clear" w:color="auto" w:fill="auto"/>
                    <w:vAlign w:val="center"/>
                  </w:tcPr>
                  <w:p>
                    <w:pPr>
                      <w:jc w:val="center"/>
                      <w:rPr>
                        <w:rFonts w:ascii="Times New Roman" w:hAnsi="Times New Roman" w:cs="Times New Roman"/>
                        <w:szCs w:val="21"/>
                      </w:rPr>
                    </w:pPr>
                    <w:r>
                      <w:rPr>
                        <w:rFonts w:ascii="Times New Roman" w:cs="Times New Roman"/>
                        <w:szCs w:val="21"/>
                      </w:rPr>
                      <w:t>发生额</w:t>
                    </w:r>
                  </w:p>
                </w:tc>
              </w:sdtContent>
            </w:sdt>
            <w:sdt>
              <w:sdtPr>
                <w:rPr>
                  <w:rFonts w:ascii="Times New Roman" w:hAnsi="Times New Roman" w:cs="Times New Roman"/>
                  <w:szCs w:val="21"/>
                </w:rPr>
                <w:tag w:val="_PLD_c5c1ba65289743f390012a22166fda71"/>
                <w:id w:val="5812390"/>
                <w:lock w:val="sdtLocked"/>
              </w:sdtPr>
              <w:sdtEndPr>
                <w:rPr>
                  <w:rFonts w:ascii="Times New Roman" w:hAnsi="Times New Roman" w:cs="Times New Roman"/>
                  <w:szCs w:val="21"/>
                </w:rPr>
              </w:sdtEndPr>
              <w:sdtContent>
                <w:tc>
                  <w:tcPr>
                    <w:tcW w:w="940" w:type="pct"/>
                    <w:shd w:val="clear" w:color="auto" w:fill="auto"/>
                    <w:vAlign w:val="center"/>
                  </w:tcPr>
                  <w:p>
                    <w:pPr>
                      <w:jc w:val="center"/>
                      <w:rPr>
                        <w:rFonts w:ascii="Times New Roman" w:hAnsi="Times New Roman" w:cs="Times New Roman"/>
                        <w:szCs w:val="21"/>
                      </w:rPr>
                    </w:pPr>
                    <w:r>
                      <w:rPr>
                        <w:rFonts w:ascii="Times New Roman" w:cs="Times New Roman"/>
                        <w:szCs w:val="21"/>
                      </w:rPr>
                      <w:t>未到期余额</w:t>
                    </w:r>
                  </w:p>
                </w:tc>
              </w:sdtContent>
            </w:sdt>
            <w:sdt>
              <w:sdtPr>
                <w:rPr>
                  <w:rFonts w:ascii="Times New Roman" w:hAnsi="Times New Roman" w:cs="Times New Roman"/>
                  <w:szCs w:val="21"/>
                </w:rPr>
                <w:tag w:val="_PLD_ac496413cc194196b7b6f3a280315c67"/>
                <w:id w:val="5812391"/>
                <w:lock w:val="sdtLocked"/>
              </w:sdtPr>
              <w:sdtEndPr>
                <w:rPr>
                  <w:rFonts w:ascii="Times New Roman" w:hAnsi="Times New Roman" w:cs="Times New Roman"/>
                  <w:szCs w:val="21"/>
                </w:rPr>
              </w:sdtEndPr>
              <w:sdtContent>
                <w:tc>
                  <w:tcPr>
                    <w:tcW w:w="1258" w:type="pct"/>
                    <w:shd w:val="clear" w:color="auto" w:fill="auto"/>
                    <w:vAlign w:val="center"/>
                  </w:tcPr>
                  <w:p>
                    <w:pPr>
                      <w:jc w:val="center"/>
                      <w:rPr>
                        <w:rFonts w:ascii="Times New Roman" w:hAnsi="Times New Roman" w:cs="Times New Roman"/>
                        <w:szCs w:val="21"/>
                      </w:rPr>
                    </w:pPr>
                    <w:r>
                      <w:rPr>
                        <w:rFonts w:ascii="Times New Roman" w:cs="Times New Roman"/>
                        <w:szCs w:val="21"/>
                      </w:rPr>
                      <w:t>逾期未收回金额</w:t>
                    </w:r>
                  </w:p>
                </w:tc>
              </w:sdtContent>
            </w:sdt>
          </w:tr>
          <w:sdt>
            <w:sdtPr>
              <w:rPr>
                <w:rFonts w:ascii="Times New Roman" w:hAnsi="Times New Roman" w:cs="Times New Roman" w:eastAsiaTheme="minorEastAsia"/>
                <w:kern w:val="2"/>
                <w:szCs w:val="22"/>
              </w:rPr>
              <w:alias w:val="委托理财总体情况"/>
              <w:tag w:val="_TUP_6e0fe7a0f5b84cf79e45a3ba6528bf07"/>
              <w:id w:val="5812392"/>
              <w:lock w:val="sdtLocked"/>
            </w:sdtPr>
            <w:sdtEndPr>
              <w:rPr>
                <w:rFonts w:ascii="Times New Roman" w:hAnsi="Times New Roman" w:cs="Times New Roman" w:eastAsiaTheme="minorEastAsia"/>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tcPr>
                  <w:p>
                    <w:pPr>
                      <w:jc w:val="center"/>
                      <w:rPr>
                        <w:rFonts w:ascii="Times New Roman" w:hAnsi="Times New Roman" w:cs="Times New Roman"/>
                      </w:rPr>
                    </w:pPr>
                    <w:r>
                      <w:rPr>
                        <w:rFonts w:ascii="Times New Roman" w:cs="Times New Roman"/>
                      </w:rPr>
                      <w:t>非保本浮动收益型</w:t>
                    </w:r>
                  </w:p>
                </w:tc>
                <w:tc>
                  <w:tcPr>
                    <w:tcW w:w="940" w:type="pct"/>
                    <w:shd w:val="clear" w:color="auto" w:fill="auto"/>
                  </w:tcPr>
                  <w:p>
                    <w:pPr>
                      <w:jc w:val="center"/>
                      <w:rPr>
                        <w:rFonts w:ascii="Times New Roman" w:hAnsi="Times New Roman" w:cs="Times New Roman"/>
                      </w:rPr>
                    </w:pPr>
                    <w:r>
                      <w:rPr>
                        <w:rFonts w:ascii="Times New Roman" w:cs="Times New Roman"/>
                      </w:rPr>
                      <w:t>自有资金</w:t>
                    </w:r>
                  </w:p>
                </w:tc>
                <w:tc>
                  <w:tcPr>
                    <w:tcW w:w="784" w:type="pct"/>
                    <w:shd w:val="clear" w:color="auto" w:fill="auto"/>
                    <w:vAlign w:val="center"/>
                  </w:tcPr>
                  <w:p>
                    <w:pPr>
                      <w:jc w:val="right"/>
                      <w:rPr>
                        <w:rFonts w:ascii="Times New Roman" w:hAnsi="Times New Roman" w:cs="Times New Roman"/>
                      </w:rPr>
                    </w:pPr>
                    <w:r>
                      <w:rPr>
                        <w:rFonts w:ascii="Times New Roman" w:hAnsi="Times New Roman" w:cs="Times New Roman"/>
                      </w:rPr>
                      <w:t>1,200</w:t>
                    </w:r>
                  </w:p>
                </w:tc>
                <w:tc>
                  <w:tcPr>
                    <w:tcW w:w="940" w:type="pct"/>
                    <w:shd w:val="clear" w:color="auto" w:fill="auto"/>
                    <w:vAlign w:val="center"/>
                  </w:tcPr>
                  <w:p>
                    <w:pPr>
                      <w:jc w:val="right"/>
                      <w:rPr>
                        <w:rFonts w:ascii="Times New Roman" w:hAnsi="Times New Roman" w:cs="Times New Roman"/>
                      </w:rPr>
                    </w:pPr>
                    <w:r>
                      <w:rPr>
                        <w:rFonts w:ascii="Times New Roman" w:hAnsi="Times New Roman" w:cs="Times New Roman"/>
                      </w:rPr>
                      <w:t>0</w:t>
                    </w:r>
                  </w:p>
                </w:tc>
                <w:tc>
                  <w:tcPr>
                    <w:tcW w:w="1258" w:type="pct"/>
                    <w:shd w:val="clear" w:color="auto" w:fill="auto"/>
                    <w:vAlign w:val="center"/>
                  </w:tcPr>
                  <w:p>
                    <w:pPr>
                      <w:jc w:val="right"/>
                      <w:rPr>
                        <w:rFonts w:ascii="Times New Roman" w:hAnsi="Times New Roman" w:cs="Times New Roman"/>
                      </w:rPr>
                    </w:pPr>
                    <w:r>
                      <w:rPr>
                        <w:rFonts w:ascii="Times New Roman" w:hAnsi="Times New Roman" w:cs="Times New Roman"/>
                      </w:rPr>
                      <w:t>0</w:t>
                    </w:r>
                  </w:p>
                </w:tc>
              </w:tr>
            </w:sdtContent>
          </w:sdt>
          <w:sdt>
            <w:sdtPr>
              <w:rPr>
                <w:rFonts w:ascii="Times New Roman" w:hAnsi="Times New Roman" w:cs="Times New Roman" w:eastAsiaTheme="minorEastAsia"/>
                <w:kern w:val="2"/>
                <w:szCs w:val="22"/>
              </w:rPr>
              <w:alias w:val="委托理财总体情况"/>
              <w:tag w:val="_TUP_6e0fe7a0f5b84cf79e45a3ba6528bf07"/>
              <w:id w:val="5812393"/>
              <w:lock w:val="sdtLocked"/>
            </w:sdtPr>
            <w:sdtEndPr>
              <w:rPr>
                <w:rFonts w:ascii="Times New Roman" w:hAnsi="Times New Roman" w:cs="Times New Roman" w:eastAsiaTheme="minorEastAsia"/>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shd w:val="clear" w:color="auto" w:fill="auto"/>
                  </w:tcPr>
                  <w:p>
                    <w:pPr>
                      <w:jc w:val="center"/>
                      <w:rPr>
                        <w:rFonts w:ascii="Times New Roman" w:hAnsi="Times New Roman" w:cs="Times New Roman"/>
                      </w:rPr>
                    </w:pPr>
                    <w:r>
                      <w:rPr>
                        <w:rFonts w:ascii="Times New Roman" w:cs="Times New Roman"/>
                      </w:rPr>
                      <w:t>非保本浮动收益型</w:t>
                    </w:r>
                  </w:p>
                </w:tc>
                <w:tc>
                  <w:tcPr>
                    <w:tcW w:w="940" w:type="pct"/>
                    <w:shd w:val="clear" w:color="auto" w:fill="auto"/>
                  </w:tcPr>
                  <w:p>
                    <w:pPr>
                      <w:jc w:val="center"/>
                      <w:rPr>
                        <w:rFonts w:ascii="Times New Roman" w:hAnsi="Times New Roman" w:cs="Times New Roman"/>
                      </w:rPr>
                    </w:pPr>
                    <w:r>
                      <w:rPr>
                        <w:rFonts w:ascii="Times New Roman" w:cs="Times New Roman"/>
                      </w:rPr>
                      <w:t>自有资金</w:t>
                    </w:r>
                  </w:p>
                </w:tc>
                <w:tc>
                  <w:tcPr>
                    <w:tcW w:w="784" w:type="pct"/>
                    <w:shd w:val="clear" w:color="auto" w:fill="auto"/>
                    <w:vAlign w:val="center"/>
                  </w:tcPr>
                  <w:p>
                    <w:pPr>
                      <w:jc w:val="right"/>
                      <w:rPr>
                        <w:rFonts w:ascii="Times New Roman" w:hAnsi="Times New Roman" w:cs="Times New Roman"/>
                      </w:rPr>
                    </w:pPr>
                    <w:r>
                      <w:rPr>
                        <w:rFonts w:ascii="Times New Roman" w:hAnsi="Times New Roman" w:cs="Times New Roman"/>
                      </w:rPr>
                      <w:t>3,200</w:t>
                    </w:r>
                  </w:p>
                </w:tc>
                <w:tc>
                  <w:tcPr>
                    <w:tcW w:w="940" w:type="pct"/>
                    <w:shd w:val="clear" w:color="auto" w:fill="auto"/>
                    <w:vAlign w:val="center"/>
                  </w:tcPr>
                  <w:p>
                    <w:pPr>
                      <w:jc w:val="right"/>
                      <w:rPr>
                        <w:rFonts w:ascii="Times New Roman" w:hAnsi="Times New Roman" w:cs="Times New Roman"/>
                      </w:rPr>
                    </w:pPr>
                    <w:r>
                      <w:rPr>
                        <w:rFonts w:ascii="Times New Roman" w:hAnsi="Times New Roman" w:cs="Times New Roman"/>
                      </w:rPr>
                      <w:t>0</w:t>
                    </w:r>
                  </w:p>
                </w:tc>
                <w:tc>
                  <w:tcPr>
                    <w:tcW w:w="1258" w:type="pct"/>
                    <w:shd w:val="clear" w:color="auto" w:fill="auto"/>
                    <w:vAlign w:val="center"/>
                  </w:tcPr>
                  <w:p>
                    <w:pPr>
                      <w:jc w:val="right"/>
                      <w:rPr>
                        <w:rFonts w:ascii="Times New Roman" w:hAnsi="Times New Roman" w:cs="Times New Roman"/>
                      </w:rPr>
                    </w:pPr>
                    <w:r>
                      <w:rPr>
                        <w:rFonts w:ascii="Times New Roman" w:hAnsi="Times New Roman" w:cs="Times New Roman"/>
                      </w:rPr>
                      <w:t>0</w:t>
                    </w:r>
                  </w:p>
                </w:tc>
              </w:tr>
            </w:sdtContent>
          </w:sdt>
        </w:tbl>
        <w:p/>
        <w:p/>
      </w:sdtContent>
    </w:sdt>
    <w:sdt>
      <w:sdtPr>
        <w:rPr>
          <w:rFonts w:hint="eastAsia"/>
        </w:rPr>
        <w:alias w:val="模块:委托理财总体其他情况"/>
        <w:tag w:val="_SEC_c74546ff2eb54c40a95f3d7a5ec247ac"/>
        <w:id w:val="865723187"/>
        <w:lock w:val="sdtLocked"/>
        <w:placeholder>
          <w:docPart w:val="GBC22222222222222222222222222222"/>
        </w:placeholder>
      </w:sdtPr>
      <w:sdtEndPr>
        <w:rPr>
          <w:rFonts w:hint="eastAsia"/>
        </w:rPr>
      </w:sdtEndPr>
      <w:sdtContent>
        <w:p>
          <w:pPr>
            <w:rPr>
              <w:b/>
            </w:rPr>
          </w:pPr>
          <w:r>
            <w:rPr>
              <w:rFonts w:hint="eastAsia"/>
              <w:b/>
            </w:rPr>
            <w:t>其他情况</w:t>
          </w:r>
        </w:p>
        <w:sdt>
          <w:sdtPr>
            <w:rPr>
              <w:rFonts w:hint="eastAsia"/>
            </w:rPr>
            <w:alias w:val="是否适用：委托理财总体其他情况[双击切换]"/>
            <w:tag w:val="_GBC_4fb72032e5bd4642bf5eb2d83d5ca874"/>
            <w:id w:val="86572318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
        <w:br w:type="page"/>
      </w:r>
    </w:p>
    <w:p>
      <w:pPr>
        <w:sectPr>
          <w:pgSz w:w="11906" w:h="16838"/>
          <w:pgMar w:top="1525" w:right="1276" w:bottom="1440" w:left="1797" w:header="855" w:footer="992" w:gutter="0"/>
          <w:cols w:space="425" w:num="1"/>
          <w:docGrid w:linePitch="312" w:charSpace="0"/>
        </w:sectPr>
      </w:pPr>
    </w:p>
    <w:p/>
    <w:sdt>
      <w:sdtPr>
        <w:rPr>
          <w:rFonts w:ascii="宋体" w:hAnsi="宋体" w:cs="宋体"/>
          <w:b w:val="0"/>
          <w:bCs w:val="0"/>
          <w:kern w:val="0"/>
          <w:szCs w:val="24"/>
        </w:rPr>
        <w:alias w:val="模块:单项委托理财情况"/>
        <w:tag w:val="_SEC_b54bd17bb0da4771a60d17a9a56131e4"/>
        <w:id w:val="865723212"/>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43"/>
            </w:numPr>
          </w:pPr>
          <w:r>
            <w:t>单项委托理财情况</w:t>
          </w:r>
        </w:p>
        <w:sdt>
          <w:sdtPr>
            <w:rPr>
              <w:rFonts w:hint="eastAsia" w:cs="Times New Roman"/>
              <w:kern w:val="2"/>
              <w:szCs w:val="21"/>
            </w:rPr>
            <w:alias w:val="是否适用：单项委托理财情况[双击切换]"/>
            <w:tag w:val="_GBC_049960b74e79480d8781c2d7d6a997dc"/>
            <w:id w:val="865723188"/>
            <w:lock w:val="sdtLocked"/>
            <w:placeholder>
              <w:docPart w:val="GBC22222222222222222222222222222"/>
            </w:placeholder>
          </w:sdtPr>
          <w:sdtEndPr>
            <w:rPr>
              <w:rFonts w:hint="eastAsia" w:cs="Times New Roman"/>
              <w:kern w:val="2"/>
              <w:szCs w:val="21"/>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单项委托理财情况"/>
              <w:tag w:val="_GBC_82d5f3d2ba304514bba23237111a211b"/>
              <w:id w:val="8657231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单项委托理财情况"/>
              <w:tag w:val="_GBC_1e2db013ad684830a72eacaf2b1319d4"/>
              <w:id w:val="8657231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711"/>
            <w:gridCol w:w="708"/>
            <w:gridCol w:w="852"/>
            <w:gridCol w:w="992"/>
            <w:gridCol w:w="425"/>
            <w:gridCol w:w="3260"/>
            <w:gridCol w:w="989"/>
            <w:gridCol w:w="710"/>
            <w:gridCol w:w="566"/>
            <w:gridCol w:w="995"/>
            <w:gridCol w:w="1274"/>
            <w:gridCol w:w="425"/>
            <w:gridCol w:w="707"/>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14f5b6e156634fb5892dac8ce6409d58"/>
                <w:id w:val="5812483"/>
                <w:lock w:val="sdtLocked"/>
              </w:sdtPr>
              <w:sdtEndPr>
                <w:rPr>
                  <w:rFonts w:ascii="Times New Roman" w:hAnsi="Times New Roman" w:cs="Times New Roman"/>
                  <w:sz w:val="18"/>
                  <w:szCs w:val="18"/>
                </w:rPr>
              </w:sdtEndPr>
              <w:sdtContent>
                <w:tc>
                  <w:tcPr>
                    <w:tcW w:w="290"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rPr>
                      <w:t>受托人</w:t>
                    </w:r>
                  </w:p>
                </w:tc>
              </w:sdtContent>
            </w:sdt>
            <w:sdt>
              <w:sdtPr>
                <w:rPr>
                  <w:rFonts w:ascii="Times New Roman" w:hAnsi="Times New Roman" w:cs="Times New Roman"/>
                  <w:sz w:val="18"/>
                  <w:szCs w:val="18"/>
                </w:rPr>
                <w:tag w:val="_PLD_93acfc23d8a14834961a198ac3a66b6a"/>
                <w:id w:val="5812484"/>
                <w:lock w:val="sdtLocked"/>
              </w:sdtPr>
              <w:sdtEndPr>
                <w:rPr>
                  <w:rFonts w:ascii="Times New Roman" w:hAnsi="Times New Roman" w:cs="Times New Roman"/>
                  <w:sz w:val="18"/>
                  <w:szCs w:val="18"/>
                </w:rPr>
              </w:sdtEndPr>
              <w:sdtContent>
                <w:tc>
                  <w:tcPr>
                    <w:tcW w:w="252"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rPr>
                      <w:t>委托理财类型</w:t>
                    </w:r>
                  </w:p>
                </w:tc>
              </w:sdtContent>
            </w:sdt>
            <w:sdt>
              <w:sdtPr>
                <w:rPr>
                  <w:rFonts w:ascii="Times New Roman" w:hAnsi="Times New Roman" w:cs="Times New Roman"/>
                  <w:sz w:val="18"/>
                  <w:szCs w:val="18"/>
                </w:rPr>
                <w:tag w:val="_PLD_e7134c1583a94d2fa0e160ddf15b5b4c"/>
                <w:id w:val="5812485"/>
                <w:lock w:val="sdtLocked"/>
              </w:sdtPr>
              <w:sdtEndPr>
                <w:rPr>
                  <w:rFonts w:ascii="Times New Roman" w:hAnsi="Times New Roman" w:cs="Times New Roman"/>
                  <w:sz w:val="18"/>
                  <w:szCs w:val="18"/>
                </w:rPr>
              </w:sdtEndPr>
              <w:sdtContent>
                <w:tc>
                  <w:tcPr>
                    <w:tcW w:w="251" w:type="pct"/>
                    <w:vAlign w:val="center"/>
                  </w:tcPr>
                  <w:p>
                    <w:pPr>
                      <w:jc w:val="center"/>
                      <w:rPr>
                        <w:rFonts w:ascii="Times New Roman" w:hAnsi="Times New Roman" w:cs="Times New Roman"/>
                        <w:sz w:val="18"/>
                        <w:szCs w:val="18"/>
                      </w:rPr>
                    </w:pPr>
                    <w:r>
                      <w:rPr>
                        <w:rFonts w:ascii="Times New Roman" w:cs="Times New Roman"/>
                        <w:sz w:val="18"/>
                        <w:szCs w:val="18"/>
                      </w:rPr>
                      <w:t>委托理财金额</w:t>
                    </w:r>
                  </w:p>
                </w:tc>
              </w:sdtContent>
            </w:sdt>
            <w:sdt>
              <w:sdtPr>
                <w:rPr>
                  <w:rFonts w:ascii="Times New Roman" w:hAnsi="Times New Roman" w:cs="Times New Roman"/>
                  <w:sz w:val="18"/>
                  <w:szCs w:val="18"/>
                </w:rPr>
                <w:tag w:val="_PLD_ad477dfc35a8435789115ccc442a9117"/>
                <w:id w:val="5812486"/>
                <w:lock w:val="sdtLocked"/>
              </w:sdtPr>
              <w:sdtEndPr>
                <w:rPr>
                  <w:rFonts w:ascii="Times New Roman" w:hAnsi="Times New Roman" w:cs="Times New Roman"/>
                  <w:sz w:val="18"/>
                  <w:szCs w:val="18"/>
                </w:rPr>
              </w:sdtEndPr>
              <w:sdtContent>
                <w:tc>
                  <w:tcPr>
                    <w:tcW w:w="302" w:type="pct"/>
                    <w:vAlign w:val="center"/>
                  </w:tcPr>
                  <w:p>
                    <w:pPr>
                      <w:jc w:val="center"/>
                      <w:rPr>
                        <w:rFonts w:ascii="Times New Roman" w:hAnsi="Times New Roman" w:cs="Times New Roman"/>
                        <w:sz w:val="18"/>
                        <w:szCs w:val="18"/>
                      </w:rPr>
                    </w:pPr>
                    <w:r>
                      <w:rPr>
                        <w:rFonts w:ascii="Times New Roman" w:cs="Times New Roman"/>
                        <w:sz w:val="18"/>
                        <w:szCs w:val="18"/>
                      </w:rPr>
                      <w:t>委托理财起始日期</w:t>
                    </w:r>
                  </w:p>
                </w:tc>
              </w:sdtContent>
            </w:sdt>
            <w:sdt>
              <w:sdtPr>
                <w:rPr>
                  <w:rFonts w:ascii="Times New Roman" w:hAnsi="Times New Roman" w:cs="Times New Roman"/>
                  <w:sz w:val="18"/>
                  <w:szCs w:val="18"/>
                </w:rPr>
                <w:tag w:val="_PLD_002591ecf02b4c8481c8c7be2351809b"/>
                <w:id w:val="5812487"/>
                <w:lock w:val="sdtLocked"/>
              </w:sdtPr>
              <w:sdtEndPr>
                <w:rPr>
                  <w:rFonts w:ascii="Times New Roman" w:hAnsi="Times New Roman" w:cs="Times New Roman"/>
                  <w:sz w:val="18"/>
                  <w:szCs w:val="18"/>
                </w:rPr>
              </w:sdtEndPr>
              <w:sdtContent>
                <w:tc>
                  <w:tcPr>
                    <w:tcW w:w="352" w:type="pct"/>
                    <w:vAlign w:val="center"/>
                  </w:tcPr>
                  <w:p>
                    <w:pPr>
                      <w:jc w:val="center"/>
                      <w:rPr>
                        <w:rFonts w:ascii="Times New Roman" w:hAnsi="Times New Roman" w:cs="Times New Roman"/>
                        <w:sz w:val="18"/>
                        <w:szCs w:val="18"/>
                      </w:rPr>
                    </w:pPr>
                    <w:r>
                      <w:rPr>
                        <w:rFonts w:ascii="Times New Roman" w:cs="Times New Roman"/>
                        <w:sz w:val="18"/>
                        <w:szCs w:val="18"/>
                      </w:rPr>
                      <w:t>委托理财终止日期</w:t>
                    </w:r>
                  </w:p>
                </w:tc>
              </w:sdtContent>
            </w:sdt>
            <w:sdt>
              <w:sdtPr>
                <w:rPr>
                  <w:rFonts w:ascii="Times New Roman" w:hAnsi="Times New Roman" w:cs="Times New Roman"/>
                  <w:sz w:val="18"/>
                  <w:szCs w:val="18"/>
                </w:rPr>
                <w:tag w:val="_PLD_c9804a05df094dd49876b735172aba5e"/>
                <w:id w:val="5812488"/>
                <w:lock w:val="sdtLocked"/>
              </w:sdtPr>
              <w:sdtEndPr>
                <w:rPr>
                  <w:rFonts w:ascii="Times New Roman" w:hAnsi="Times New Roman" w:cs="Times New Roman"/>
                  <w:sz w:val="18"/>
                  <w:szCs w:val="18"/>
                </w:rPr>
              </w:sdtEndPr>
              <w:sdtContent>
                <w:tc>
                  <w:tcPr>
                    <w:tcW w:w="151" w:type="pct"/>
                    <w:vAlign w:val="center"/>
                  </w:tcPr>
                  <w:p>
                    <w:pPr>
                      <w:jc w:val="center"/>
                      <w:rPr>
                        <w:rFonts w:ascii="Times New Roman" w:hAnsi="Times New Roman" w:cs="Times New Roman"/>
                        <w:sz w:val="18"/>
                        <w:szCs w:val="18"/>
                      </w:rPr>
                    </w:pPr>
                    <w:r>
                      <w:rPr>
                        <w:rFonts w:ascii="Times New Roman" w:cs="Times New Roman"/>
                        <w:sz w:val="18"/>
                        <w:szCs w:val="18"/>
                      </w:rPr>
                      <w:t>资金</w:t>
                    </w:r>
                  </w:p>
                  <w:p>
                    <w:pPr>
                      <w:jc w:val="center"/>
                      <w:rPr>
                        <w:rFonts w:ascii="Times New Roman" w:hAnsi="Times New Roman" w:cs="Times New Roman"/>
                        <w:sz w:val="18"/>
                        <w:szCs w:val="18"/>
                      </w:rPr>
                    </w:pPr>
                    <w:r>
                      <w:rPr>
                        <w:rFonts w:ascii="Times New Roman" w:cs="Times New Roman"/>
                        <w:sz w:val="18"/>
                        <w:szCs w:val="18"/>
                      </w:rPr>
                      <w:t>来源</w:t>
                    </w:r>
                  </w:p>
                  <w:p>
                    <w:pPr>
                      <w:jc w:val="center"/>
                      <w:rPr>
                        <w:rFonts w:ascii="Times New Roman" w:hAnsi="Times New Roman" w:cs="Times New Roman"/>
                        <w:sz w:val="18"/>
                        <w:szCs w:val="18"/>
                      </w:rPr>
                    </w:pPr>
                  </w:p>
                </w:tc>
              </w:sdtContent>
            </w:sdt>
            <w:sdt>
              <w:sdtPr>
                <w:rPr>
                  <w:rFonts w:ascii="Times New Roman" w:hAnsi="Times New Roman" w:cs="Times New Roman"/>
                  <w:sz w:val="18"/>
                  <w:szCs w:val="18"/>
                </w:rPr>
                <w:tag w:val="_PLD_b4c9fbf87c1d4eb6829045d600520814"/>
                <w:id w:val="5812489"/>
                <w:lock w:val="sdtLocked"/>
              </w:sdtPr>
              <w:sdtEndPr>
                <w:rPr>
                  <w:rFonts w:ascii="Times New Roman" w:hAnsi="Times New Roman" w:cs="Times New Roman"/>
                  <w:sz w:val="18"/>
                  <w:szCs w:val="18"/>
                </w:rPr>
              </w:sdtEndPr>
              <w:sdtContent>
                <w:tc>
                  <w:tcPr>
                    <w:tcW w:w="1157" w:type="pct"/>
                    <w:vAlign w:val="center"/>
                  </w:tcPr>
                  <w:p>
                    <w:pPr>
                      <w:jc w:val="center"/>
                      <w:rPr>
                        <w:rFonts w:ascii="Times New Roman" w:hAnsi="Times New Roman" w:cs="Times New Roman"/>
                        <w:sz w:val="18"/>
                        <w:szCs w:val="18"/>
                      </w:rPr>
                    </w:pPr>
                    <w:r>
                      <w:rPr>
                        <w:rFonts w:ascii="Times New Roman" w:cs="Times New Roman"/>
                        <w:sz w:val="18"/>
                        <w:szCs w:val="18"/>
                      </w:rPr>
                      <w:t>资金</w:t>
                    </w:r>
                  </w:p>
                  <w:p>
                    <w:pPr>
                      <w:jc w:val="center"/>
                      <w:rPr>
                        <w:rFonts w:ascii="Times New Roman" w:hAnsi="Times New Roman" w:cs="Times New Roman"/>
                        <w:sz w:val="18"/>
                        <w:szCs w:val="18"/>
                      </w:rPr>
                    </w:pPr>
                    <w:r>
                      <w:rPr>
                        <w:rFonts w:ascii="Times New Roman" w:cs="Times New Roman"/>
                        <w:sz w:val="18"/>
                        <w:szCs w:val="18"/>
                      </w:rPr>
                      <w:t>投向</w:t>
                    </w:r>
                  </w:p>
                </w:tc>
              </w:sdtContent>
            </w:sdt>
            <w:sdt>
              <w:sdtPr>
                <w:rPr>
                  <w:rFonts w:ascii="Times New Roman" w:hAnsi="Times New Roman" w:cs="Times New Roman"/>
                  <w:sz w:val="18"/>
                  <w:szCs w:val="18"/>
                </w:rPr>
                <w:tag w:val="_PLD_f35c00ec6d5a43dfa043c6f4b30ad337"/>
                <w:id w:val="5812490"/>
                <w:lock w:val="sdtLocked"/>
              </w:sdtPr>
              <w:sdtEndPr>
                <w:rPr>
                  <w:rFonts w:ascii="Times New Roman" w:hAnsi="Times New Roman" w:cs="Times New Roman"/>
                  <w:sz w:val="18"/>
                  <w:szCs w:val="18"/>
                </w:rPr>
              </w:sdtEndPr>
              <w:sdtContent>
                <w:tc>
                  <w:tcPr>
                    <w:tcW w:w="351" w:type="pct"/>
                    <w:vAlign w:val="center"/>
                  </w:tcPr>
                  <w:p>
                    <w:pPr>
                      <w:jc w:val="center"/>
                      <w:rPr>
                        <w:rFonts w:ascii="Times New Roman" w:hAnsi="Times New Roman" w:cs="Times New Roman"/>
                        <w:sz w:val="18"/>
                        <w:szCs w:val="18"/>
                      </w:rPr>
                    </w:pPr>
                    <w:r>
                      <w:rPr>
                        <w:rFonts w:ascii="Times New Roman" w:cs="Times New Roman"/>
                        <w:sz w:val="18"/>
                        <w:szCs w:val="18"/>
                      </w:rPr>
                      <w:t>报酬确定</w:t>
                    </w:r>
                  </w:p>
                  <w:p>
                    <w:pPr>
                      <w:jc w:val="center"/>
                      <w:rPr>
                        <w:rFonts w:ascii="Times New Roman" w:hAnsi="Times New Roman" w:cs="Times New Roman"/>
                        <w:sz w:val="18"/>
                        <w:szCs w:val="18"/>
                      </w:rPr>
                    </w:pPr>
                    <w:r>
                      <w:rPr>
                        <w:rFonts w:ascii="Times New Roman" w:cs="Times New Roman"/>
                        <w:sz w:val="18"/>
                        <w:szCs w:val="18"/>
                      </w:rPr>
                      <w:t>方式</w:t>
                    </w:r>
                  </w:p>
                </w:tc>
              </w:sdtContent>
            </w:sdt>
            <w:sdt>
              <w:sdtPr>
                <w:rPr>
                  <w:rFonts w:ascii="Times New Roman" w:hAnsi="Times New Roman" w:cs="Times New Roman"/>
                  <w:sz w:val="18"/>
                  <w:szCs w:val="18"/>
                </w:rPr>
                <w:tag w:val="_PLD_2779da11c35d456cae577bebcd53f5dc"/>
                <w:id w:val="5812491"/>
                <w:lock w:val="sdtLocked"/>
              </w:sdtPr>
              <w:sdtEndPr>
                <w:rPr>
                  <w:rFonts w:ascii="Times New Roman" w:hAnsi="Times New Roman" w:cs="Times New Roman"/>
                  <w:sz w:val="18"/>
                  <w:szCs w:val="18"/>
                </w:rPr>
              </w:sdtEndPr>
              <w:sdtContent>
                <w:tc>
                  <w:tcPr>
                    <w:tcW w:w="252" w:type="pct"/>
                    <w:vAlign w:val="center"/>
                  </w:tcPr>
                  <w:p>
                    <w:pPr>
                      <w:jc w:val="center"/>
                      <w:rPr>
                        <w:rFonts w:ascii="Times New Roman" w:hAnsi="Times New Roman" w:cs="Times New Roman"/>
                        <w:sz w:val="18"/>
                        <w:szCs w:val="18"/>
                      </w:rPr>
                    </w:pPr>
                    <w:r>
                      <w:rPr>
                        <w:rFonts w:ascii="Times New Roman" w:cs="Times New Roman"/>
                        <w:sz w:val="18"/>
                        <w:szCs w:val="18"/>
                      </w:rPr>
                      <w:t>年化</w:t>
                    </w:r>
                  </w:p>
                  <w:p>
                    <w:pPr>
                      <w:jc w:val="center"/>
                      <w:rPr>
                        <w:rFonts w:ascii="Times New Roman" w:hAnsi="Times New Roman" w:cs="Times New Roman"/>
                        <w:sz w:val="18"/>
                        <w:szCs w:val="18"/>
                      </w:rPr>
                    </w:pPr>
                    <w:r>
                      <w:rPr>
                        <w:rFonts w:ascii="Times New Roman" w:cs="Times New Roman"/>
                        <w:sz w:val="18"/>
                        <w:szCs w:val="18"/>
                      </w:rPr>
                      <w:t>收益率</w:t>
                    </w:r>
                  </w:p>
                  <w:p>
                    <w:pPr>
                      <w:jc w:val="center"/>
                      <w:rPr>
                        <w:rFonts w:ascii="Times New Roman" w:hAnsi="Times New Roman" w:cs="Times New Roman"/>
                        <w:sz w:val="18"/>
                        <w:szCs w:val="18"/>
                      </w:rPr>
                    </w:pPr>
                  </w:p>
                </w:tc>
              </w:sdtContent>
            </w:sdt>
            <w:sdt>
              <w:sdtPr>
                <w:rPr>
                  <w:rFonts w:ascii="Times New Roman" w:hAnsi="Times New Roman" w:cs="Times New Roman"/>
                  <w:sz w:val="18"/>
                  <w:szCs w:val="18"/>
                </w:rPr>
                <w:tag w:val="_PLD_b46ac6ad312c45f699af34e0319e2387"/>
                <w:id w:val="5812492"/>
                <w:lock w:val="sdtLocked"/>
              </w:sdtPr>
              <w:sdtEndPr>
                <w:rPr>
                  <w:rFonts w:ascii="Times New Roman" w:hAnsi="Times New Roman" w:cs="Times New Roman"/>
                  <w:sz w:val="18"/>
                  <w:szCs w:val="18"/>
                </w:rPr>
              </w:sdtEndPr>
              <w:sdtContent>
                <w:tc>
                  <w:tcPr>
                    <w:tcW w:w="201" w:type="pct"/>
                    <w:vAlign w:val="center"/>
                  </w:tcPr>
                  <w:p>
                    <w:pPr>
                      <w:jc w:val="center"/>
                      <w:rPr>
                        <w:rFonts w:ascii="Times New Roman" w:hAnsi="Times New Roman" w:cs="Times New Roman"/>
                        <w:sz w:val="18"/>
                        <w:szCs w:val="18"/>
                      </w:rPr>
                    </w:pPr>
                    <w:r>
                      <w:rPr>
                        <w:rFonts w:ascii="Times New Roman" w:cs="Times New Roman"/>
                        <w:sz w:val="18"/>
                        <w:szCs w:val="18"/>
                      </w:rPr>
                      <w:t>预期收益</w:t>
                    </w:r>
                  </w:p>
                  <w:p>
                    <w:pPr>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cs="Times New Roman"/>
                        <w:sz w:val="18"/>
                        <w:szCs w:val="18"/>
                      </w:rPr>
                      <w:t>如有</w:t>
                    </w:r>
                    <w:r>
                      <w:rPr>
                        <w:rFonts w:ascii="Times New Roman" w:hAnsi="Times New Roman" w:cs="Times New Roman"/>
                        <w:sz w:val="18"/>
                        <w:szCs w:val="18"/>
                      </w:rPr>
                      <w:t>)</w:t>
                    </w:r>
                  </w:p>
                  <w:p>
                    <w:pPr>
                      <w:jc w:val="center"/>
                      <w:rPr>
                        <w:rFonts w:ascii="Times New Roman" w:hAnsi="Times New Roman" w:cs="Times New Roman"/>
                        <w:sz w:val="18"/>
                        <w:szCs w:val="18"/>
                      </w:rPr>
                    </w:pPr>
                  </w:p>
                </w:tc>
              </w:sdtContent>
            </w:sdt>
            <w:sdt>
              <w:sdtPr>
                <w:rPr>
                  <w:rFonts w:ascii="Times New Roman" w:hAnsi="Times New Roman" w:cs="Times New Roman"/>
                  <w:sz w:val="18"/>
                  <w:szCs w:val="18"/>
                </w:rPr>
                <w:tag w:val="_PLD_03c2dacc44f14a9a9d90e7574bfa5bf5"/>
                <w:id w:val="5812493"/>
                <w:lock w:val="sdtLocked"/>
              </w:sdtPr>
              <w:sdtEndPr>
                <w:rPr>
                  <w:rFonts w:ascii="Times New Roman" w:hAnsi="Times New Roman" w:cs="Times New Roman"/>
                  <w:sz w:val="18"/>
                  <w:szCs w:val="18"/>
                </w:rPr>
              </w:sdtEndPr>
              <w:sdtContent>
                <w:tc>
                  <w:tcPr>
                    <w:tcW w:w="353" w:type="pct"/>
                    <w:vAlign w:val="center"/>
                  </w:tcPr>
                  <w:p>
                    <w:pPr>
                      <w:jc w:val="center"/>
                      <w:rPr>
                        <w:rFonts w:ascii="Times New Roman" w:hAnsi="Times New Roman" w:cs="Times New Roman"/>
                        <w:sz w:val="18"/>
                        <w:szCs w:val="18"/>
                      </w:rPr>
                    </w:pPr>
                    <w:r>
                      <w:rPr>
                        <w:rFonts w:ascii="Times New Roman" w:cs="Times New Roman"/>
                        <w:sz w:val="18"/>
                        <w:szCs w:val="18"/>
                      </w:rPr>
                      <w:t>实际</w:t>
                    </w:r>
                  </w:p>
                  <w:p>
                    <w:pPr>
                      <w:jc w:val="center"/>
                      <w:rPr>
                        <w:rFonts w:ascii="Times New Roman" w:hAnsi="Times New Roman" w:cs="Times New Roman"/>
                        <w:sz w:val="18"/>
                        <w:szCs w:val="18"/>
                      </w:rPr>
                    </w:pPr>
                    <w:r>
                      <w:rPr>
                        <w:rFonts w:ascii="Times New Roman" w:cs="Times New Roman"/>
                        <w:sz w:val="18"/>
                        <w:szCs w:val="18"/>
                      </w:rPr>
                      <w:t>收益或损失</w:t>
                    </w:r>
                  </w:p>
                </w:tc>
              </w:sdtContent>
            </w:sdt>
            <w:sdt>
              <w:sdtPr>
                <w:rPr>
                  <w:rFonts w:ascii="Times New Roman" w:hAnsi="Times New Roman" w:cs="Times New Roman"/>
                  <w:sz w:val="18"/>
                  <w:szCs w:val="18"/>
                </w:rPr>
                <w:tag w:val="_PLD_3cc42238218c4c548180822c57cb732d"/>
                <w:id w:val="5812494"/>
                <w:lock w:val="sdtLocked"/>
              </w:sdtPr>
              <w:sdtEndPr>
                <w:rPr>
                  <w:rFonts w:ascii="Times New Roman" w:hAnsi="Times New Roman" w:cs="Times New Roman"/>
                  <w:sz w:val="18"/>
                  <w:szCs w:val="18"/>
                </w:rPr>
              </w:sdtEndPr>
              <w:sdtContent>
                <w:tc>
                  <w:tcPr>
                    <w:tcW w:w="452" w:type="pct"/>
                    <w:vAlign w:val="center"/>
                  </w:tcPr>
                  <w:p>
                    <w:pPr>
                      <w:jc w:val="center"/>
                      <w:rPr>
                        <w:rFonts w:ascii="Times New Roman" w:hAnsi="Times New Roman" w:cs="Times New Roman"/>
                        <w:sz w:val="18"/>
                        <w:szCs w:val="18"/>
                      </w:rPr>
                    </w:pPr>
                    <w:r>
                      <w:rPr>
                        <w:rFonts w:ascii="Times New Roman" w:cs="Times New Roman"/>
                        <w:sz w:val="18"/>
                        <w:szCs w:val="18"/>
                      </w:rPr>
                      <w:t>实际收回情况</w:t>
                    </w:r>
                  </w:p>
                </w:tc>
              </w:sdtContent>
            </w:sdt>
            <w:sdt>
              <w:sdtPr>
                <w:rPr>
                  <w:rFonts w:ascii="Times New Roman" w:hAnsi="Times New Roman" w:cs="Times New Roman"/>
                  <w:sz w:val="18"/>
                  <w:szCs w:val="18"/>
                </w:rPr>
                <w:tag w:val="_PLD_8dbaffa3692a47b3bf730833b1de0954"/>
                <w:id w:val="5812495"/>
                <w:lock w:val="sdtLocked"/>
              </w:sdtPr>
              <w:sdtEndPr>
                <w:rPr>
                  <w:rFonts w:ascii="Times New Roman" w:hAnsi="Times New Roman" w:cs="Times New Roman"/>
                  <w:sz w:val="18"/>
                  <w:szCs w:val="18"/>
                </w:rPr>
              </w:sdtEndPr>
              <w:sdtContent>
                <w:tc>
                  <w:tcPr>
                    <w:tcW w:w="151"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rPr>
                      <w:t>是否经过法定程序</w:t>
                    </w:r>
                  </w:p>
                </w:tc>
              </w:sdtContent>
            </w:sdt>
            <w:sdt>
              <w:sdtPr>
                <w:rPr>
                  <w:rFonts w:ascii="Times New Roman" w:hAnsi="Times New Roman" w:cs="Times New Roman"/>
                  <w:sz w:val="18"/>
                  <w:szCs w:val="18"/>
                </w:rPr>
                <w:tag w:val="_PLD_f458c0cb5fa446a0ba74ad130e8a616e"/>
                <w:id w:val="5812496"/>
                <w:lock w:val="sdtLocked"/>
              </w:sdtPr>
              <w:sdtEndPr>
                <w:rPr>
                  <w:rFonts w:ascii="Times New Roman" w:hAnsi="Times New Roman" w:cs="Times New Roman"/>
                  <w:sz w:val="18"/>
                  <w:szCs w:val="18"/>
                </w:rPr>
              </w:sdtEndPr>
              <w:sdtContent>
                <w:tc>
                  <w:tcPr>
                    <w:tcW w:w="251"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rPr>
                      <w:t>未来是否有委托理财计划</w:t>
                    </w:r>
                  </w:p>
                </w:tc>
              </w:sdtContent>
            </w:sdt>
            <w:sdt>
              <w:sdtPr>
                <w:rPr>
                  <w:rFonts w:ascii="Times New Roman" w:hAnsi="Times New Roman" w:cs="Times New Roman"/>
                  <w:sz w:val="18"/>
                  <w:szCs w:val="18"/>
                </w:rPr>
                <w:tag w:val="_PLD_19a161ee5fe54116b9305f04220f50cb"/>
                <w:id w:val="5812497"/>
                <w:lock w:val="sdtLocked"/>
              </w:sdtPr>
              <w:sdtEndPr>
                <w:rPr>
                  <w:rFonts w:ascii="Times New Roman" w:hAnsi="Times New Roman" w:cs="Times New Roman"/>
                  <w:sz w:val="18"/>
                  <w:szCs w:val="18"/>
                </w:rPr>
              </w:sdtEndPr>
              <w:sdtContent>
                <w:tc>
                  <w:tcPr>
                    <w:tcW w:w="233" w:type="pct"/>
                    <w:vAlign w:val="center"/>
                  </w:tcPr>
                  <w:p>
                    <w:pPr>
                      <w:jc w:val="center"/>
                      <w:rPr>
                        <w:rFonts w:ascii="Times New Roman" w:hAnsi="Times New Roman" w:cs="Times New Roman"/>
                        <w:sz w:val="18"/>
                        <w:szCs w:val="18"/>
                      </w:rPr>
                    </w:pPr>
                    <w:r>
                      <w:rPr>
                        <w:rFonts w:ascii="Times New Roman" w:cs="Times New Roman"/>
                        <w:sz w:val="18"/>
                        <w:szCs w:val="18"/>
                      </w:rPr>
                      <w:t>减值准备计提金额</w:t>
                    </w:r>
                    <w:r>
                      <w:rPr>
                        <w:rFonts w:ascii="Times New Roman" w:hAnsi="Times New Roman" w:cs="Times New Roman"/>
                        <w:sz w:val="18"/>
                        <w:szCs w:val="18"/>
                      </w:rPr>
                      <w:t>(</w:t>
                    </w:r>
                    <w:r>
                      <w:rPr>
                        <w:rFonts w:ascii="Times New Roman" w:cs="Times New Roman"/>
                        <w:sz w:val="18"/>
                        <w:szCs w:val="18"/>
                      </w:rPr>
                      <w:t>如有</w:t>
                    </w:r>
                    <w:r>
                      <w:rPr>
                        <w:rFonts w:ascii="Times New Roman" w:hAnsi="Times New Roman" w:cs="Times New Roman"/>
                        <w:sz w:val="18"/>
                        <w:szCs w:val="18"/>
                      </w:rPr>
                      <w:t>)</w:t>
                    </w:r>
                  </w:p>
                </w:tc>
              </w:sdtContent>
            </w:sdt>
          </w:tr>
          <w:sdt>
            <w:sdtPr>
              <w:rPr>
                <w:rFonts w:ascii="Times New Roman" w:hAnsi="Times New Roman" w:cs="Times New Roman" w:eastAsiaTheme="minorEastAsia"/>
                <w:kern w:val="2"/>
                <w:sz w:val="18"/>
                <w:szCs w:val="18"/>
              </w:rPr>
              <w:alias w:val="单项委托理财情况"/>
              <w:tag w:val="_TUP_654fd4c80ccf4f25970ac807fdc3a14a"/>
              <w:id w:val="5812500"/>
              <w:lock w:val="sdtLocked"/>
            </w:sdtPr>
            <w:sdtEndPr>
              <w:rPr>
                <w:rStyle w:val="42"/>
                <w:rFonts w:ascii="Times New Roman" w:hAnsi="Times New Roman" w:eastAsia="宋体" w:cs="Times New Roman"/>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shd w:val="clear" w:color="auto" w:fill="auto"/>
                    <w:vAlign w:val="center"/>
                  </w:tcPr>
                  <w:p>
                    <w:pPr>
                      <w:jc w:val="right"/>
                      <w:rPr>
                        <w:rFonts w:ascii="Times New Roman" w:hAnsi="Times New Roman" w:cs="Times New Roman"/>
                        <w:sz w:val="18"/>
                        <w:szCs w:val="18"/>
                      </w:rPr>
                    </w:pPr>
                    <w:r>
                      <w:rPr>
                        <w:rFonts w:ascii="Times New Roman" w:cs="Times New Roman"/>
                        <w:sz w:val="18"/>
                        <w:szCs w:val="18"/>
                      </w:rPr>
                      <w:t>广西北部湾银行股份有限公司</w:t>
                    </w:r>
                  </w:p>
                </w:tc>
                <w:tc>
                  <w:tcPr>
                    <w:tcW w:w="252" w:type="pct"/>
                    <w:shd w:val="clear" w:color="auto" w:fill="auto"/>
                    <w:vAlign w:val="center"/>
                  </w:tcPr>
                  <w:p>
                    <w:pPr>
                      <w:jc w:val="right"/>
                      <w:rPr>
                        <w:rFonts w:ascii="Times New Roman" w:hAnsi="Times New Roman" w:cs="Times New Roman"/>
                        <w:sz w:val="18"/>
                        <w:szCs w:val="18"/>
                      </w:rPr>
                    </w:pPr>
                    <w:r>
                      <w:rPr>
                        <w:rFonts w:ascii="Times New Roman" w:cs="Times New Roman"/>
                        <w:sz w:val="18"/>
                        <w:szCs w:val="18"/>
                      </w:rPr>
                      <w:t>非保本浮动收益型</w:t>
                    </w:r>
                  </w:p>
                </w:tc>
                <w:tc>
                  <w:tcPr>
                    <w:tcW w:w="251" w:type="pct"/>
                    <w:vAlign w:val="center"/>
                  </w:tcPr>
                  <w:p>
                    <w:pPr>
                      <w:jc w:val="right"/>
                      <w:rPr>
                        <w:rFonts w:ascii="Times New Roman" w:hAnsi="Times New Roman" w:cs="Times New Roman"/>
                        <w:sz w:val="18"/>
                        <w:szCs w:val="18"/>
                      </w:rPr>
                    </w:pPr>
                    <w:r>
                      <w:rPr>
                        <w:rFonts w:ascii="Times New Roman" w:hAnsi="Times New Roman" w:cs="Times New Roman"/>
                        <w:sz w:val="18"/>
                        <w:szCs w:val="18"/>
                      </w:rPr>
                      <w:t>1,200</w:t>
                    </w:r>
                  </w:p>
                </w:tc>
                <w:tc>
                  <w:tcPr>
                    <w:tcW w:w="302" w:type="pct"/>
                    <w:vAlign w:val="center"/>
                  </w:tcPr>
                  <w:p>
                    <w:pPr>
                      <w:jc w:val="right"/>
                      <w:rPr>
                        <w:rFonts w:ascii="Times New Roman" w:hAnsi="Times New Roman" w:cs="Times New Roman"/>
                        <w:sz w:val="18"/>
                        <w:szCs w:val="18"/>
                      </w:rPr>
                    </w:pPr>
                    <w:r>
                      <w:rPr>
                        <w:rFonts w:ascii="Times New Roman" w:hAnsi="Times New Roman" w:cs="Times New Roman"/>
                        <w:sz w:val="18"/>
                        <w:szCs w:val="18"/>
                      </w:rPr>
                      <w:t>2020</w:t>
                    </w:r>
                    <w:r>
                      <w:rPr>
                        <w:rFonts w:ascii="Times New Roman" w:cs="Times New Roman"/>
                        <w:sz w:val="18"/>
                        <w:szCs w:val="18"/>
                      </w:rPr>
                      <w:t>年</w:t>
                    </w:r>
                    <w:r>
                      <w:rPr>
                        <w:rFonts w:ascii="Times New Roman" w:hAnsi="Times New Roman" w:cs="Times New Roman"/>
                        <w:sz w:val="18"/>
                        <w:szCs w:val="18"/>
                      </w:rPr>
                      <w:t>1</w:t>
                    </w:r>
                    <w:r>
                      <w:rPr>
                        <w:rFonts w:ascii="Times New Roman" w:cs="Times New Roman"/>
                        <w:sz w:val="18"/>
                        <w:szCs w:val="18"/>
                      </w:rPr>
                      <w:t>月</w:t>
                    </w:r>
                    <w:r>
                      <w:rPr>
                        <w:rFonts w:ascii="Times New Roman" w:hAnsi="Times New Roman" w:cs="Times New Roman"/>
                        <w:sz w:val="18"/>
                        <w:szCs w:val="18"/>
                      </w:rPr>
                      <w:t>6</w:t>
                    </w:r>
                    <w:r>
                      <w:rPr>
                        <w:rFonts w:ascii="Times New Roman" w:cs="Times New Roman"/>
                        <w:sz w:val="18"/>
                        <w:szCs w:val="18"/>
                      </w:rPr>
                      <w:t>日</w:t>
                    </w:r>
                  </w:p>
                </w:tc>
                <w:tc>
                  <w:tcPr>
                    <w:tcW w:w="352" w:type="pct"/>
                    <w:vAlign w:val="center"/>
                  </w:tcPr>
                  <w:p>
                    <w:pPr>
                      <w:jc w:val="right"/>
                      <w:rPr>
                        <w:rFonts w:ascii="Times New Roman" w:hAnsi="Times New Roman" w:cs="Times New Roman"/>
                        <w:sz w:val="18"/>
                        <w:szCs w:val="18"/>
                      </w:rPr>
                    </w:pPr>
                    <w:r>
                      <w:rPr>
                        <w:rFonts w:ascii="Times New Roman" w:hAnsi="Times New Roman" w:cs="Times New Roman"/>
                        <w:sz w:val="18"/>
                        <w:szCs w:val="18"/>
                      </w:rPr>
                      <w:t>2021</w:t>
                    </w:r>
                    <w:r>
                      <w:rPr>
                        <w:rFonts w:ascii="Times New Roman" w:cs="Times New Roman"/>
                        <w:sz w:val="18"/>
                        <w:szCs w:val="18"/>
                      </w:rPr>
                      <w:t>年</w:t>
                    </w:r>
                    <w:r>
                      <w:rPr>
                        <w:rFonts w:ascii="Times New Roman" w:hAnsi="Times New Roman" w:cs="Times New Roman"/>
                        <w:sz w:val="18"/>
                        <w:szCs w:val="18"/>
                      </w:rPr>
                      <w:t>8</w:t>
                    </w:r>
                    <w:r>
                      <w:rPr>
                        <w:rFonts w:ascii="Times New Roman" w:cs="Times New Roman"/>
                        <w:sz w:val="18"/>
                        <w:szCs w:val="18"/>
                      </w:rPr>
                      <w:t>月</w:t>
                    </w:r>
                    <w:r>
                      <w:rPr>
                        <w:rFonts w:ascii="Times New Roman" w:hAnsi="Times New Roman" w:cs="Times New Roman"/>
                        <w:sz w:val="18"/>
                        <w:szCs w:val="18"/>
                      </w:rPr>
                      <w:t>19</w:t>
                    </w:r>
                    <w:r>
                      <w:rPr>
                        <w:rFonts w:ascii="Times New Roman" w:cs="Times New Roman"/>
                        <w:sz w:val="18"/>
                        <w:szCs w:val="18"/>
                      </w:rPr>
                      <w:t>日</w:t>
                    </w:r>
                  </w:p>
                </w:tc>
                <w:tc>
                  <w:tcPr>
                    <w:tcW w:w="151" w:type="pct"/>
                    <w:vAlign w:val="center"/>
                  </w:tcPr>
                  <w:p>
                    <w:pPr>
                      <w:jc w:val="right"/>
                      <w:rPr>
                        <w:rFonts w:ascii="Times New Roman" w:hAnsi="Times New Roman" w:cs="Times New Roman"/>
                        <w:sz w:val="18"/>
                        <w:szCs w:val="18"/>
                      </w:rPr>
                    </w:pPr>
                    <w:r>
                      <w:rPr>
                        <w:rFonts w:ascii="Times New Roman" w:cs="Times New Roman"/>
                        <w:sz w:val="18"/>
                        <w:szCs w:val="18"/>
                      </w:rPr>
                      <w:t>自有资金</w:t>
                    </w:r>
                  </w:p>
                </w:tc>
                <w:tc>
                  <w:tcPr>
                    <w:tcW w:w="1157" w:type="pct"/>
                    <w:vAlign w:val="center"/>
                  </w:tcPr>
                  <w:p>
                    <w:pPr>
                      <w:jc w:val="both"/>
                      <w:rPr>
                        <w:rFonts w:ascii="Times New Roman" w:hAnsi="Times New Roman" w:cs="Times New Roman"/>
                        <w:sz w:val="18"/>
                        <w:szCs w:val="18"/>
                      </w:rPr>
                    </w:pPr>
                    <w:r>
                      <w:rPr>
                        <w:rFonts w:ascii="Times New Roman" w:cs="Times New Roman"/>
                        <w:sz w:val="18"/>
                        <w:szCs w:val="18"/>
                      </w:rPr>
                      <w:t>主要投资于符合监管要求的固定收益类资产</w:t>
                    </w:r>
                    <w:r>
                      <w:rPr>
                        <w:rFonts w:ascii="Times New Roman" w:hAnsi="Times New Roman" w:cs="Times New Roman"/>
                        <w:sz w:val="18"/>
                        <w:szCs w:val="18"/>
                      </w:rPr>
                      <w:t>80%-100%</w:t>
                    </w:r>
                    <w:r>
                      <w:rPr>
                        <w:rFonts w:ascii="Times New Roman" w:cs="Times New Roman"/>
                        <w:sz w:val="18"/>
                        <w:szCs w:val="18"/>
                      </w:rPr>
                      <w:t>，其他符合监管要求的资产</w:t>
                    </w:r>
                    <w:r>
                      <w:rPr>
                        <w:rFonts w:ascii="Times New Roman" w:hAnsi="Times New Roman" w:cs="Times New Roman"/>
                        <w:sz w:val="18"/>
                        <w:szCs w:val="18"/>
                      </w:rPr>
                      <w:t>0%-20%</w:t>
                    </w:r>
                    <w:r>
                      <w:rPr>
                        <w:rFonts w:ascii="Times New Roman" w:cs="Times New Roman"/>
                        <w:sz w:val="18"/>
                        <w:szCs w:val="18"/>
                      </w:rPr>
                      <w:t>。</w:t>
                    </w:r>
                  </w:p>
                </w:tc>
                <w:tc>
                  <w:tcPr>
                    <w:tcW w:w="351" w:type="pct"/>
                    <w:vAlign w:val="center"/>
                  </w:tcPr>
                  <w:p>
                    <w:pPr>
                      <w:jc w:val="both"/>
                      <w:rPr>
                        <w:rFonts w:ascii="Times New Roman" w:hAnsi="Times New Roman" w:cs="Times New Roman"/>
                        <w:sz w:val="18"/>
                        <w:szCs w:val="18"/>
                      </w:rPr>
                    </w:pPr>
                    <w:r>
                      <w:rPr>
                        <w:rFonts w:ascii="Times New Roman" w:cs="Times New Roman"/>
                        <w:sz w:val="18"/>
                        <w:szCs w:val="18"/>
                      </w:rPr>
                      <w:t>收益将于周期清算日次日支付</w:t>
                    </w:r>
                  </w:p>
                </w:tc>
                <w:tc>
                  <w:tcPr>
                    <w:tcW w:w="252" w:type="pct"/>
                    <w:vAlign w:val="center"/>
                  </w:tcPr>
                  <w:p>
                    <w:pPr>
                      <w:jc w:val="right"/>
                      <w:rPr>
                        <w:rStyle w:val="42"/>
                        <w:rFonts w:ascii="Times New Roman" w:hAnsi="Times New Roman"/>
                        <w:sz w:val="18"/>
                        <w:szCs w:val="18"/>
                      </w:rPr>
                    </w:pPr>
                    <w:r>
                      <w:rPr>
                        <w:rFonts w:ascii="Times New Roman" w:hAnsi="Times New Roman" w:cs="Times New Roman"/>
                        <w:sz w:val="18"/>
                        <w:szCs w:val="18"/>
                      </w:rPr>
                      <w:t>4%</w:t>
                    </w:r>
                    <w:r>
                      <w:rPr>
                        <w:rFonts w:ascii="Times New Roman" w:cs="Times New Roman"/>
                        <w:sz w:val="18"/>
                        <w:szCs w:val="18"/>
                      </w:rPr>
                      <w:t>收益率</w:t>
                    </w:r>
                  </w:p>
                </w:tc>
                <w:tc>
                  <w:tcPr>
                    <w:tcW w:w="201" w:type="pct"/>
                    <w:vAlign w:val="center"/>
                  </w:tcPr>
                  <w:p>
                    <w:pPr>
                      <w:jc w:val="right"/>
                      <w:rPr>
                        <w:rStyle w:val="42"/>
                        <w:rFonts w:ascii="Times New Roman" w:hAnsi="Times New Roman"/>
                        <w:sz w:val="18"/>
                        <w:szCs w:val="18"/>
                      </w:rPr>
                    </w:pPr>
                    <w:r>
                      <w:rPr>
                        <w:rFonts w:ascii="Times New Roman" w:hAnsi="Times New Roman" w:cs="Times New Roman"/>
                        <w:sz w:val="18"/>
                        <w:szCs w:val="18"/>
                      </w:rPr>
                      <w:t>4%</w:t>
                    </w:r>
                  </w:p>
                </w:tc>
                <w:tc>
                  <w:tcPr>
                    <w:tcW w:w="353" w:type="pct"/>
                    <w:vAlign w:val="center"/>
                  </w:tcPr>
                  <w:p>
                    <w:pPr>
                      <w:jc w:val="right"/>
                      <w:rPr>
                        <w:rStyle w:val="42"/>
                        <w:rFonts w:ascii="Times New Roman" w:hAnsi="Times New Roman"/>
                        <w:sz w:val="18"/>
                        <w:szCs w:val="18"/>
                      </w:rPr>
                    </w:pPr>
                    <w:r>
                      <w:rPr>
                        <w:rFonts w:ascii="Times New Roman" w:hAnsi="Times New Roman" w:cs="Times New Roman"/>
                        <w:sz w:val="18"/>
                        <w:szCs w:val="18"/>
                      </w:rPr>
                      <w:t>45.887880</w:t>
                    </w:r>
                  </w:p>
                </w:tc>
                <w:tc>
                  <w:tcPr>
                    <w:tcW w:w="452" w:type="pct"/>
                    <w:vAlign w:val="center"/>
                  </w:tcPr>
                  <w:p>
                    <w:pPr>
                      <w:ind w:right="90"/>
                      <w:jc w:val="right"/>
                      <w:rPr>
                        <w:rStyle w:val="42"/>
                        <w:rFonts w:ascii="Times New Roman" w:hAnsi="Times New Roman"/>
                        <w:sz w:val="18"/>
                        <w:szCs w:val="18"/>
                      </w:rPr>
                    </w:pPr>
                    <w:r>
                      <w:rPr>
                        <w:rFonts w:ascii="Times New Roman" w:hAnsi="Times New Roman" w:cs="Times New Roman"/>
                        <w:sz w:val="18"/>
                        <w:szCs w:val="18"/>
                      </w:rPr>
                      <w:t>2,595.88788</w:t>
                    </w:r>
                  </w:p>
                </w:tc>
                <w:sdt>
                  <w:sdtPr>
                    <w:rPr>
                      <w:rFonts w:ascii="Times New Roman" w:hAnsi="Times New Roman" w:cs="Times New Roman"/>
                      <w:sz w:val="18"/>
                      <w:szCs w:val="18"/>
                    </w:rPr>
                    <w:alias w:val="委托理财是否经过法定程序"/>
                    <w:tag w:val="_GBC_6c28417b630b486ca5d24d4fed27b675"/>
                    <w:id w:val="5812498"/>
                    <w:lock w:val="sdtLocked"/>
                    <w:comboBox>
                      <w:listItem w:displayText="是" w:value="true"/>
                      <w:listItem w:displayText="否" w:value="false"/>
                    </w:comboBox>
                  </w:sdtPr>
                  <w:sdtEndPr>
                    <w:rPr>
                      <w:rFonts w:ascii="Times New Roman" w:hAnsi="Times New Roman" w:cs="Times New Roman"/>
                      <w:sz w:val="18"/>
                      <w:szCs w:val="18"/>
                    </w:rPr>
                  </w:sdtEndPr>
                  <w:sdtContent>
                    <w:tc>
                      <w:tcPr>
                        <w:tcW w:w="151" w:type="pct"/>
                        <w:shd w:val="clear" w:color="auto" w:fill="auto"/>
                        <w:vAlign w:val="center"/>
                      </w:tcPr>
                      <w:p>
                        <w:pPr>
                          <w:jc w:val="right"/>
                          <w:rPr>
                            <w:rFonts w:ascii="Times New Roman" w:hAnsi="Times New Roman" w:cs="Times New Roman"/>
                            <w:sz w:val="18"/>
                            <w:szCs w:val="18"/>
                          </w:rPr>
                        </w:pPr>
                        <w:r>
                          <w:rPr>
                            <w:rFonts w:ascii="Times New Roman" w:cs="Times New Roman"/>
                            <w:kern w:val="2"/>
                            <w:sz w:val="18"/>
                            <w:szCs w:val="18"/>
                          </w:rPr>
                          <w:t>是　</w:t>
                        </w:r>
                      </w:p>
                    </w:tc>
                  </w:sdtContent>
                </w:sdt>
                <w:sdt>
                  <w:sdtPr>
                    <w:rPr>
                      <w:rFonts w:ascii="Times New Roman" w:hAnsi="Times New Roman" w:cs="Times New Roman"/>
                      <w:sz w:val="18"/>
                      <w:szCs w:val="18"/>
                    </w:rPr>
                    <w:alias w:val="单项委托未来是否有委托理财计划"/>
                    <w:tag w:val="_GBC_9a14eb4662974f5a8a8b67ae1aa70521"/>
                    <w:id w:val="5812499"/>
                    <w:lock w:val="sdtLocked"/>
                    <w:comboBox>
                      <w:listItem w:displayText="是" w:value="true"/>
                      <w:listItem w:displayText="否" w:value="false"/>
                    </w:comboBox>
                  </w:sdtPr>
                  <w:sdtEndPr>
                    <w:rPr>
                      <w:rFonts w:ascii="Times New Roman" w:hAnsi="Times New Roman" w:cs="Times New Roman"/>
                      <w:sz w:val="18"/>
                      <w:szCs w:val="18"/>
                    </w:rPr>
                  </w:sdtEndPr>
                  <w:sdtContent>
                    <w:tc>
                      <w:tcPr>
                        <w:tcW w:w="251" w:type="pct"/>
                        <w:shd w:val="clear" w:color="auto" w:fill="auto"/>
                        <w:vAlign w:val="center"/>
                      </w:tcPr>
                      <w:p>
                        <w:pPr>
                          <w:jc w:val="right"/>
                          <w:rPr>
                            <w:rFonts w:ascii="Times New Roman" w:hAnsi="Times New Roman" w:cs="Times New Roman"/>
                            <w:sz w:val="18"/>
                            <w:szCs w:val="18"/>
                          </w:rPr>
                        </w:pPr>
                        <w:r>
                          <w:rPr>
                            <w:rFonts w:ascii="Times New Roman" w:cs="Times New Roman"/>
                            <w:sz w:val="18"/>
                            <w:szCs w:val="18"/>
                          </w:rPr>
                          <w:t>是</w:t>
                        </w:r>
                      </w:p>
                    </w:tc>
                  </w:sdtContent>
                </w:sdt>
                <w:tc>
                  <w:tcPr>
                    <w:tcW w:w="233" w:type="pct"/>
                    <w:vAlign w:val="center"/>
                  </w:tcPr>
                  <w:p>
                    <w:pPr>
                      <w:jc w:val="right"/>
                      <w:rPr>
                        <w:rStyle w:val="42"/>
                        <w:rFonts w:ascii="Times New Roman" w:hAnsi="Times New Roman"/>
                        <w:sz w:val="18"/>
                        <w:szCs w:val="18"/>
                      </w:rPr>
                    </w:pPr>
                    <w:r>
                      <w:rPr>
                        <w:rFonts w:ascii="Times New Roman" w:hAnsi="Times New Roman" w:cs="Times New Roman"/>
                        <w:sz w:val="18"/>
                        <w:szCs w:val="18"/>
                      </w:rPr>
                      <w:t>0</w:t>
                    </w:r>
                  </w:p>
                </w:tc>
              </w:tr>
            </w:sdtContent>
          </w:sdt>
          <w:sdt>
            <w:sdtPr>
              <w:rPr>
                <w:rFonts w:ascii="Times New Roman" w:hAnsi="Times New Roman" w:cs="Times New Roman" w:eastAsiaTheme="minorEastAsia"/>
                <w:kern w:val="2"/>
                <w:sz w:val="18"/>
                <w:szCs w:val="18"/>
              </w:rPr>
              <w:alias w:val="单项委托理财情况"/>
              <w:tag w:val="_TUP_654fd4c80ccf4f25970ac807fdc3a14a"/>
              <w:id w:val="5812503"/>
              <w:lock w:val="sdtLocked"/>
            </w:sdtPr>
            <w:sdtEndPr>
              <w:rPr>
                <w:rStyle w:val="42"/>
                <w:rFonts w:ascii="Times New Roman" w:hAnsi="Times New Roman" w:eastAsia="宋体" w:cs="Times New Roman"/>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shd w:val="clear" w:color="auto" w:fill="auto"/>
                    <w:vAlign w:val="center"/>
                  </w:tcPr>
                  <w:p>
                    <w:pPr>
                      <w:jc w:val="right"/>
                      <w:rPr>
                        <w:rFonts w:ascii="Times New Roman" w:hAnsi="Times New Roman" w:cs="Times New Roman"/>
                        <w:sz w:val="18"/>
                        <w:szCs w:val="18"/>
                      </w:rPr>
                    </w:pPr>
                    <w:r>
                      <w:rPr>
                        <w:rFonts w:ascii="Times New Roman" w:cs="Times New Roman"/>
                        <w:sz w:val="18"/>
                        <w:szCs w:val="18"/>
                      </w:rPr>
                      <w:t>广西北部湾银行股份有限公司</w:t>
                    </w:r>
                  </w:p>
                </w:tc>
                <w:tc>
                  <w:tcPr>
                    <w:tcW w:w="252" w:type="pct"/>
                    <w:shd w:val="clear" w:color="auto" w:fill="auto"/>
                    <w:vAlign w:val="center"/>
                  </w:tcPr>
                  <w:p>
                    <w:pPr>
                      <w:jc w:val="right"/>
                      <w:rPr>
                        <w:rFonts w:ascii="Times New Roman" w:hAnsi="Times New Roman" w:cs="Times New Roman"/>
                        <w:sz w:val="18"/>
                        <w:szCs w:val="18"/>
                      </w:rPr>
                    </w:pPr>
                    <w:r>
                      <w:rPr>
                        <w:rFonts w:ascii="Times New Roman" w:cs="Times New Roman"/>
                        <w:sz w:val="18"/>
                        <w:szCs w:val="18"/>
                      </w:rPr>
                      <w:t>非保本浮动收益型</w:t>
                    </w:r>
                  </w:p>
                </w:tc>
                <w:tc>
                  <w:tcPr>
                    <w:tcW w:w="251" w:type="pct"/>
                    <w:vAlign w:val="center"/>
                  </w:tcPr>
                  <w:p>
                    <w:pPr>
                      <w:jc w:val="right"/>
                      <w:rPr>
                        <w:rFonts w:ascii="Times New Roman" w:hAnsi="Times New Roman" w:cs="Times New Roman"/>
                        <w:sz w:val="18"/>
                        <w:szCs w:val="18"/>
                      </w:rPr>
                    </w:pPr>
                    <w:r>
                      <w:rPr>
                        <w:rFonts w:ascii="Times New Roman" w:hAnsi="Times New Roman" w:cs="Times New Roman"/>
                        <w:sz w:val="18"/>
                        <w:szCs w:val="18"/>
                      </w:rPr>
                      <w:t>3,200</w:t>
                    </w:r>
                  </w:p>
                </w:tc>
                <w:tc>
                  <w:tcPr>
                    <w:tcW w:w="302" w:type="pct"/>
                    <w:vAlign w:val="center"/>
                  </w:tcPr>
                  <w:p>
                    <w:pPr>
                      <w:jc w:val="right"/>
                      <w:rPr>
                        <w:rFonts w:ascii="Times New Roman" w:hAnsi="Times New Roman" w:cs="Times New Roman"/>
                        <w:sz w:val="18"/>
                        <w:szCs w:val="18"/>
                      </w:rPr>
                    </w:pPr>
                    <w:r>
                      <w:rPr>
                        <w:rFonts w:ascii="Times New Roman" w:hAnsi="Times New Roman" w:cs="Times New Roman"/>
                        <w:sz w:val="18"/>
                        <w:szCs w:val="18"/>
                      </w:rPr>
                      <w:t>2021</w:t>
                    </w:r>
                    <w:r>
                      <w:rPr>
                        <w:rFonts w:ascii="Times New Roman" w:cs="Times New Roman"/>
                        <w:sz w:val="18"/>
                        <w:szCs w:val="18"/>
                      </w:rPr>
                      <w:t>年</w:t>
                    </w:r>
                    <w:r>
                      <w:rPr>
                        <w:rFonts w:ascii="Times New Roman" w:hAnsi="Times New Roman" w:cs="Times New Roman"/>
                        <w:sz w:val="18"/>
                        <w:szCs w:val="18"/>
                      </w:rPr>
                      <w:t>3</w:t>
                    </w:r>
                    <w:r>
                      <w:rPr>
                        <w:rFonts w:ascii="Times New Roman" w:cs="Times New Roman"/>
                        <w:sz w:val="18"/>
                        <w:szCs w:val="18"/>
                      </w:rPr>
                      <w:t>月</w:t>
                    </w:r>
                    <w:r>
                      <w:rPr>
                        <w:rFonts w:ascii="Times New Roman" w:hAnsi="Times New Roman" w:cs="Times New Roman"/>
                        <w:sz w:val="18"/>
                        <w:szCs w:val="18"/>
                      </w:rPr>
                      <w:t>11</w:t>
                    </w:r>
                    <w:r>
                      <w:rPr>
                        <w:rFonts w:ascii="Times New Roman" w:cs="Times New Roman"/>
                        <w:sz w:val="18"/>
                        <w:szCs w:val="18"/>
                      </w:rPr>
                      <w:t>日</w:t>
                    </w:r>
                  </w:p>
                </w:tc>
                <w:tc>
                  <w:tcPr>
                    <w:tcW w:w="352" w:type="pct"/>
                    <w:vAlign w:val="center"/>
                  </w:tcPr>
                  <w:p>
                    <w:pPr>
                      <w:jc w:val="right"/>
                      <w:rPr>
                        <w:rFonts w:ascii="Times New Roman" w:hAnsi="Times New Roman" w:cs="Times New Roman"/>
                        <w:sz w:val="18"/>
                        <w:szCs w:val="18"/>
                      </w:rPr>
                    </w:pPr>
                    <w:r>
                      <w:rPr>
                        <w:rFonts w:ascii="Times New Roman" w:hAnsi="Times New Roman" w:cs="Times New Roman"/>
                        <w:sz w:val="18"/>
                        <w:szCs w:val="18"/>
                      </w:rPr>
                      <w:t>2021</w:t>
                    </w:r>
                    <w:r>
                      <w:rPr>
                        <w:rFonts w:ascii="Times New Roman" w:cs="Times New Roman"/>
                        <w:sz w:val="18"/>
                        <w:szCs w:val="18"/>
                      </w:rPr>
                      <w:t>年</w:t>
                    </w:r>
                    <w:r>
                      <w:rPr>
                        <w:rFonts w:ascii="Times New Roman" w:hAnsi="Times New Roman" w:cs="Times New Roman"/>
                        <w:sz w:val="18"/>
                        <w:szCs w:val="18"/>
                      </w:rPr>
                      <w:t>12</w:t>
                    </w:r>
                    <w:r>
                      <w:rPr>
                        <w:rFonts w:ascii="Times New Roman" w:cs="Times New Roman"/>
                        <w:sz w:val="18"/>
                        <w:szCs w:val="18"/>
                      </w:rPr>
                      <w:t>月</w:t>
                    </w:r>
                    <w:r>
                      <w:rPr>
                        <w:rFonts w:ascii="Times New Roman" w:hAnsi="Times New Roman" w:cs="Times New Roman"/>
                        <w:sz w:val="18"/>
                        <w:szCs w:val="18"/>
                      </w:rPr>
                      <w:t>24</w:t>
                    </w:r>
                    <w:r>
                      <w:rPr>
                        <w:rFonts w:ascii="Times New Roman" w:cs="Times New Roman"/>
                        <w:sz w:val="18"/>
                        <w:szCs w:val="18"/>
                      </w:rPr>
                      <w:t>日</w:t>
                    </w:r>
                  </w:p>
                </w:tc>
                <w:tc>
                  <w:tcPr>
                    <w:tcW w:w="151" w:type="pct"/>
                    <w:vAlign w:val="center"/>
                  </w:tcPr>
                  <w:p>
                    <w:pPr>
                      <w:jc w:val="right"/>
                      <w:rPr>
                        <w:rFonts w:ascii="Times New Roman" w:hAnsi="Times New Roman" w:cs="Times New Roman"/>
                        <w:sz w:val="18"/>
                        <w:szCs w:val="18"/>
                      </w:rPr>
                    </w:pPr>
                    <w:r>
                      <w:rPr>
                        <w:rFonts w:ascii="Times New Roman" w:cs="Times New Roman"/>
                        <w:sz w:val="18"/>
                        <w:szCs w:val="18"/>
                      </w:rPr>
                      <w:t>自有资金</w:t>
                    </w:r>
                  </w:p>
                </w:tc>
                <w:tc>
                  <w:tcPr>
                    <w:tcW w:w="1157" w:type="pct"/>
                    <w:vAlign w:val="center"/>
                  </w:tcPr>
                  <w:p>
                    <w:pPr>
                      <w:jc w:val="both"/>
                      <w:rPr>
                        <w:rFonts w:ascii="Times New Roman" w:hAnsi="Times New Roman" w:cs="Times New Roman"/>
                        <w:sz w:val="18"/>
                        <w:szCs w:val="18"/>
                      </w:rPr>
                    </w:pPr>
                    <w:r>
                      <w:rPr>
                        <w:rFonts w:ascii="Times New Roman" w:cs="Times New Roman"/>
                        <w:sz w:val="18"/>
                        <w:szCs w:val="18"/>
                      </w:rPr>
                      <w:t>本理财产品是固定收益类理财产品，</w:t>
                    </w:r>
                    <w:r>
                      <w:rPr>
                        <w:rFonts w:ascii="Times New Roman" w:hAnsi="Times New Roman" w:cs="Times New Roman"/>
                        <w:sz w:val="18"/>
                        <w:szCs w:val="18"/>
                      </w:rPr>
                      <w:t>100%</w:t>
                    </w:r>
                    <w:r>
                      <w:rPr>
                        <w:rFonts w:ascii="Times New Roman" w:cs="Times New Roman"/>
                        <w:sz w:val="18"/>
                        <w:szCs w:val="18"/>
                      </w:rPr>
                      <w:t>投资于固定收益类资产。第一类资产：银行存款、回购、货币基金等货币市场工具及其他银行间和交易所资金融通工具；</w:t>
                    </w:r>
                    <w:r>
                      <w:rPr>
                        <w:rFonts w:ascii="Times New Roman" w:hAnsi="Times New Roman" w:cs="Times New Roman"/>
                        <w:sz w:val="18"/>
                        <w:szCs w:val="18"/>
                      </w:rPr>
                      <w:t xml:space="preserve">       </w:t>
                    </w:r>
                    <w:r>
                      <w:rPr>
                        <w:rFonts w:ascii="Times New Roman" w:cs="Times New Roman"/>
                        <w:sz w:val="18"/>
                        <w:szCs w:val="18"/>
                      </w:rPr>
                      <w:t>第二类资产：国债、地方政府债券、中央银行票据、政府机构债券、金融债券、大额存单、同业存单、公司信用类债券、企业债、短期融资券、超短期融资券、中期票据、定向债务融资工具、可转债、次级债、永续债、在银行间市场和证券交易所市场发行的资产支持证券、公募证券投资基金等银行间、交易所市场债券及债务融资工具，其他固定收益类投资工具；符合监管要求的固定收益类资产管理产品。</w:t>
                    </w:r>
                  </w:p>
                </w:tc>
                <w:tc>
                  <w:tcPr>
                    <w:tcW w:w="351" w:type="pct"/>
                    <w:vAlign w:val="center"/>
                  </w:tcPr>
                  <w:p>
                    <w:pPr>
                      <w:jc w:val="both"/>
                      <w:rPr>
                        <w:rFonts w:ascii="Times New Roman" w:hAnsi="Times New Roman" w:cs="Times New Roman"/>
                        <w:sz w:val="18"/>
                        <w:szCs w:val="18"/>
                      </w:rPr>
                    </w:pPr>
                    <w:r>
                      <w:rPr>
                        <w:rFonts w:ascii="Times New Roman" w:cs="Times New Roman"/>
                        <w:sz w:val="18"/>
                        <w:szCs w:val="18"/>
                      </w:rPr>
                      <w:t>　</w:t>
                    </w:r>
                  </w:p>
                </w:tc>
                <w:tc>
                  <w:tcPr>
                    <w:tcW w:w="252" w:type="pct"/>
                    <w:vAlign w:val="center"/>
                  </w:tcPr>
                  <w:p>
                    <w:pPr>
                      <w:jc w:val="center"/>
                      <w:rPr>
                        <w:rStyle w:val="42"/>
                        <w:rFonts w:ascii="Times New Roman" w:hAnsi="Times New Roman"/>
                        <w:sz w:val="18"/>
                        <w:szCs w:val="18"/>
                      </w:rPr>
                    </w:pPr>
                    <w:r>
                      <w:rPr>
                        <w:rFonts w:ascii="Times New Roman" w:hAnsi="Times New Roman" w:cs="Times New Roman"/>
                        <w:sz w:val="18"/>
                        <w:szCs w:val="18"/>
                      </w:rPr>
                      <w:t>3.7%</w:t>
                    </w:r>
                    <w:r>
                      <w:rPr>
                        <w:rFonts w:ascii="Times New Roman" w:cs="Times New Roman"/>
                        <w:sz w:val="18"/>
                        <w:szCs w:val="18"/>
                      </w:rPr>
                      <w:t>收益率</w:t>
                    </w:r>
                  </w:p>
                </w:tc>
                <w:tc>
                  <w:tcPr>
                    <w:tcW w:w="201" w:type="pct"/>
                    <w:vAlign w:val="center"/>
                  </w:tcPr>
                  <w:p>
                    <w:pPr>
                      <w:jc w:val="right"/>
                      <w:rPr>
                        <w:rStyle w:val="42"/>
                        <w:rFonts w:ascii="Times New Roman" w:hAnsi="Times New Roman"/>
                        <w:sz w:val="18"/>
                        <w:szCs w:val="18"/>
                      </w:rPr>
                    </w:pPr>
                  </w:p>
                </w:tc>
                <w:tc>
                  <w:tcPr>
                    <w:tcW w:w="353" w:type="pct"/>
                    <w:vAlign w:val="center"/>
                  </w:tcPr>
                  <w:p>
                    <w:pPr>
                      <w:jc w:val="right"/>
                      <w:rPr>
                        <w:rStyle w:val="42"/>
                        <w:rFonts w:ascii="Times New Roman" w:hAnsi="Times New Roman"/>
                        <w:sz w:val="18"/>
                        <w:szCs w:val="18"/>
                      </w:rPr>
                    </w:pPr>
                    <w:r>
                      <w:rPr>
                        <w:rFonts w:ascii="Times New Roman" w:hAnsi="Times New Roman" w:cs="Times New Roman"/>
                        <w:sz w:val="18"/>
                        <w:szCs w:val="18"/>
                      </w:rPr>
                      <w:t>43.355216</w:t>
                    </w:r>
                  </w:p>
                </w:tc>
                <w:tc>
                  <w:tcPr>
                    <w:tcW w:w="452" w:type="pct"/>
                    <w:vAlign w:val="center"/>
                  </w:tcPr>
                  <w:p>
                    <w:pPr>
                      <w:jc w:val="right"/>
                      <w:rPr>
                        <w:rStyle w:val="42"/>
                        <w:rFonts w:ascii="Times New Roman" w:hAnsi="Times New Roman"/>
                        <w:sz w:val="18"/>
                        <w:szCs w:val="18"/>
                      </w:rPr>
                    </w:pPr>
                    <w:r>
                      <w:rPr>
                        <w:rFonts w:ascii="Times New Roman" w:hAnsi="Times New Roman" w:cs="Times New Roman"/>
                        <w:sz w:val="18"/>
                        <w:szCs w:val="18"/>
                      </w:rPr>
                      <w:t>  3,243.355</w:t>
                    </w:r>
                  </w:p>
                </w:tc>
                <w:sdt>
                  <w:sdtPr>
                    <w:rPr>
                      <w:rFonts w:ascii="Times New Roman" w:hAnsi="Times New Roman" w:cs="Times New Roman"/>
                      <w:sz w:val="18"/>
                      <w:szCs w:val="18"/>
                    </w:rPr>
                    <w:alias w:val="委托理财是否经过法定程序"/>
                    <w:tag w:val="_GBC_6c28417b630b486ca5d24d4fed27b675"/>
                    <w:id w:val="5812501"/>
                    <w:lock w:val="sdtLocked"/>
                    <w:comboBox>
                      <w:listItem w:displayText="是" w:value="true"/>
                      <w:listItem w:displayText="否" w:value="false"/>
                    </w:comboBox>
                  </w:sdtPr>
                  <w:sdtEndPr>
                    <w:rPr>
                      <w:rFonts w:ascii="Times New Roman" w:hAnsi="Times New Roman" w:cs="Times New Roman"/>
                      <w:sz w:val="18"/>
                      <w:szCs w:val="18"/>
                    </w:rPr>
                  </w:sdtEndPr>
                  <w:sdtContent>
                    <w:tc>
                      <w:tcPr>
                        <w:tcW w:w="151" w:type="pct"/>
                        <w:shd w:val="clear" w:color="auto" w:fill="auto"/>
                        <w:vAlign w:val="center"/>
                      </w:tcPr>
                      <w:p>
                        <w:pPr>
                          <w:jc w:val="right"/>
                          <w:rPr>
                            <w:rFonts w:ascii="Times New Roman" w:hAnsi="Times New Roman" w:cs="Times New Roman"/>
                            <w:sz w:val="18"/>
                            <w:szCs w:val="18"/>
                          </w:rPr>
                        </w:pPr>
                        <w:r>
                          <w:rPr>
                            <w:rFonts w:ascii="Times New Roman" w:cs="Times New Roman"/>
                            <w:kern w:val="2"/>
                            <w:sz w:val="18"/>
                            <w:szCs w:val="18"/>
                          </w:rPr>
                          <w:t>是　</w:t>
                        </w:r>
                      </w:p>
                    </w:tc>
                  </w:sdtContent>
                </w:sdt>
                <w:sdt>
                  <w:sdtPr>
                    <w:rPr>
                      <w:rFonts w:ascii="Times New Roman" w:hAnsi="Times New Roman" w:cs="Times New Roman"/>
                      <w:sz w:val="18"/>
                      <w:szCs w:val="18"/>
                    </w:rPr>
                    <w:alias w:val="单项委托未来是否有委托理财计划"/>
                    <w:tag w:val="_GBC_9a14eb4662974f5a8a8b67ae1aa70521"/>
                    <w:id w:val="5812502"/>
                    <w:lock w:val="sdtLocked"/>
                    <w:comboBox>
                      <w:listItem w:displayText="是" w:value="true"/>
                      <w:listItem w:displayText="否" w:value="false"/>
                    </w:comboBox>
                  </w:sdtPr>
                  <w:sdtEndPr>
                    <w:rPr>
                      <w:rFonts w:ascii="Times New Roman" w:hAnsi="Times New Roman" w:cs="Times New Roman"/>
                      <w:sz w:val="18"/>
                      <w:szCs w:val="18"/>
                    </w:rPr>
                  </w:sdtEndPr>
                  <w:sdtContent>
                    <w:tc>
                      <w:tcPr>
                        <w:tcW w:w="251" w:type="pct"/>
                        <w:shd w:val="clear" w:color="auto" w:fill="auto"/>
                        <w:vAlign w:val="center"/>
                      </w:tcPr>
                      <w:p>
                        <w:pPr>
                          <w:jc w:val="right"/>
                          <w:rPr>
                            <w:rFonts w:ascii="Times New Roman" w:hAnsi="Times New Roman" w:cs="Times New Roman"/>
                            <w:sz w:val="18"/>
                            <w:szCs w:val="18"/>
                          </w:rPr>
                        </w:pPr>
                        <w:r>
                          <w:rPr>
                            <w:rFonts w:ascii="Times New Roman" w:cs="Times New Roman"/>
                            <w:sz w:val="18"/>
                            <w:szCs w:val="18"/>
                          </w:rPr>
                          <w:t>是</w:t>
                        </w:r>
                      </w:p>
                    </w:tc>
                  </w:sdtContent>
                </w:sdt>
                <w:tc>
                  <w:tcPr>
                    <w:tcW w:w="233" w:type="pct"/>
                    <w:vAlign w:val="center"/>
                  </w:tcPr>
                  <w:p>
                    <w:pPr>
                      <w:jc w:val="right"/>
                      <w:rPr>
                        <w:rStyle w:val="42"/>
                        <w:rFonts w:ascii="Times New Roman" w:hAnsi="Times New Roman"/>
                        <w:sz w:val="18"/>
                        <w:szCs w:val="18"/>
                      </w:rPr>
                    </w:pPr>
                    <w:r>
                      <w:rPr>
                        <w:rFonts w:ascii="Times New Roman" w:hAnsi="Times New Roman" w:cs="Times New Roman"/>
                        <w:sz w:val="18"/>
                        <w:szCs w:val="18"/>
                      </w:rPr>
                      <w:t>0</w:t>
                    </w:r>
                  </w:p>
                </w:tc>
              </w:tr>
            </w:sdtContent>
          </w:sdt>
        </w:tbl>
        <w:p/>
        <w:p/>
      </w:sdtContent>
    </w:sdt>
    <w:sdt>
      <w:sdtPr>
        <w:rPr>
          <w:rFonts w:hint="eastAsia" w:cs="Times New Roman"/>
          <w:kern w:val="2"/>
          <w:szCs w:val="21"/>
        </w:rPr>
        <w:alias w:val="模块:单项委托理财其他情况"/>
        <w:tag w:val="_SEC_758c95ca546e4d8d9735adf2c606a653"/>
        <w:id w:val="865723214"/>
        <w:lock w:val="sdtLocked"/>
        <w:placeholder>
          <w:docPart w:val="GBC22222222222222222222222222222"/>
        </w:placeholder>
      </w:sdtPr>
      <w:sdtEndPr>
        <w:rPr>
          <w:rFonts w:hint="eastAsia" w:cs="Times New Roman"/>
          <w:kern w:val="2"/>
          <w:szCs w:val="21"/>
        </w:rPr>
      </w:sdtEndPr>
      <w:sdtContent>
        <w:p>
          <w:pPr>
            <w:rPr>
              <w:rFonts w:cs="Times New Roman"/>
              <w:kern w:val="2"/>
              <w:szCs w:val="21"/>
            </w:rPr>
            <w:sectPr>
              <w:pgSz w:w="16838" w:h="11906" w:orient="landscape"/>
              <w:pgMar w:top="1797" w:right="1525" w:bottom="1276" w:left="1440" w:header="855" w:footer="992" w:gutter="0"/>
              <w:cols w:space="425" w:num="1"/>
              <w:docGrid w:linePitch="312" w:charSpace="0"/>
            </w:sectPr>
          </w:pPr>
        </w:p>
        <w:p>
          <w:pPr>
            <w:rPr>
              <w:rFonts w:cs="Times New Roman"/>
              <w:kern w:val="2"/>
              <w:szCs w:val="21"/>
            </w:rPr>
            <w:sectPr>
              <w:type w:val="continuous"/>
              <w:pgSz w:w="16838" w:h="11906" w:orient="landscape"/>
              <w:pgMar w:top="1797" w:right="1525" w:bottom="1276" w:left="1440" w:header="855" w:footer="992" w:gutter="0"/>
              <w:cols w:space="425" w:num="1"/>
              <w:docGrid w:linePitch="312" w:charSpace="0"/>
            </w:sectPr>
          </w:pPr>
        </w:p>
        <w:p>
          <w:pPr>
            <w:rPr>
              <w:rFonts w:cs="Times New Roman"/>
              <w:kern w:val="2"/>
              <w:szCs w:val="21"/>
            </w:rPr>
          </w:pPr>
        </w:p>
        <w:p>
          <w:pPr>
            <w:rPr>
              <w:b/>
            </w:rPr>
          </w:pPr>
          <w:r>
            <w:rPr>
              <w:rFonts w:hint="eastAsia"/>
              <w:b/>
            </w:rPr>
            <w:t>其他情况</w:t>
          </w:r>
        </w:p>
        <w:sdt>
          <w:sdtPr>
            <w:rPr>
              <w:rFonts w:hint="eastAsia"/>
            </w:rPr>
            <w:alias w:val="是否适用：单项委托理财其他情况[双击切换]"/>
            <w:tag w:val="_GBC_627c77e5ab674442a3b768741f653602"/>
            <w:id w:val="865723213"/>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4"/>
        </w:rPr>
        <w:alias w:val="模块:委托理财减值准备"/>
        <w:tag w:val="_SEC_7452a82862434316834423d06c71379a"/>
        <w:id w:val="865723216"/>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43"/>
            </w:numPr>
          </w:pPr>
          <w:r>
            <w:t>委托理财减值准备</w:t>
          </w:r>
        </w:p>
        <w:sdt>
          <w:sdtPr>
            <w:rPr>
              <w:rFonts w:hint="eastAsia"/>
            </w:rPr>
            <w:alias w:val="是否适用：委托理财减值准备[双击切换]"/>
            <w:tag w:val="_GBC_8db4f6600a6746739610ffaaa34abeac"/>
            <w:id w:val="86572321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5"/>
        <w:numPr>
          <w:ilvl w:val="0"/>
          <w:numId w:val="42"/>
        </w:numPr>
      </w:pPr>
      <w:r>
        <w:t>委托贷款情况</w:t>
      </w:r>
    </w:p>
    <w:sdt>
      <w:sdtPr>
        <w:rPr>
          <w:rFonts w:ascii="宋体" w:hAnsi="宋体" w:cs="宋体"/>
          <w:b w:val="0"/>
          <w:bCs w:val="0"/>
          <w:kern w:val="0"/>
          <w:szCs w:val="24"/>
        </w:rPr>
        <w:alias w:val="模块:委托贷款总体情况"/>
        <w:tag w:val="_SEC_9a8143f870bc4e57b202f414052a0b80"/>
        <w:id w:val="865723218"/>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44"/>
            </w:numPr>
          </w:pPr>
          <w:r>
            <w:t>委托贷款总体情况</w:t>
          </w:r>
        </w:p>
        <w:sdt>
          <w:sdtPr>
            <w:rPr>
              <w:rFonts w:hint="eastAsia"/>
            </w:rPr>
            <w:alias w:val="是否适用：委托贷款总体情况[双击切换]"/>
            <w:tag w:val="_GBC_6f663504a9e74d5c978e23554b4b84e4"/>
            <w:id w:val="86572321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865723220"/>
        <w:lock w:val="sdtLocked"/>
        <w:placeholder>
          <w:docPart w:val="GBC22222222222222222222222222222"/>
        </w:placeholder>
      </w:sdtPr>
      <w:sdtEndPr>
        <w:rPr>
          <w:rFonts w:hint="eastAsia"/>
        </w:rPr>
      </w:sdtEndPr>
      <w:sdtContent>
        <w:p>
          <w:pPr>
            <w:rPr>
              <w:b/>
            </w:rPr>
          </w:pPr>
          <w:r>
            <w:rPr>
              <w:rFonts w:hint="eastAsia"/>
              <w:b/>
            </w:rPr>
            <w:t>其他情况</w:t>
          </w:r>
        </w:p>
        <w:sdt>
          <w:sdtPr>
            <w:rPr>
              <w:rFonts w:hint="eastAsia"/>
            </w:rPr>
            <w:alias w:val="是否适用：委托贷款总体其他情况[双击切换]"/>
            <w:tag w:val="_GBC_a071e3ce40374c6bb1b2f2dc2158413e"/>
            <w:id w:val="86572321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4"/>
        </w:rPr>
        <w:alias w:val="模块:单项委托贷款情况"/>
        <w:tag w:val="_SEC_b6646f10bd22442798f985fd4ebdd061"/>
        <w:id w:val="865723222"/>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44"/>
            </w:numPr>
          </w:pPr>
          <w:r>
            <w:t>单项委托贷款情况</w:t>
          </w:r>
        </w:p>
        <w:sdt>
          <w:sdtPr>
            <w:rPr>
              <w:rFonts w:hint="eastAsia"/>
            </w:rPr>
            <w:alias w:val="是否适用：单项委托贷款情况[双击切换]"/>
            <w:tag w:val="_GBC_30b7c4837f704dff80c05190f23d6f3e"/>
            <w:id w:val="865723221"/>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cs="Times New Roman"/>
          <w:kern w:val="2"/>
          <w:szCs w:val="21"/>
        </w:rPr>
        <w:alias w:val="模块:单项委托贷款其他情况 "/>
        <w:tag w:val="_SEC_5b2e19ddb1654e038c545d348ccbd530"/>
        <w:id w:val="865723224"/>
        <w:lock w:val="sdtLocked"/>
        <w:placeholder>
          <w:docPart w:val="GBC22222222222222222222222222222"/>
        </w:placeholder>
      </w:sdtPr>
      <w:sdtEndPr>
        <w:rPr>
          <w:rFonts w:hint="eastAsia" w:cs="Times New Roman"/>
          <w:kern w:val="2"/>
          <w:szCs w:val="21"/>
        </w:rPr>
      </w:sdtEndPr>
      <w:sdtContent>
        <w:p>
          <w:pPr>
            <w:rPr>
              <w:b/>
            </w:rPr>
          </w:pPr>
          <w:r>
            <w:rPr>
              <w:rFonts w:hint="eastAsia"/>
              <w:b/>
            </w:rPr>
            <w:t>其他情况</w:t>
          </w:r>
        </w:p>
        <w:sdt>
          <w:sdtPr>
            <w:rPr>
              <w:rFonts w:hint="eastAsia"/>
            </w:rPr>
            <w:alias w:val="是否适用：单项委托贷款其他情况[双击切换]"/>
            <w:tag w:val="_GBC_7fbd63dcaf8a4899bcd830951796a261"/>
            <w:id w:val="865723223"/>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4"/>
        </w:rPr>
        <w:alias w:val="模块:委托贷款减值准"/>
        <w:tag w:val="_SEC_0b6195f8785f4def8fa24b4658c28dab"/>
        <w:id w:val="865723226"/>
        <w:lock w:val="sdtLocked"/>
        <w:placeholder>
          <w:docPart w:val="GBC22222222222222222222222222222"/>
        </w:placeholder>
      </w:sdtPr>
      <w:sdtEndPr>
        <w:rPr>
          <w:rFonts w:ascii="宋体" w:hAnsi="宋体" w:cs="宋体"/>
          <w:b w:val="0"/>
          <w:bCs w:val="0"/>
          <w:kern w:val="0"/>
          <w:szCs w:val="24"/>
        </w:rPr>
      </w:sdtEndPr>
      <w:sdtContent>
        <w:p>
          <w:pPr>
            <w:pStyle w:val="6"/>
            <w:numPr>
              <w:ilvl w:val="0"/>
              <w:numId w:val="44"/>
            </w:numPr>
          </w:pPr>
          <w:r>
            <w:t>委托贷款减值</w:t>
          </w:r>
          <w:r>
            <w:rPr>
              <w:rFonts w:hint="eastAsia"/>
            </w:rPr>
            <w:t>准备</w:t>
          </w:r>
        </w:p>
        <w:sdt>
          <w:sdtPr>
            <w:rPr>
              <w:rFonts w:hint="eastAsia"/>
            </w:rPr>
            <w:alias w:val="是否适用：委托贷款减值准备[双击切换]"/>
            <w:tag w:val="_GBC_72dc10eff44f4851bd80447a1199a033"/>
            <w:id w:val="86572322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ascii="宋体" w:hAnsi="宋体" w:eastAsia="宋体" w:cs="宋体"/>
          <w:b w:val="0"/>
          <w:bCs w:val="0"/>
          <w:kern w:val="0"/>
          <w:szCs w:val="24"/>
        </w:rPr>
        <w:alias w:val="模块:其他情况"/>
        <w:tag w:val="_SEC_3420a5610d744b6da7aed50323c980c9"/>
        <w:id w:val="865723228"/>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42"/>
            </w:numPr>
          </w:pPr>
          <w:r>
            <w:t>其他</w:t>
          </w:r>
          <w:r>
            <w:rPr>
              <w:rFonts w:hint="eastAsia"/>
            </w:rPr>
            <w:t>情况</w:t>
          </w:r>
        </w:p>
        <w:sdt>
          <w:sdtPr>
            <w:rPr>
              <w:rFonts w:hint="eastAsia"/>
            </w:rPr>
            <w:alias w:val="是否适用：委托他人进行现金资产管理的其他情况[双击切换]"/>
            <w:tag w:val="_GBC_c408f1ecbaff4ed08e4dcfbbac8e0ccd"/>
            <w:id w:val="86572322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1"/>
        </w:rPr>
        <w:alias w:val="模块:其他重大合同或交易"/>
        <w:tag w:val="_SEC_9d125c8ad0cb430d9249029482fa1530"/>
        <w:id w:val="865723230"/>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0"/>
            </w:numPr>
            <w:rPr>
              <w:szCs w:val="21"/>
            </w:rPr>
          </w:pPr>
          <w:r>
            <w:rPr>
              <w:szCs w:val="21"/>
            </w:rPr>
            <w:t>其他重大合同</w:t>
          </w:r>
        </w:p>
        <w:sdt>
          <w:sdtPr>
            <w:rPr>
              <w:rFonts w:hint="eastAsia"/>
              <w:szCs w:val="21"/>
            </w:rPr>
            <w:alias w:val="是否适用：其他重大合同[双击切换]"/>
            <w:tag w:val="_GBC_541dd80939ae4bafb641675f942c4c14"/>
            <w:id w:val="86572322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cs="宋体"/>
          <w:b w:val="0"/>
          <w:bCs w:val="0"/>
          <w:kern w:val="0"/>
          <w:szCs w:val="24"/>
        </w:rPr>
        <w:alias w:val="模块:"/>
        <w:tag w:val="_SEC_5c3258d364b244e3bd64f661e4156e0c"/>
        <w:id w:val="865723232"/>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32"/>
            </w:numPr>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865723231"/>
            <w:lock w:val="sdtLocked"/>
            <w:placeholder>
              <w:docPart w:val="GBC22222222222222222222222222222"/>
            </w:placeholder>
          </w:sdtPr>
          <w:sdtEndPr>
            <w:rPr>
              <w:szCs w:val="21"/>
            </w:rPr>
          </w:sdtEndPr>
          <w:sdtContent>
            <w:p>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rPr>
          <w:szCs w:val="21"/>
        </w:rPr>
      </w:pPr>
    </w:p>
    <w:bookmarkEnd w:id="65"/>
    <w:p>
      <w:pPr>
        <w:rPr>
          <w:szCs w:val="21"/>
        </w:rPr>
      </w:pPr>
    </w:p>
    <w:p/>
    <w:p>
      <w:pPr>
        <w:pStyle w:val="2"/>
        <w:numPr>
          <w:ilvl w:val="0"/>
          <w:numId w:val="2"/>
        </w:numPr>
        <w:rPr>
          <w:szCs w:val="28"/>
        </w:rPr>
      </w:pPr>
      <w:bookmarkStart w:id="83" w:name="_Toc89790254"/>
      <w:bookmarkStart w:id="84" w:name="_Toc437440713"/>
      <w:bookmarkStart w:id="85" w:name="_Toc409437607"/>
      <w:r>
        <w:rPr>
          <w:rFonts w:hint="eastAsia"/>
          <w:szCs w:val="28"/>
        </w:rPr>
        <w:t>股份变动及股东情况</w:t>
      </w:r>
      <w:bookmarkEnd w:id="83"/>
      <w:bookmarkEnd w:id="84"/>
      <w:bookmarkEnd w:id="85"/>
    </w:p>
    <w:p/>
    <w:p>
      <w:pPr>
        <w:pStyle w:val="3"/>
        <w:numPr>
          <w:ilvl w:val="0"/>
          <w:numId w:val="45"/>
        </w:numPr>
      </w:pPr>
      <w:bookmarkStart w:id="86" w:name="_Toc342059476"/>
      <w:bookmarkStart w:id="87" w:name="_Toc342565989"/>
      <w:r>
        <w:t>股</w:t>
      </w:r>
      <w:r>
        <w:rPr>
          <w:rFonts w:hint="eastAsia"/>
        </w:rPr>
        <w:t>本变动情况</w:t>
      </w:r>
      <w:bookmarkEnd w:id="86"/>
      <w:bookmarkEnd w:id="87"/>
    </w:p>
    <w:p>
      <w:pPr>
        <w:pStyle w:val="4"/>
        <w:numPr>
          <w:ilvl w:val="1"/>
          <w:numId w:val="46"/>
        </w:numPr>
        <w:rPr>
          <w:szCs w:val="21"/>
        </w:rPr>
      </w:pPr>
      <w:bookmarkStart w:id="88" w:name="_Toc342059477"/>
      <w:bookmarkStart w:id="89" w:name="_Toc342565990"/>
      <w:r>
        <w:rPr>
          <w:rFonts w:hint="eastAsia"/>
          <w:szCs w:val="21"/>
        </w:rPr>
        <w:t>股份变动情况表</w:t>
      </w:r>
      <w:bookmarkEnd w:id="88"/>
      <w:bookmarkEnd w:id="89"/>
    </w:p>
    <w:p>
      <w:pPr>
        <w:pStyle w:val="5"/>
        <w:numPr>
          <w:ilvl w:val="2"/>
          <w:numId w:val="47"/>
        </w:numPr>
      </w:pPr>
      <w:r>
        <w:rPr>
          <w:rFonts w:hint="eastAsia"/>
        </w:rPr>
        <w:t>股份变动情况表</w:t>
      </w:r>
    </w:p>
    <w:sdt>
      <w:sdtPr>
        <w:rPr>
          <w:rFonts w:hint="eastAsia"/>
          <w:szCs w:val="21"/>
        </w:rPr>
        <w:alias w:val="选项模块:报告期内，公司股份总数及股本结构未发生变化"/>
        <w:tag w:val="_SEC_a2a63736db144f209cddfd7a97491880"/>
        <w:id w:val="865723233"/>
        <w:lock w:val="sdtLocked"/>
        <w:placeholder>
          <w:docPart w:val="GBC22222222222222222222222222222"/>
        </w:placeholder>
      </w:sdtPr>
      <w:sdtEndPr>
        <w:rPr>
          <w:rFonts w:hint="eastAsia"/>
          <w:szCs w:val="21"/>
        </w:rPr>
      </w:sdtEndPr>
      <w:sdtContent>
        <w:p>
          <w:pPr>
            <w:rPr>
              <w:szCs w:val="21"/>
            </w:rPr>
          </w:pPr>
          <w:r>
            <w:rPr>
              <w:rFonts w:hint="eastAsia"/>
              <w:szCs w:val="21"/>
            </w:rPr>
            <w:t>报告期内，公司股份总数及股本结构未发生变化。</w:t>
          </w:r>
        </w:p>
      </w:sdtContent>
    </w:sdt>
    <w:p>
      <w:pPr>
        <w:rPr>
          <w:szCs w:val="21"/>
        </w:rPr>
      </w:pPr>
    </w:p>
    <w:sdt>
      <w:sdtPr>
        <w:rPr>
          <w:rFonts w:ascii="Calibri" w:hAnsi="Calibri" w:eastAsia="宋体" w:cs="宋体"/>
          <w:b w:val="0"/>
          <w:bCs w:val="0"/>
          <w:kern w:val="0"/>
          <w:sz w:val="24"/>
          <w:szCs w:val="22"/>
        </w:rPr>
        <w:alias w:val="模块:股份变动情况说明"/>
        <w:tag w:val="_SEC_cff93b3516844dffa00c7117b3d7105d"/>
        <w:id w:val="865723235"/>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2"/>
              <w:numId w:val="47"/>
            </w:numPr>
          </w:pPr>
          <w:r>
            <w:t>股份变动情况说明</w:t>
          </w:r>
        </w:p>
        <w:sdt>
          <w:sdtPr>
            <w:rPr>
              <w:rFonts w:hint="eastAsia"/>
              <w:szCs w:val="21"/>
            </w:rPr>
            <w:alias w:val="是否适用：普通股股份变动情况说明[双击切换]"/>
            <w:tag w:val="_GBC_b52413c1d37b456ba72aa8b8840cb9d8"/>
            <w:id w:val="86572323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hAnsi="Calibri" w:eastAsia="宋体" w:cs="宋体"/>
          <w:b w:val="0"/>
          <w:bCs w:val="0"/>
          <w:kern w:val="0"/>
          <w:sz w:val="24"/>
          <w:szCs w:val="24"/>
        </w:rPr>
        <w:alias w:val="模块:股份变动对最近一年和最近一期财务指标的影响"/>
        <w:tag w:val="_SEC_a02e0bd8061b48758da5b49301b9d61c"/>
        <w:id w:val="865723237"/>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2"/>
              <w:numId w:val="47"/>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86572323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hAnsi="Calibri" w:eastAsia="宋体" w:cs="宋体"/>
          <w:b w:val="0"/>
          <w:bCs w:val="0"/>
          <w:kern w:val="0"/>
          <w:sz w:val="24"/>
          <w:szCs w:val="24"/>
        </w:rPr>
        <w:alias w:val="模块:公司认为必要或证券监管机构要求披露的其他内容"/>
        <w:tag w:val="_SEC_0585cd9d958541589e59afceb5c63546"/>
        <w:id w:val="865723239"/>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2"/>
              <w:numId w:val="47"/>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86572323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pStyle w:val="4"/>
        <w:numPr>
          <w:ilvl w:val="1"/>
          <w:numId w:val="46"/>
        </w:numPr>
        <w:rPr>
          <w:szCs w:val="21"/>
        </w:rPr>
      </w:pPr>
      <w:r>
        <w:rPr>
          <w:szCs w:val="21"/>
        </w:rPr>
        <w:t>限售股份变动情况</w:t>
      </w:r>
    </w:p>
    <w:sdt>
      <w:sdtPr>
        <w:alias w:val="是否适用：限售股份变动情况表[双击切换]"/>
        <w:tag w:val="_GBC_c7cc39830d364bf68db1ac8777908a9e"/>
        <w:id w:val="865723240"/>
        <w:lock w:val="sdtLocked"/>
        <w:placeholder>
          <w:docPart w:val="GBC22222222222222222222222222222"/>
        </w:placeholder>
      </w:sdtPr>
      <w:sdtContent>
        <w:p>
          <w:pPr>
            <w:rPr>
              <w:rFonts w:asciiTheme="minorEastAsia" w:hAnsiTheme="minorEastAsia" w:eastAsiaTheme="minor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asciiTheme="minorEastAsia" w:hAnsiTheme="minorEastAsia" w:eastAsiaTheme="minorEastAsia"/>
          <w:szCs w:val="21"/>
        </w:rPr>
      </w:pPr>
    </w:p>
    <w:p>
      <w:pPr>
        <w:pStyle w:val="3"/>
        <w:numPr>
          <w:ilvl w:val="0"/>
          <w:numId w:val="45"/>
        </w:numPr>
      </w:pPr>
      <w:r>
        <w:t>证券发行与上市情况</w:t>
      </w:r>
    </w:p>
    <w:sdt>
      <w:sdtPr>
        <w:rPr>
          <w:rFonts w:ascii="宋体" w:hAnsi="宋体" w:cs="宋体"/>
          <w:b w:val="0"/>
          <w:bCs w:val="0"/>
          <w:kern w:val="0"/>
          <w:szCs w:val="24"/>
        </w:rPr>
        <w:alias w:val="模块:截至报告期内证券发行情况"/>
        <w:tag w:val="_SEC_314fe0a7461349b58ad8d67ad9671220"/>
        <w:id w:val="865723243"/>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8"/>
            </w:numPr>
          </w:pPr>
          <w:bookmarkStart w:id="90" w:name="_Hlk89954403"/>
          <w:r>
            <w:t>截至</w:t>
          </w:r>
          <w:r>
            <w:rPr>
              <w:rFonts w:hint="eastAsia"/>
            </w:rPr>
            <w:t>报告期内</w:t>
          </w:r>
          <w:r>
            <w:t>证券发行情况</w:t>
          </w:r>
        </w:p>
        <w:sdt>
          <w:sdtPr>
            <w:alias w:val="是否适用：截至报告期内证券发行情况[双击切换]"/>
            <w:tag w:val="_GBC_a9b53137ff4442baa307fbc68ebc8cbc"/>
            <w:id w:val="865723241"/>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86572324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90"/>
    <w:p>
      <w:pPr>
        <w:rPr>
          <w:szCs w:val="21"/>
        </w:rPr>
      </w:pPr>
    </w:p>
    <w:sdt>
      <w:sdtPr>
        <w:rPr>
          <w:rFonts w:hint="eastAsia" w:ascii="宋体" w:hAnsi="宋体" w:cs="宋体"/>
          <w:b w:val="0"/>
          <w:bCs w:val="0"/>
          <w:kern w:val="0"/>
          <w:szCs w:val="21"/>
        </w:rPr>
        <w:alias w:val="模块:公司普通股股份总数及股东结构变动及公司资产和负债结构的变动情况"/>
        <w:tag w:val="_SEC_55d557f291e34d7aa9de8836ddc0e9d1"/>
        <w:id w:val="865723245"/>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8"/>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86572324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现存的内部职工股情况"/>
        <w:tag w:val="_SEC_7d189716ca09434ba6cf788f2153af73"/>
        <w:id w:val="865723247"/>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8"/>
            </w:numPr>
            <w:rPr>
              <w:szCs w:val="21"/>
            </w:rPr>
          </w:pPr>
          <w:r>
            <w:rPr>
              <w:rFonts w:hint="eastAsia"/>
              <w:szCs w:val="21"/>
            </w:rPr>
            <w:t>现存的内部职工股情况</w:t>
          </w:r>
        </w:p>
        <w:sdt>
          <w:sdtPr>
            <w:alias w:val="是否适用：现存的内部职工股情况[双击切换]"/>
            <w:tag w:val="_GBC_fa5e90226e14408b891f1c5a9dbbf2c5"/>
            <w:id w:val="86572324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3"/>
        <w:numPr>
          <w:ilvl w:val="0"/>
          <w:numId w:val="45"/>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865723253"/>
        <w:lock w:val="sdtLocked"/>
        <w:placeholder>
          <w:docPart w:val="GBC22222222222222222222222222222"/>
        </w:placeholder>
      </w:sdtPr>
      <w:sdtEndPr>
        <w:rPr>
          <w:rFonts w:hint="eastAsia" w:ascii="宋体" w:hAnsi="宋体" w:cs="宋体"/>
          <w:b w:val="0"/>
          <w:bCs w:val="0"/>
          <w:kern w:val="0"/>
          <w:sz w:val="21"/>
          <w:szCs w:val="21"/>
        </w:rPr>
      </w:sdtEndPr>
      <w:sdtContent>
        <w:p>
          <w:pPr>
            <w:pStyle w:val="4"/>
            <w:numPr>
              <w:ilvl w:val="1"/>
              <w:numId w:val="49"/>
            </w:numPr>
            <w:tabs>
              <w:tab w:val="left" w:pos="851"/>
            </w:tabs>
            <w:ind w:left="426" w:hanging="426"/>
            <w:rPr>
              <w:szCs w:val="21"/>
            </w:rPr>
          </w:pPr>
          <w:r>
            <w:rPr>
              <w:rFonts w:hint="eastAsia"/>
              <w:szCs w:val="21"/>
            </w:rPr>
            <w:t>股东总数</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4738880649c43ac9597effd663adc10"/>
                <w:id w:val="865723248"/>
                <w:lock w:val="sdtLocked"/>
              </w:sdtPr>
              <w:sdtEndPr>
                <w:rPr>
                  <w:rFonts w:ascii="Times New Roman" w:hAnsi="Times New Roman" w:cs="Times New Roman"/>
                </w:rPr>
              </w:sdtEndPr>
              <w:sdtContent>
                <w:tc>
                  <w:tcPr>
                    <w:tcW w:w="5070" w:type="dxa"/>
                  </w:tcPr>
                  <w:p>
                    <w:pPr>
                      <w:widowControl w:val="0"/>
                      <w:jc w:val="both"/>
                      <w:rPr>
                        <w:rFonts w:ascii="Times New Roman" w:hAnsi="Times New Roman" w:cs="Times New Roman"/>
                        <w:szCs w:val="21"/>
                      </w:rPr>
                    </w:pPr>
                    <w:r>
                      <w:rPr>
                        <w:rFonts w:ascii="Times New Roman" w:cs="Times New Roman"/>
                        <w:szCs w:val="21"/>
                      </w:rPr>
                      <w:t>截至报告期末普通股股东总数</w:t>
                    </w:r>
                    <w:r>
                      <w:rPr>
                        <w:rFonts w:ascii="Times New Roman" w:hAnsi="Times New Roman" w:cs="Times New Roman"/>
                        <w:szCs w:val="21"/>
                      </w:rPr>
                      <w:t>(</w:t>
                    </w:r>
                    <w:r>
                      <w:rPr>
                        <w:rFonts w:ascii="Times New Roman" w:cs="Times New Roman"/>
                        <w:szCs w:val="21"/>
                      </w:rPr>
                      <w:t>户</w:t>
                    </w:r>
                    <w:r>
                      <w:rPr>
                        <w:rFonts w:ascii="Times New Roman" w:hAnsi="Times New Roman" w:cs="Times New Roman"/>
                        <w:szCs w:val="21"/>
                      </w:rPr>
                      <w:t>)</w:t>
                    </w:r>
                  </w:p>
                </w:tc>
              </w:sdtContent>
            </w:sdt>
            <w:sdt>
              <w:sdtPr>
                <w:rPr>
                  <w:rFonts w:ascii="Times New Roman" w:hAnsi="Times New Roman" w:cs="Times New Roman"/>
                  <w:szCs w:val="21"/>
                </w:rPr>
                <w:alias w:val="报告期末股东总数"/>
                <w:tag w:val="_GBC_510087fb1e024fb293d32127713e45f8"/>
                <w:id w:val="865723249"/>
                <w:lock w:val="sdtLocked"/>
              </w:sdtPr>
              <w:sdtEndPr>
                <w:rPr>
                  <w:rFonts w:ascii="Times New Roman" w:hAnsi="Times New Roman" w:cs="Times New Roman"/>
                  <w:szCs w:val="21"/>
                </w:rPr>
              </w:sdtEndPr>
              <w:sdtContent>
                <w:tc>
                  <w:tcPr>
                    <w:tcW w:w="3978" w:type="dxa"/>
                    <w:vAlign w:val="center"/>
                  </w:tcPr>
                  <w:p>
                    <w:pPr>
                      <w:widowControl w:val="0"/>
                      <w:jc w:val="right"/>
                      <w:rPr>
                        <w:rFonts w:ascii="Times New Roman" w:hAnsi="Times New Roman" w:cs="Times New Roman"/>
                        <w:szCs w:val="21"/>
                      </w:rPr>
                    </w:pPr>
                    <w:r>
                      <w:rPr>
                        <w:rFonts w:ascii="Times New Roman" w:hAnsi="Times New Roman" w:cs="Times New Roman"/>
                        <w:szCs w:val="21"/>
                      </w:rPr>
                      <w:t>40,474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41b7c4d29ef4d5cb2701ef9955403fb"/>
                <w:id w:val="865723250"/>
                <w:lock w:val="sdtLocked"/>
              </w:sdtPr>
              <w:sdtEndPr>
                <w:rPr>
                  <w:rFonts w:ascii="Times New Roman" w:hAnsi="Times New Roman" w:cs="Times New Roman"/>
                </w:rPr>
              </w:sdtEndPr>
              <w:sdtContent>
                <w:tc>
                  <w:tcPr>
                    <w:tcW w:w="5070" w:type="dxa"/>
                  </w:tcPr>
                  <w:p>
                    <w:pPr>
                      <w:widowControl w:val="0"/>
                      <w:jc w:val="both"/>
                      <w:rPr>
                        <w:rFonts w:ascii="Times New Roman" w:hAnsi="Times New Roman" w:cs="Times New Roman"/>
                        <w:szCs w:val="21"/>
                      </w:rPr>
                    </w:pPr>
                    <w:r>
                      <w:rPr>
                        <w:rFonts w:ascii="Times New Roman" w:cs="Times New Roman"/>
                        <w:szCs w:val="21"/>
                      </w:rPr>
                      <w:t>年度报告披露日前上一月末的普通股股东总数</w:t>
                    </w:r>
                    <w:r>
                      <w:rPr>
                        <w:rFonts w:ascii="Times New Roman" w:hAnsi="Times New Roman" w:cs="Times New Roman"/>
                        <w:szCs w:val="21"/>
                      </w:rPr>
                      <w:t>(</w:t>
                    </w:r>
                    <w:r>
                      <w:rPr>
                        <w:rFonts w:ascii="Times New Roman" w:cs="Times New Roman"/>
                        <w:szCs w:val="21"/>
                      </w:rPr>
                      <w:t>户</w:t>
                    </w:r>
                    <w:r>
                      <w:rPr>
                        <w:rFonts w:ascii="Times New Roman" w:hAnsi="Times New Roman" w:cs="Times New Roman"/>
                        <w:szCs w:val="21"/>
                      </w:rPr>
                      <w:t>)</w:t>
                    </w:r>
                  </w:p>
                </w:tc>
              </w:sdtContent>
            </w:sdt>
            <w:tc>
              <w:tcPr>
                <w:tcW w:w="3978" w:type="dxa"/>
                <w:vAlign w:val="center"/>
              </w:tcPr>
              <w:p>
                <w:pPr>
                  <w:widowControl w:val="0"/>
                  <w:jc w:val="right"/>
                  <w:rPr>
                    <w:rFonts w:ascii="Times New Roman" w:hAnsi="Times New Roman" w:cs="Times New Roman"/>
                    <w:szCs w:val="21"/>
                  </w:rPr>
                </w:pPr>
                <w:r>
                  <w:rPr>
                    <w:rFonts w:ascii="Times New Roman" w:hAnsi="Times New Roman" w:cs="Times New Roman"/>
                    <w:szCs w:val="21"/>
                  </w:rPr>
                  <w:t>39,998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28bf4883d704a5b968c7e3ad90ab399"/>
                <w:id w:val="865723251"/>
                <w:lock w:val="sdtLocked"/>
              </w:sdtPr>
              <w:sdtEndPr>
                <w:rPr>
                  <w:rFonts w:ascii="Times New Roman" w:hAnsi="Times New Roman" w:cs="Times New Roman"/>
                </w:rPr>
              </w:sdtEndPr>
              <w:sdtContent>
                <w:tc>
                  <w:tcPr>
                    <w:tcW w:w="5070" w:type="dxa"/>
                  </w:tcPr>
                  <w:p>
                    <w:pPr>
                      <w:widowControl w:val="0"/>
                      <w:jc w:val="both"/>
                      <w:rPr>
                        <w:rFonts w:ascii="Times New Roman" w:hAnsi="Times New Roman" w:cs="Times New Roman"/>
                        <w:szCs w:val="21"/>
                      </w:rPr>
                    </w:pPr>
                    <w:r>
                      <w:rPr>
                        <w:rFonts w:ascii="Times New Roman" w:cs="Times New Roman"/>
                        <w:szCs w:val="21"/>
                      </w:rPr>
                      <w:t>截至报告期末表决权恢复的优先股股东总数（户）</w:t>
                    </w:r>
                  </w:p>
                </w:tc>
              </w:sdtContent>
            </w:sdt>
            <w:tc>
              <w:tcPr>
                <w:tcW w:w="3978" w:type="dxa"/>
                <w:vAlign w:val="center"/>
              </w:tcPr>
              <w:p>
                <w:pPr>
                  <w:widowControl w:val="0"/>
                  <w:jc w:val="right"/>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5812c57c24247e4acc80620ba300bf1"/>
                <w:id w:val="865723252"/>
                <w:lock w:val="sdtLocked"/>
              </w:sdtPr>
              <w:sdtEndPr>
                <w:rPr>
                  <w:rFonts w:ascii="Times New Roman" w:hAnsi="Times New Roman" w:cs="Times New Roman"/>
                </w:rPr>
              </w:sdtEndPr>
              <w:sdtContent>
                <w:tc>
                  <w:tcPr>
                    <w:tcW w:w="5070" w:type="dxa"/>
                  </w:tcPr>
                  <w:p>
                    <w:pPr>
                      <w:widowControl w:val="0"/>
                      <w:jc w:val="both"/>
                      <w:rPr>
                        <w:rFonts w:ascii="Times New Roman" w:hAnsi="Times New Roman" w:cs="Times New Roman"/>
                        <w:szCs w:val="21"/>
                      </w:rPr>
                    </w:pPr>
                    <w:r>
                      <w:rPr>
                        <w:rFonts w:ascii="Times New Roman" w:cs="Times New Roman"/>
                        <w:szCs w:val="21"/>
                      </w:rPr>
                      <w:t>年度报告披露日前上一月末表决权恢复的优先股股东总数（户）</w:t>
                    </w:r>
                  </w:p>
                </w:tc>
              </w:sdtContent>
            </w:sdt>
            <w:tc>
              <w:tcPr>
                <w:tcW w:w="3978" w:type="dxa"/>
                <w:vAlign w:val="center"/>
              </w:tcPr>
              <w:p>
                <w:pPr>
                  <w:widowControl w:val="0"/>
                  <w:jc w:val="right"/>
                  <w:rPr>
                    <w:rFonts w:ascii="Times New Roman" w:hAnsi="Times New Roman" w:cs="Times New Roman"/>
                    <w:szCs w:val="21"/>
                  </w:rPr>
                </w:pPr>
                <w:r>
                  <w:rPr>
                    <w:rFonts w:ascii="Times New Roman" w:hAnsi="Times New Roman" w:cs="Times New Roman"/>
                    <w:szCs w:val="21"/>
                  </w:rPr>
                  <w:t>0</w:t>
                </w:r>
              </w:p>
            </w:tc>
          </w:tr>
        </w:tbl>
        <w:p>
          <w:pPr>
            <w:rPr>
              <w:szCs w:val="21"/>
            </w:rPr>
          </w:pPr>
        </w:p>
      </w:sdtContent>
    </w:sdt>
    <w:p>
      <w:pPr>
        <w:pStyle w:val="4"/>
        <w:numPr>
          <w:ilvl w:val="1"/>
          <w:numId w:val="49"/>
        </w:numPr>
        <w:ind w:left="426" w:hanging="426"/>
      </w:pPr>
      <w:bookmarkStart w:id="91" w:name="_Toc342565998"/>
      <w:bookmarkStart w:id="92" w:name="_Toc342059485"/>
      <w:r>
        <w:rPr>
          <w:rFonts w:hint="eastAsia"/>
          <w:szCs w:val="21"/>
        </w:rPr>
        <w:t>截至报告期末前十名股东、前十名流通股东（或无限售条件股东）持股情况表</w:t>
      </w:r>
    </w:p>
    <w:bookmarkEnd w:id="91"/>
    <w:bookmarkEnd w:id="92"/>
    <w:sdt>
      <w:sdtPr>
        <w:rPr>
          <w:rFonts w:hint="eastAsia"/>
          <w:szCs w:val="21"/>
        </w:rPr>
        <w:alias w:val="选项模块:前十名股东持股情况(已完成或不涉及股改)"/>
        <w:tag w:val="_SEC_f0d49341729546c79e65e551f2f6d5d7"/>
        <w:id w:val="865723326"/>
        <w:lock w:val="sdtLocked"/>
        <w:placeholder>
          <w:docPart w:val="GBC22222222222222222222222222222"/>
        </w:placeholder>
      </w:sdtPr>
      <w:sdtEndPr>
        <w:rPr>
          <w:rFonts w:hint="eastAsia"/>
          <w:szCs w:val="21"/>
        </w:rPr>
      </w:sdtEndPr>
      <w:sdtContent>
        <w:p>
          <w:pPr>
            <w:ind w:firstLine="3990" w:firstLineChars="1900"/>
            <w:jc w:val="right"/>
            <w:rPr>
              <w:szCs w:val="21"/>
            </w:rPr>
          </w:pPr>
          <w:bookmarkStart w:id="93" w:name="_Hlk27487213"/>
          <w:r>
            <w:rPr>
              <w:bCs/>
              <w:szCs w:val="21"/>
            </w:rPr>
            <w:t>单位:</w:t>
          </w:r>
          <w:sdt>
            <w:sdtPr>
              <w:rPr>
                <w:bCs/>
                <w:szCs w:val="21"/>
              </w:rPr>
              <w:alias w:val="单位：前十名股东持股情况"/>
              <w:tag w:val="_GBC_b59e95c09d914c83b42ae5b68d0d6987"/>
              <w:id w:val="86572325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bCs/>
                <w:szCs w:val="21"/>
              </w:rPr>
            </w:sdtEndPr>
            <w:sdtContent>
              <w:r>
                <w:rPr>
                  <w:rFonts w:hint="eastAsia"/>
                  <w:bCs/>
                  <w:szCs w:val="21"/>
                </w:rPr>
                <w:t>股</w:t>
              </w:r>
            </w:sdtContent>
          </w:sdt>
        </w:p>
        <w:tbl>
          <w:tblPr>
            <w:tblStyle w:val="1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276"/>
            <w:gridCol w:w="567"/>
            <w:gridCol w:w="850"/>
            <w:gridCol w:w="851"/>
            <w:gridCol w:w="142"/>
            <w:gridCol w:w="708"/>
            <w:gridCol w:w="709"/>
            <w:gridCol w:w="284"/>
            <w:gridCol w:w="283"/>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12180439b5ff4b00a01ff1f87b70f1de"/>
                <w:id w:val="865723255"/>
                <w:lock w:val="sdtLocked"/>
              </w:sdtPr>
              <w:sdtContent>
                <w:tc>
                  <w:tcPr>
                    <w:tcW w:w="9049" w:type="dxa"/>
                    <w:gridSpan w:val="11"/>
                    <w:shd w:val="clear" w:color="auto" w:fill="auto"/>
                    <w:vAlign w:val="center"/>
                  </w:tcPr>
                  <w:p>
                    <w:pPr>
                      <w:pStyle w:val="15"/>
                      <w:jc w:val="center"/>
                    </w:pPr>
                    <w:r>
                      <w:rPr>
                        <w:rFonts w:hAnsi="宋体"/>
                      </w:rPr>
                      <w:t>前十名股东持股情况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4e40ad86e5ee4c0cb28f819aa3924fb2"/>
                <w:id w:val="865723256"/>
                <w:lock w:val="sdtLocked"/>
              </w:sdtPr>
              <w:sdtEndPr>
                <w:rPr>
                  <w:rFonts w:ascii="Times New Roman" w:hAnsi="Times New Roman" w:cs="Times New Roman"/>
                </w:rPr>
              </w:sdtEndPr>
              <w:sdtContent>
                <w:tc>
                  <w:tcPr>
                    <w:tcW w:w="1951" w:type="dxa"/>
                    <w:vMerge w:val="restart"/>
                    <w:shd w:val="clear" w:color="auto" w:fill="auto"/>
                    <w:vAlign w:val="center"/>
                  </w:tcPr>
                  <w:p>
                    <w:pPr>
                      <w:jc w:val="center"/>
                      <w:rPr>
                        <w:rFonts w:ascii="Times New Roman" w:hAnsi="Times New Roman" w:cs="Times New Roman"/>
                        <w:szCs w:val="21"/>
                      </w:rPr>
                    </w:pPr>
                    <w:r>
                      <w:rPr>
                        <w:rFonts w:ascii="Times New Roman" w:cs="Times New Roman"/>
                        <w:szCs w:val="21"/>
                      </w:rPr>
                      <w:t>股东名称</w:t>
                    </w:r>
                  </w:p>
                  <w:p>
                    <w:pPr>
                      <w:jc w:val="center"/>
                      <w:rPr>
                        <w:rFonts w:ascii="Times New Roman" w:hAnsi="Times New Roman" w:cs="Times New Roman"/>
                        <w:szCs w:val="21"/>
                      </w:rPr>
                    </w:pPr>
                    <w:r>
                      <w:rPr>
                        <w:rFonts w:ascii="Times New Roman" w:cs="Times New Roman"/>
                        <w:szCs w:val="21"/>
                      </w:rPr>
                      <w:t>（全称）</w:t>
                    </w:r>
                  </w:p>
                </w:tc>
              </w:sdtContent>
            </w:sdt>
            <w:sdt>
              <w:sdtPr>
                <w:rPr>
                  <w:rFonts w:ascii="Times New Roman" w:hAnsi="Times New Roman" w:cs="Times New Roman"/>
                </w:rPr>
                <w:tag w:val="_PLD_587b672a54ed4481b14f0963f010aefb"/>
                <w:id w:val="865723257"/>
                <w:lock w:val="sdtLocked"/>
              </w:sdtPr>
              <w:sdtEndPr>
                <w:rPr>
                  <w:rFonts w:ascii="Times New Roman" w:hAnsi="Times New Roman" w:cs="Times New Roman"/>
                </w:rPr>
              </w:sdtEndPr>
              <w:sdtContent>
                <w:tc>
                  <w:tcPr>
                    <w:tcW w:w="1276" w:type="dxa"/>
                    <w:vMerge w:val="restart"/>
                    <w:shd w:val="clear" w:color="auto" w:fill="auto"/>
                    <w:vAlign w:val="center"/>
                  </w:tcPr>
                  <w:p>
                    <w:pPr>
                      <w:jc w:val="center"/>
                      <w:rPr>
                        <w:rFonts w:ascii="Times New Roman" w:hAnsi="Times New Roman" w:cs="Times New Roman"/>
                        <w:szCs w:val="21"/>
                      </w:rPr>
                    </w:pPr>
                    <w:r>
                      <w:rPr>
                        <w:rFonts w:ascii="Times New Roman" w:cs="Times New Roman"/>
                        <w:szCs w:val="21"/>
                      </w:rPr>
                      <w:t>报告期内增减</w:t>
                    </w:r>
                  </w:p>
                </w:tc>
              </w:sdtContent>
            </w:sdt>
            <w:sdt>
              <w:sdtPr>
                <w:rPr>
                  <w:rFonts w:ascii="Times New Roman" w:hAnsi="Times New Roman" w:cs="Times New Roman"/>
                </w:rPr>
                <w:tag w:val="_PLD_580f25e9dfa24c1d91f3845b6a6a42e5"/>
                <w:id w:val="865723258"/>
                <w:lock w:val="sdtLocked"/>
              </w:sdtPr>
              <w:sdtEndPr>
                <w:rPr>
                  <w:rFonts w:ascii="Times New Roman" w:hAnsi="Times New Roman" w:cs="Times New Roman"/>
                </w:rPr>
              </w:sdtEndPr>
              <w:sdtContent>
                <w:tc>
                  <w:tcPr>
                    <w:tcW w:w="1417" w:type="dxa"/>
                    <w:gridSpan w:val="2"/>
                    <w:vMerge w:val="restart"/>
                    <w:shd w:val="clear" w:color="auto" w:fill="auto"/>
                    <w:vAlign w:val="center"/>
                  </w:tcPr>
                  <w:p>
                    <w:pPr>
                      <w:jc w:val="center"/>
                      <w:rPr>
                        <w:rFonts w:ascii="Times New Roman" w:hAnsi="Times New Roman" w:cs="Times New Roman"/>
                        <w:szCs w:val="21"/>
                      </w:rPr>
                    </w:pPr>
                    <w:r>
                      <w:rPr>
                        <w:rFonts w:ascii="Times New Roman" w:cs="Times New Roman"/>
                        <w:szCs w:val="21"/>
                      </w:rPr>
                      <w:t>期末持股数量</w:t>
                    </w:r>
                  </w:p>
                </w:tc>
              </w:sdtContent>
            </w:sdt>
            <w:sdt>
              <w:sdtPr>
                <w:rPr>
                  <w:rFonts w:ascii="Times New Roman" w:hAnsi="Times New Roman" w:cs="Times New Roman"/>
                </w:rPr>
                <w:tag w:val="_PLD_e80658c5388c4bb0871489372e62334d"/>
                <w:id w:val="865723259"/>
                <w:lock w:val="sdtLocked"/>
              </w:sdtPr>
              <w:sdtEndPr>
                <w:rPr>
                  <w:rFonts w:ascii="Times New Roman" w:hAnsi="Times New Roman" w:cs="Times New Roman"/>
                </w:rPr>
              </w:sdtEndPr>
              <w:sdtContent>
                <w:tc>
                  <w:tcPr>
                    <w:tcW w:w="851" w:type="dxa"/>
                    <w:vMerge w:val="restart"/>
                    <w:shd w:val="clear" w:color="auto" w:fill="auto"/>
                    <w:vAlign w:val="center"/>
                  </w:tcPr>
                  <w:p>
                    <w:pPr>
                      <w:jc w:val="center"/>
                      <w:rPr>
                        <w:rFonts w:ascii="Times New Roman" w:hAnsi="Times New Roman" w:cs="Times New Roman"/>
                        <w:szCs w:val="21"/>
                      </w:rPr>
                    </w:pPr>
                    <w:r>
                      <w:rPr>
                        <w:rFonts w:ascii="Times New Roman" w:cs="Times New Roman"/>
                        <w:szCs w:val="21"/>
                      </w:rPr>
                      <w:t>比例</w:t>
                    </w:r>
                    <w:r>
                      <w:rPr>
                        <w:rFonts w:ascii="Times New Roman" w:hAnsi="Times New Roman" w:cs="Times New Roman"/>
                        <w:szCs w:val="21"/>
                      </w:rPr>
                      <w:t>(%)</w:t>
                    </w:r>
                  </w:p>
                </w:tc>
              </w:sdtContent>
            </w:sdt>
            <w:sdt>
              <w:sdtPr>
                <w:tag w:val="_PLD_0ed52eb839784cb0ab83b1692dc8b283"/>
                <w:id w:val="865723260"/>
                <w:lock w:val="sdtLocked"/>
              </w:sdtPr>
              <w:sdtContent>
                <w:tc>
                  <w:tcPr>
                    <w:tcW w:w="850" w:type="dxa"/>
                    <w:gridSpan w:val="2"/>
                    <w:vMerge w:val="restart"/>
                    <w:shd w:val="clear" w:color="auto" w:fill="auto"/>
                    <w:vAlign w:val="center"/>
                  </w:tcPr>
                  <w:p>
                    <w:pPr>
                      <w:pStyle w:val="10"/>
                      <w:rPr>
                        <w:bCs/>
                        <w:color w:val="00B050"/>
                      </w:rPr>
                    </w:pPr>
                    <w:r>
                      <w:rPr>
                        <w:rFonts w:hAnsi="宋体"/>
                        <w:bCs/>
                      </w:rPr>
                      <w:t>持有有限售条件股份数量</w:t>
                    </w:r>
                  </w:p>
                </w:tc>
              </w:sdtContent>
            </w:sdt>
            <w:sdt>
              <w:sdtPr>
                <w:rPr>
                  <w:rFonts w:ascii="Times New Roman" w:hAnsi="Times New Roman" w:cs="Times New Roman"/>
                </w:rPr>
                <w:tag w:val="_PLD_6d0fce9e7c914a578f4702348340f346"/>
                <w:id w:val="865723261"/>
                <w:lock w:val="sdtLocked"/>
              </w:sdtPr>
              <w:sdtEndPr>
                <w:rPr>
                  <w:rFonts w:ascii="Times New Roman" w:hAnsi="Times New Roman" w:cs="Times New Roman"/>
                </w:rPr>
              </w:sdtEndPr>
              <w:sdtContent>
                <w:tc>
                  <w:tcPr>
                    <w:tcW w:w="1276" w:type="dxa"/>
                    <w:gridSpan w:val="3"/>
                    <w:shd w:val="clear" w:color="auto" w:fill="auto"/>
                    <w:vAlign w:val="center"/>
                  </w:tcPr>
                  <w:p>
                    <w:pPr>
                      <w:jc w:val="center"/>
                      <w:rPr>
                        <w:rFonts w:ascii="Times New Roman" w:hAnsi="Times New Roman" w:cs="Times New Roman"/>
                        <w:szCs w:val="21"/>
                      </w:rPr>
                    </w:pPr>
                    <w:r>
                      <w:rPr>
                        <w:rFonts w:ascii="Times New Roman" w:cs="Times New Roman"/>
                        <w:szCs w:val="21"/>
                      </w:rPr>
                      <w:t>质押、标记或冻结情况</w:t>
                    </w:r>
                  </w:p>
                </w:tc>
              </w:sdtContent>
            </w:sdt>
            <w:sdt>
              <w:sdtPr>
                <w:rPr>
                  <w:rFonts w:ascii="Times New Roman" w:hAnsi="Times New Roman" w:cs="Times New Roman"/>
                </w:rPr>
                <w:tag w:val="_PLD_57b1e0d0ab2d4113aada0c0394d1589d"/>
                <w:id w:val="865723262"/>
                <w:lock w:val="sdtLocked"/>
              </w:sdtPr>
              <w:sdtEndPr>
                <w:rPr>
                  <w:rFonts w:ascii="Times New Roman" w:hAnsi="Times New Roman" w:cs="Times New Roman"/>
                </w:rPr>
              </w:sdtEndPr>
              <w:sdtContent>
                <w:tc>
                  <w:tcPr>
                    <w:tcW w:w="1428" w:type="dxa"/>
                    <w:vMerge w:val="restart"/>
                    <w:shd w:val="clear" w:color="auto" w:fill="auto"/>
                    <w:vAlign w:val="center"/>
                  </w:tcPr>
                  <w:p>
                    <w:pPr>
                      <w:jc w:val="center"/>
                      <w:rPr>
                        <w:rFonts w:ascii="Times New Roman" w:hAnsi="Times New Roman" w:cs="Times New Roman"/>
                        <w:szCs w:val="21"/>
                      </w:rPr>
                    </w:pPr>
                    <w:r>
                      <w:rPr>
                        <w:rFonts w:ascii="Times New Roman" w:cs="Times New Roman"/>
                        <w:szCs w:val="21"/>
                      </w:rPr>
                      <w:t>股东性质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vMerge w:val="continue"/>
                <w:tcBorders>
                  <w:bottom w:val="single" w:color="auto" w:sz="4" w:space="0"/>
                </w:tcBorders>
                <w:shd w:val="clear" w:color="auto" w:fill="auto"/>
                <w:vAlign w:val="center"/>
              </w:tcPr>
              <w:p>
                <w:pPr>
                  <w:jc w:val="center"/>
                  <w:rPr>
                    <w:rFonts w:ascii="Times New Roman" w:hAnsi="Times New Roman" w:cs="Times New Roman"/>
                    <w:szCs w:val="21"/>
                  </w:rPr>
                </w:pPr>
              </w:p>
            </w:tc>
            <w:tc>
              <w:tcPr>
                <w:tcW w:w="1276" w:type="dxa"/>
                <w:vMerge w:val="continue"/>
                <w:tcBorders>
                  <w:bottom w:val="single" w:color="auto" w:sz="4" w:space="0"/>
                </w:tcBorders>
                <w:shd w:val="clear" w:color="auto" w:fill="auto"/>
                <w:vAlign w:val="center"/>
              </w:tcPr>
              <w:p>
                <w:pPr>
                  <w:jc w:val="center"/>
                  <w:rPr>
                    <w:rFonts w:ascii="Times New Roman" w:hAnsi="Times New Roman" w:cs="Times New Roman"/>
                    <w:szCs w:val="21"/>
                  </w:rPr>
                </w:pPr>
              </w:p>
            </w:tc>
            <w:tc>
              <w:tcPr>
                <w:tcW w:w="1417" w:type="dxa"/>
                <w:gridSpan w:val="2"/>
                <w:vMerge w:val="continue"/>
                <w:tcBorders>
                  <w:bottom w:val="single" w:color="auto" w:sz="4" w:space="0"/>
                </w:tcBorders>
                <w:shd w:val="clear" w:color="auto" w:fill="auto"/>
                <w:vAlign w:val="center"/>
              </w:tcPr>
              <w:p>
                <w:pPr>
                  <w:jc w:val="center"/>
                  <w:rPr>
                    <w:rFonts w:ascii="Times New Roman" w:hAnsi="Times New Roman" w:cs="Times New Roman"/>
                    <w:szCs w:val="21"/>
                  </w:rPr>
                </w:pPr>
              </w:p>
            </w:tc>
            <w:tc>
              <w:tcPr>
                <w:tcW w:w="851" w:type="dxa"/>
                <w:vMerge w:val="continue"/>
                <w:tcBorders>
                  <w:bottom w:val="single" w:color="auto" w:sz="4" w:space="0"/>
                </w:tcBorders>
                <w:shd w:val="clear" w:color="auto" w:fill="auto"/>
                <w:vAlign w:val="center"/>
              </w:tcPr>
              <w:p>
                <w:pPr>
                  <w:jc w:val="center"/>
                  <w:rPr>
                    <w:rFonts w:ascii="Times New Roman" w:hAnsi="Times New Roman" w:cs="Times New Roman"/>
                    <w:szCs w:val="21"/>
                  </w:rPr>
                </w:pPr>
              </w:p>
            </w:tc>
            <w:tc>
              <w:tcPr>
                <w:tcW w:w="850" w:type="dxa"/>
                <w:gridSpan w:val="2"/>
                <w:vMerge w:val="continue"/>
                <w:tcBorders>
                  <w:bottom w:val="single" w:color="auto" w:sz="4" w:space="0"/>
                </w:tcBorders>
                <w:shd w:val="clear" w:color="auto" w:fill="auto"/>
                <w:vAlign w:val="center"/>
              </w:tcPr>
              <w:p>
                <w:pPr>
                  <w:jc w:val="center"/>
                  <w:rPr>
                    <w:rFonts w:ascii="Times New Roman" w:hAnsi="Times New Roman" w:cs="Times New Roman"/>
                    <w:szCs w:val="21"/>
                  </w:rPr>
                </w:pPr>
              </w:p>
            </w:tc>
            <w:sdt>
              <w:sdtPr>
                <w:rPr>
                  <w:rFonts w:ascii="Times New Roman" w:hAnsi="Times New Roman" w:cs="Times New Roman"/>
                </w:rPr>
                <w:tag w:val="_PLD_72b090b1925c46349c7beb3ca6c0032f"/>
                <w:id w:val="865723263"/>
                <w:lock w:val="sdtLocked"/>
              </w:sdtPr>
              <w:sdtEndPr>
                <w:rPr>
                  <w:rFonts w:ascii="Times New Roman" w:hAnsi="Times New Roman" w:cs="Times New Roman"/>
                </w:rPr>
              </w:sdtEndPr>
              <w:sdtContent>
                <w:tc>
                  <w:tcPr>
                    <w:tcW w:w="709" w:type="dxa"/>
                    <w:tcBorders>
                      <w:bottom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股份状态</w:t>
                    </w:r>
                  </w:p>
                </w:tc>
              </w:sdtContent>
            </w:sdt>
            <w:sdt>
              <w:sdtPr>
                <w:rPr>
                  <w:rFonts w:ascii="Times New Roman" w:hAnsi="Times New Roman" w:cs="Times New Roman"/>
                </w:rPr>
                <w:tag w:val="_PLD_76e0ca0392384ff795b7613d764041da"/>
                <w:id w:val="865723264"/>
                <w:lock w:val="sdtLocked"/>
              </w:sdtPr>
              <w:sdtEndPr>
                <w:rPr>
                  <w:rFonts w:ascii="Times New Roman" w:hAnsi="Times New Roman" w:cs="Times New Roman"/>
                </w:rPr>
              </w:sdtEndPr>
              <w:sdtContent>
                <w:tc>
                  <w:tcPr>
                    <w:tcW w:w="567" w:type="dxa"/>
                    <w:gridSpan w:val="2"/>
                    <w:tcBorders>
                      <w:bottom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数量</w:t>
                    </w:r>
                  </w:p>
                </w:tc>
              </w:sdtContent>
            </w:sdt>
            <w:tc>
              <w:tcPr>
                <w:tcW w:w="1428" w:type="dxa"/>
                <w:vMerge w:val="continue"/>
                <w:shd w:val="clear" w:color="auto" w:fill="auto"/>
                <w:vAlign w:val="center"/>
              </w:tcPr>
              <w:p>
                <w:pPr>
                  <w:jc w:val="center"/>
                  <w:rPr>
                    <w:rFonts w:ascii="Times New Roman" w:hAnsi="Times New Roman" w:cs="Times New Roman"/>
                    <w:szCs w:val="21"/>
                  </w:rPr>
                </w:pPr>
              </w:p>
            </w:tc>
          </w:tr>
          <w:sdt>
            <w:sdtPr>
              <w:rPr>
                <w:rFonts w:ascii="Times New Roman" w:hAnsi="Times New Roman" w:cs="Times New Roman"/>
                <w:szCs w:val="21"/>
              </w:rPr>
              <w:alias w:val="前十名股东持股情况"/>
              <w:tag w:val="_TUP_dfb07f5d24d04bbbad485e33c5e2bd12"/>
              <w:id w:val="865723267"/>
              <w:lock w:val="sdtLocked"/>
            </w:sdtPr>
            <w:sdtEndPr>
              <w:rPr>
                <w:rFonts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shd w:val="clear" w:color="auto" w:fill="auto"/>
                    <w:vAlign w:val="center"/>
                  </w:tcPr>
                  <w:p>
                    <w:pPr>
                      <w:rPr>
                        <w:rFonts w:ascii="Times New Roman" w:hAnsi="Times New Roman" w:cs="Times New Roman"/>
                        <w:szCs w:val="21"/>
                      </w:rPr>
                    </w:pPr>
                    <w:r>
                      <w:rPr>
                        <w:rFonts w:ascii="Times New Roman" w:cs="Times New Roman"/>
                      </w:rPr>
                      <w:t>广西柳州市产业投资发展集团有限公司</w:t>
                    </w:r>
                  </w:p>
                </w:tc>
                <w:tc>
                  <w:tcPr>
                    <w:tcW w:w="1276" w:type="dxa"/>
                    <w:shd w:val="clear" w:color="auto" w:fill="auto"/>
                    <w:vAlign w:val="center"/>
                  </w:tcPr>
                  <w:p>
                    <w:pPr>
                      <w:jc w:val="center"/>
                      <w:rPr>
                        <w:rFonts w:ascii="Times New Roman" w:hAnsi="Times New Roman" w:cs="Times New Roman"/>
                        <w:sz w:val="24"/>
                      </w:rPr>
                    </w:pPr>
                    <w:r>
                      <w:rPr>
                        <w:rFonts w:ascii="Times New Roman" w:hAnsi="Times New Roman" w:cs="Times New Roman"/>
                      </w:rPr>
                      <w:t>0</w:t>
                    </w:r>
                  </w:p>
                </w:tc>
                <w:tc>
                  <w:tcPr>
                    <w:tcW w:w="1417" w:type="dxa"/>
                    <w:gridSpan w:val="2"/>
                    <w:shd w:val="clear" w:color="auto" w:fill="auto"/>
                    <w:vAlign w:val="center"/>
                  </w:tcPr>
                  <w:p>
                    <w:pPr>
                      <w:jc w:val="center"/>
                      <w:rPr>
                        <w:rFonts w:ascii="Times New Roman" w:hAnsi="Times New Roman" w:cs="Times New Roman"/>
                        <w:sz w:val="24"/>
                      </w:rPr>
                    </w:pPr>
                    <w:r>
                      <w:rPr>
                        <w:rFonts w:ascii="Times New Roman" w:hAnsi="Times New Roman" w:cs="Times New Roman"/>
                      </w:rPr>
                      <w:t>183,360,652</w:t>
                    </w:r>
                  </w:p>
                </w:tc>
                <w:tc>
                  <w:tcPr>
                    <w:tcW w:w="851" w:type="dxa"/>
                    <w:shd w:val="clear" w:color="auto" w:fill="auto"/>
                    <w:vAlign w:val="center"/>
                  </w:tcPr>
                  <w:p>
                    <w:pPr>
                      <w:jc w:val="center"/>
                      <w:rPr>
                        <w:rFonts w:ascii="Times New Roman" w:hAnsi="Times New Roman" w:cs="Times New Roman"/>
                        <w:sz w:val="24"/>
                      </w:rPr>
                    </w:pPr>
                    <w:r>
                      <w:rPr>
                        <w:rFonts w:ascii="Times New Roman" w:hAnsi="Times New Roman" w:cs="Times New Roman"/>
                      </w:rPr>
                      <w:t>33.34</w:t>
                    </w:r>
                  </w:p>
                </w:tc>
                <w:tc>
                  <w:tcPr>
                    <w:tcW w:w="850"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持有股份状态"/>
                    <w:tag w:val="_GBC_46a2e2b7fded452b84eec75a5e47296b"/>
                    <w:id w:val="86572326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imes New Roman" w:hAnsi="Times New Roman" w:cs="Times New Roman"/>
                      <w:szCs w:val="21"/>
                    </w:rPr>
                  </w:sdtEndPr>
                  <w:sdtContent>
                    <w:tc>
                      <w:tcPr>
                        <w:tcW w:w="709" w:type="dxa"/>
                        <w:shd w:val="clear" w:color="auto" w:fill="auto"/>
                        <w:vAlign w:val="center"/>
                      </w:tcPr>
                      <w:p>
                        <w:pPr>
                          <w:jc w:val="center"/>
                          <w:rPr>
                            <w:rFonts w:ascii="Times New Roman" w:hAnsi="Times New Roman" w:cs="Times New Roman"/>
                            <w:szCs w:val="21"/>
                          </w:rPr>
                        </w:pPr>
                        <w:r>
                          <w:rPr>
                            <w:rFonts w:ascii="Times New Roman" w:cs="Times New Roman"/>
                            <w:szCs w:val="21"/>
                          </w:rPr>
                          <w:t>无</w:t>
                        </w:r>
                      </w:p>
                    </w:tc>
                  </w:sdtContent>
                </w:sdt>
                <w:tc>
                  <w:tcPr>
                    <w:tcW w:w="567"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8657232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imes New Roman" w:hAnsi="Times New Roman" w:cs="Times New Roman"/>
                      <w:szCs w:val="21"/>
                    </w:rPr>
                  </w:sdtEndPr>
                  <w:sdtContent>
                    <w:tc>
                      <w:tcPr>
                        <w:tcW w:w="1428" w:type="dxa"/>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国有法人</w:t>
                        </w:r>
                      </w:p>
                    </w:tc>
                  </w:sdtContent>
                </w:sdt>
              </w:tr>
            </w:sdtContent>
          </w:sdt>
          <w:sdt>
            <w:sdtPr>
              <w:rPr>
                <w:rFonts w:ascii="Times New Roman" w:hAnsi="Times New Roman" w:cs="Times New Roman"/>
                <w:szCs w:val="21"/>
              </w:rPr>
              <w:alias w:val="前十名股东持股情况"/>
              <w:tag w:val="_TUP_dfb07f5d24d04bbbad485e33c5e2bd12"/>
              <w:id w:val="865723270"/>
              <w:lock w:val="sdtLocked"/>
            </w:sdtPr>
            <w:sdtEndPr>
              <w:rPr>
                <w:rFonts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shd w:val="clear" w:color="auto" w:fill="auto"/>
                    <w:vAlign w:val="center"/>
                  </w:tcPr>
                  <w:p>
                    <w:pPr>
                      <w:rPr>
                        <w:rFonts w:ascii="Times New Roman" w:hAnsi="Times New Roman" w:cs="Times New Roman"/>
                        <w:szCs w:val="21"/>
                      </w:rPr>
                    </w:pPr>
                    <w:r>
                      <w:rPr>
                        <w:rFonts w:ascii="Times New Roman" w:cs="Times New Roman"/>
                      </w:rPr>
                      <w:t>柳州市经发投资有限责任公司</w:t>
                    </w:r>
                  </w:p>
                </w:tc>
                <w:tc>
                  <w:tcPr>
                    <w:tcW w:w="1276" w:type="dxa"/>
                    <w:shd w:val="clear" w:color="auto" w:fill="auto"/>
                    <w:vAlign w:val="center"/>
                  </w:tcPr>
                  <w:p>
                    <w:pPr>
                      <w:jc w:val="center"/>
                      <w:rPr>
                        <w:rFonts w:ascii="Times New Roman" w:hAnsi="Times New Roman" w:cs="Times New Roman"/>
                        <w:sz w:val="24"/>
                      </w:rPr>
                    </w:pPr>
                    <w:r>
                      <w:rPr>
                        <w:rFonts w:ascii="Times New Roman" w:hAnsi="Times New Roman" w:cs="Times New Roman"/>
                      </w:rPr>
                      <w:t>0</w:t>
                    </w:r>
                  </w:p>
                </w:tc>
                <w:tc>
                  <w:tcPr>
                    <w:tcW w:w="1417" w:type="dxa"/>
                    <w:gridSpan w:val="2"/>
                    <w:shd w:val="clear" w:color="auto" w:fill="auto"/>
                    <w:vAlign w:val="center"/>
                  </w:tcPr>
                  <w:p>
                    <w:pPr>
                      <w:jc w:val="center"/>
                      <w:rPr>
                        <w:rFonts w:ascii="Times New Roman" w:hAnsi="Times New Roman" w:cs="Times New Roman"/>
                        <w:sz w:val="24"/>
                      </w:rPr>
                    </w:pPr>
                    <w:r>
                      <w:rPr>
                        <w:rFonts w:ascii="Times New Roman" w:hAnsi="Times New Roman" w:cs="Times New Roman"/>
                      </w:rPr>
                      <w:t>32,959,167</w:t>
                    </w:r>
                  </w:p>
                </w:tc>
                <w:tc>
                  <w:tcPr>
                    <w:tcW w:w="851" w:type="dxa"/>
                    <w:shd w:val="clear" w:color="auto" w:fill="auto"/>
                    <w:vAlign w:val="center"/>
                  </w:tcPr>
                  <w:p>
                    <w:pPr>
                      <w:jc w:val="center"/>
                      <w:rPr>
                        <w:rFonts w:ascii="Times New Roman" w:hAnsi="Times New Roman" w:cs="Times New Roman"/>
                        <w:sz w:val="24"/>
                      </w:rPr>
                    </w:pPr>
                    <w:r>
                      <w:rPr>
                        <w:rFonts w:ascii="Times New Roman" w:hAnsi="Times New Roman" w:cs="Times New Roman"/>
                      </w:rPr>
                      <w:t>5.99</w:t>
                    </w:r>
                  </w:p>
                </w:tc>
                <w:tc>
                  <w:tcPr>
                    <w:tcW w:w="850"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持有股份状态"/>
                    <w:tag w:val="_GBC_46a2e2b7fded452b84eec75a5e47296b"/>
                    <w:id w:val="86572326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imes New Roman" w:hAnsi="Times New Roman" w:cs="Times New Roman"/>
                      <w:szCs w:val="21"/>
                    </w:rPr>
                  </w:sdtEndPr>
                  <w:sdtContent>
                    <w:tc>
                      <w:tcPr>
                        <w:tcW w:w="709" w:type="dxa"/>
                        <w:shd w:val="clear" w:color="auto" w:fill="auto"/>
                        <w:vAlign w:val="center"/>
                      </w:tcPr>
                      <w:p>
                        <w:pPr>
                          <w:jc w:val="center"/>
                          <w:rPr>
                            <w:rFonts w:ascii="Times New Roman" w:hAnsi="Times New Roman" w:cs="Times New Roman"/>
                            <w:szCs w:val="21"/>
                          </w:rPr>
                        </w:pPr>
                        <w:r>
                          <w:rPr>
                            <w:rFonts w:ascii="Times New Roman" w:cs="Times New Roman"/>
                            <w:szCs w:val="21"/>
                          </w:rPr>
                          <w:t>无</w:t>
                        </w:r>
                      </w:p>
                    </w:tc>
                  </w:sdtContent>
                </w:sdt>
                <w:tc>
                  <w:tcPr>
                    <w:tcW w:w="567"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8657232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imes New Roman" w:hAnsi="Times New Roman" w:cs="Times New Roman"/>
                      <w:szCs w:val="21"/>
                    </w:rPr>
                  </w:sdtEndPr>
                  <w:sdtContent>
                    <w:tc>
                      <w:tcPr>
                        <w:tcW w:w="1428" w:type="dxa"/>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国有法人</w:t>
                        </w:r>
                      </w:p>
                    </w:tc>
                  </w:sdtContent>
                </w:sdt>
              </w:tr>
            </w:sdtContent>
          </w:sdt>
          <w:sdt>
            <w:sdtPr>
              <w:rPr>
                <w:rFonts w:ascii="Times New Roman" w:hAnsi="Times New Roman" w:cs="Times New Roman"/>
                <w:szCs w:val="21"/>
              </w:rPr>
              <w:alias w:val="前十名股东持股情况"/>
              <w:tag w:val="_TUP_dfb07f5d24d04bbbad485e33c5e2bd12"/>
              <w:id w:val="865723273"/>
              <w:lock w:val="sdtLocked"/>
            </w:sdtPr>
            <w:sdtEndPr>
              <w:rPr>
                <w:rFonts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shd w:val="clear" w:color="auto" w:fill="auto"/>
                    <w:vAlign w:val="center"/>
                  </w:tcPr>
                  <w:p>
                    <w:pPr>
                      <w:rPr>
                        <w:rFonts w:ascii="Times New Roman" w:hAnsi="Times New Roman" w:cs="Times New Roman"/>
                        <w:szCs w:val="21"/>
                      </w:rPr>
                    </w:pPr>
                    <w:r>
                      <w:rPr>
                        <w:rFonts w:ascii="Times New Roman" w:cs="Times New Roman"/>
                      </w:rPr>
                      <w:t>施梁</w:t>
                    </w:r>
                  </w:p>
                </w:tc>
                <w:tc>
                  <w:tcPr>
                    <w:tcW w:w="1276" w:type="dxa"/>
                    <w:shd w:val="clear" w:color="auto" w:fill="auto"/>
                    <w:vAlign w:val="center"/>
                  </w:tcPr>
                  <w:p>
                    <w:pPr>
                      <w:jc w:val="center"/>
                      <w:rPr>
                        <w:rFonts w:ascii="Times New Roman" w:hAnsi="Times New Roman" w:cs="Times New Roman"/>
                        <w:sz w:val="24"/>
                      </w:rPr>
                    </w:pPr>
                    <w:r>
                      <w:rPr>
                        <w:rFonts w:ascii="Times New Roman" w:hAnsi="Times New Roman" w:cs="Times New Roman"/>
                      </w:rPr>
                      <w:t>4,000,000</w:t>
                    </w:r>
                  </w:p>
                </w:tc>
                <w:tc>
                  <w:tcPr>
                    <w:tcW w:w="1417" w:type="dxa"/>
                    <w:gridSpan w:val="2"/>
                    <w:shd w:val="clear" w:color="auto" w:fill="auto"/>
                    <w:vAlign w:val="center"/>
                  </w:tcPr>
                  <w:p>
                    <w:pPr>
                      <w:jc w:val="center"/>
                      <w:rPr>
                        <w:rFonts w:ascii="Times New Roman" w:hAnsi="Times New Roman" w:cs="Times New Roman"/>
                        <w:sz w:val="24"/>
                      </w:rPr>
                    </w:pPr>
                    <w:r>
                      <w:rPr>
                        <w:rFonts w:ascii="Times New Roman" w:hAnsi="Times New Roman" w:cs="Times New Roman"/>
                      </w:rPr>
                      <w:t>4,000,000</w:t>
                    </w:r>
                  </w:p>
                </w:tc>
                <w:tc>
                  <w:tcPr>
                    <w:tcW w:w="851" w:type="dxa"/>
                    <w:shd w:val="clear" w:color="auto" w:fill="auto"/>
                    <w:vAlign w:val="center"/>
                  </w:tcPr>
                  <w:p>
                    <w:pPr>
                      <w:jc w:val="center"/>
                      <w:rPr>
                        <w:rFonts w:ascii="Times New Roman" w:hAnsi="Times New Roman" w:cs="Times New Roman"/>
                        <w:sz w:val="24"/>
                      </w:rPr>
                    </w:pPr>
                    <w:r>
                      <w:rPr>
                        <w:rFonts w:ascii="Times New Roman" w:hAnsi="Times New Roman" w:cs="Times New Roman"/>
                      </w:rPr>
                      <w:t>0.73</w:t>
                    </w:r>
                  </w:p>
                </w:tc>
                <w:tc>
                  <w:tcPr>
                    <w:tcW w:w="850"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持有股份状态"/>
                    <w:tag w:val="_GBC_46a2e2b7fded452b84eec75a5e47296b"/>
                    <w:id w:val="86572327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imes New Roman" w:hAnsi="Times New Roman" w:cs="Times New Roman"/>
                      <w:szCs w:val="21"/>
                    </w:rPr>
                  </w:sdtEndPr>
                  <w:sdtContent>
                    <w:tc>
                      <w:tcPr>
                        <w:tcW w:w="709" w:type="dxa"/>
                        <w:shd w:val="clear" w:color="auto" w:fill="auto"/>
                        <w:vAlign w:val="center"/>
                      </w:tcPr>
                      <w:p>
                        <w:pPr>
                          <w:jc w:val="center"/>
                          <w:rPr>
                            <w:rFonts w:ascii="Times New Roman" w:hAnsi="Times New Roman" w:cs="Times New Roman"/>
                            <w:szCs w:val="21"/>
                          </w:rPr>
                        </w:pPr>
                        <w:r>
                          <w:rPr>
                            <w:rFonts w:ascii="Times New Roman" w:cs="Times New Roman"/>
                            <w:szCs w:val="21"/>
                          </w:rPr>
                          <w:t>无</w:t>
                        </w:r>
                      </w:p>
                    </w:tc>
                  </w:sdtContent>
                </w:sdt>
                <w:tc>
                  <w:tcPr>
                    <w:tcW w:w="567"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8657232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imes New Roman" w:hAnsi="Times New Roman" w:cs="Times New Roman"/>
                      <w:szCs w:val="21"/>
                    </w:rPr>
                  </w:sdtEndPr>
                  <w:sdtContent>
                    <w:tc>
                      <w:tcPr>
                        <w:tcW w:w="1428" w:type="dxa"/>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dfb07f5d24d04bbbad485e33c5e2bd12"/>
              <w:id w:val="865723276"/>
              <w:lock w:val="sdtLocked"/>
            </w:sdtPr>
            <w:sdtEndPr>
              <w:rPr>
                <w:rFonts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shd w:val="clear" w:color="auto" w:fill="auto"/>
                    <w:vAlign w:val="center"/>
                  </w:tcPr>
                  <w:p>
                    <w:pPr>
                      <w:rPr>
                        <w:rFonts w:ascii="Times New Roman" w:hAnsi="Times New Roman" w:cs="Times New Roman"/>
                        <w:szCs w:val="21"/>
                      </w:rPr>
                    </w:pPr>
                    <w:r>
                      <w:rPr>
                        <w:rFonts w:ascii="Times New Roman" w:cs="Times New Roman"/>
                      </w:rPr>
                      <w:t>徐开东</w:t>
                    </w:r>
                  </w:p>
                </w:tc>
                <w:tc>
                  <w:tcPr>
                    <w:tcW w:w="1276" w:type="dxa"/>
                    <w:shd w:val="clear" w:color="auto" w:fill="auto"/>
                    <w:vAlign w:val="center"/>
                  </w:tcPr>
                  <w:p>
                    <w:pPr>
                      <w:jc w:val="center"/>
                      <w:rPr>
                        <w:rFonts w:ascii="Times New Roman" w:hAnsi="Times New Roman" w:cs="Times New Roman"/>
                        <w:sz w:val="24"/>
                      </w:rPr>
                    </w:pPr>
                    <w:r>
                      <w:rPr>
                        <w:rFonts w:ascii="Times New Roman" w:hAnsi="Times New Roman" w:cs="Times New Roman"/>
                      </w:rPr>
                      <w:t>843,100</w:t>
                    </w:r>
                  </w:p>
                </w:tc>
                <w:tc>
                  <w:tcPr>
                    <w:tcW w:w="1417" w:type="dxa"/>
                    <w:gridSpan w:val="2"/>
                    <w:shd w:val="clear" w:color="auto" w:fill="auto"/>
                    <w:vAlign w:val="center"/>
                  </w:tcPr>
                  <w:p>
                    <w:pPr>
                      <w:jc w:val="center"/>
                      <w:rPr>
                        <w:rFonts w:ascii="Times New Roman" w:hAnsi="Times New Roman" w:cs="Times New Roman"/>
                        <w:sz w:val="24"/>
                      </w:rPr>
                    </w:pPr>
                    <w:r>
                      <w:rPr>
                        <w:rFonts w:ascii="Times New Roman" w:hAnsi="Times New Roman" w:cs="Times New Roman"/>
                      </w:rPr>
                      <w:t>3,300,467</w:t>
                    </w:r>
                  </w:p>
                </w:tc>
                <w:tc>
                  <w:tcPr>
                    <w:tcW w:w="851" w:type="dxa"/>
                    <w:shd w:val="clear" w:color="auto" w:fill="auto"/>
                    <w:vAlign w:val="center"/>
                  </w:tcPr>
                  <w:p>
                    <w:pPr>
                      <w:jc w:val="center"/>
                      <w:rPr>
                        <w:rFonts w:ascii="Times New Roman" w:hAnsi="Times New Roman" w:cs="Times New Roman"/>
                        <w:sz w:val="24"/>
                      </w:rPr>
                    </w:pPr>
                    <w:r>
                      <w:rPr>
                        <w:rFonts w:ascii="Times New Roman" w:hAnsi="Times New Roman" w:cs="Times New Roman"/>
                      </w:rPr>
                      <w:t>0.60</w:t>
                    </w:r>
                  </w:p>
                </w:tc>
                <w:tc>
                  <w:tcPr>
                    <w:tcW w:w="850"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持有股份状态"/>
                    <w:tag w:val="_GBC_46a2e2b7fded452b84eec75a5e47296b"/>
                    <w:id w:val="86572327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imes New Roman" w:hAnsi="Times New Roman" w:cs="Times New Roman"/>
                      <w:szCs w:val="21"/>
                    </w:rPr>
                  </w:sdtEndPr>
                  <w:sdtContent>
                    <w:tc>
                      <w:tcPr>
                        <w:tcW w:w="709" w:type="dxa"/>
                        <w:shd w:val="clear" w:color="auto" w:fill="auto"/>
                        <w:vAlign w:val="center"/>
                      </w:tcPr>
                      <w:p>
                        <w:pPr>
                          <w:jc w:val="center"/>
                          <w:rPr>
                            <w:rFonts w:ascii="Times New Roman" w:hAnsi="Times New Roman" w:cs="Times New Roman"/>
                            <w:szCs w:val="21"/>
                          </w:rPr>
                        </w:pPr>
                        <w:r>
                          <w:rPr>
                            <w:rFonts w:ascii="Times New Roman" w:cs="Times New Roman"/>
                            <w:szCs w:val="21"/>
                          </w:rPr>
                          <w:t>无</w:t>
                        </w:r>
                      </w:p>
                    </w:tc>
                  </w:sdtContent>
                </w:sdt>
                <w:tc>
                  <w:tcPr>
                    <w:tcW w:w="567"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8657232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imes New Roman" w:hAnsi="Times New Roman" w:cs="Times New Roman"/>
                      <w:szCs w:val="21"/>
                    </w:rPr>
                  </w:sdtEndPr>
                  <w:sdtContent>
                    <w:tc>
                      <w:tcPr>
                        <w:tcW w:w="1428" w:type="dxa"/>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dfb07f5d24d04bbbad485e33c5e2bd12"/>
              <w:id w:val="865723279"/>
              <w:lock w:val="sdtLocked"/>
            </w:sdtPr>
            <w:sdtEndPr>
              <w:rPr>
                <w:rFonts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shd w:val="clear" w:color="auto" w:fill="auto"/>
                    <w:vAlign w:val="center"/>
                  </w:tcPr>
                  <w:p>
                    <w:pPr>
                      <w:rPr>
                        <w:rFonts w:ascii="Times New Roman" w:hAnsi="Times New Roman" w:cs="Times New Roman"/>
                        <w:szCs w:val="21"/>
                      </w:rPr>
                    </w:pPr>
                    <w:r>
                      <w:rPr>
                        <w:rFonts w:ascii="Times New Roman" w:cs="Times New Roman"/>
                      </w:rPr>
                      <w:t>刘文华</w:t>
                    </w:r>
                  </w:p>
                </w:tc>
                <w:tc>
                  <w:tcPr>
                    <w:tcW w:w="1276" w:type="dxa"/>
                    <w:shd w:val="clear" w:color="auto" w:fill="auto"/>
                    <w:vAlign w:val="center"/>
                  </w:tcPr>
                  <w:p>
                    <w:pPr>
                      <w:jc w:val="center"/>
                      <w:rPr>
                        <w:rFonts w:ascii="Times New Roman" w:hAnsi="Times New Roman" w:cs="Times New Roman"/>
                        <w:sz w:val="24"/>
                      </w:rPr>
                    </w:pPr>
                    <w:r>
                      <w:rPr>
                        <w:rFonts w:ascii="Times New Roman" w:hAnsi="Times New Roman" w:cs="Times New Roman"/>
                      </w:rPr>
                      <w:t>-480,000</w:t>
                    </w:r>
                  </w:p>
                </w:tc>
                <w:tc>
                  <w:tcPr>
                    <w:tcW w:w="1417" w:type="dxa"/>
                    <w:gridSpan w:val="2"/>
                    <w:shd w:val="clear" w:color="auto" w:fill="auto"/>
                    <w:vAlign w:val="center"/>
                  </w:tcPr>
                  <w:p>
                    <w:pPr>
                      <w:jc w:val="center"/>
                      <w:rPr>
                        <w:rFonts w:ascii="Times New Roman" w:hAnsi="Times New Roman" w:cs="Times New Roman"/>
                        <w:sz w:val="24"/>
                      </w:rPr>
                    </w:pPr>
                    <w:r>
                      <w:rPr>
                        <w:rFonts w:ascii="Times New Roman" w:hAnsi="Times New Roman" w:cs="Times New Roman"/>
                      </w:rPr>
                      <w:t>3,289,550</w:t>
                    </w:r>
                  </w:p>
                </w:tc>
                <w:tc>
                  <w:tcPr>
                    <w:tcW w:w="851" w:type="dxa"/>
                    <w:shd w:val="clear" w:color="auto" w:fill="auto"/>
                    <w:vAlign w:val="center"/>
                  </w:tcPr>
                  <w:p>
                    <w:pPr>
                      <w:jc w:val="center"/>
                      <w:rPr>
                        <w:rFonts w:ascii="Times New Roman" w:hAnsi="Times New Roman" w:cs="Times New Roman"/>
                        <w:sz w:val="24"/>
                      </w:rPr>
                    </w:pPr>
                    <w:r>
                      <w:rPr>
                        <w:rFonts w:ascii="Times New Roman" w:hAnsi="Times New Roman" w:cs="Times New Roman"/>
                      </w:rPr>
                      <w:t>0.60</w:t>
                    </w:r>
                  </w:p>
                </w:tc>
                <w:tc>
                  <w:tcPr>
                    <w:tcW w:w="850"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持有股份状态"/>
                    <w:tag w:val="_GBC_46a2e2b7fded452b84eec75a5e47296b"/>
                    <w:id w:val="86572327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imes New Roman" w:hAnsi="Times New Roman" w:cs="Times New Roman"/>
                      <w:szCs w:val="21"/>
                    </w:rPr>
                  </w:sdtEndPr>
                  <w:sdtContent>
                    <w:tc>
                      <w:tcPr>
                        <w:tcW w:w="709" w:type="dxa"/>
                        <w:shd w:val="clear" w:color="auto" w:fill="auto"/>
                        <w:vAlign w:val="center"/>
                      </w:tcPr>
                      <w:p>
                        <w:pPr>
                          <w:jc w:val="center"/>
                          <w:rPr>
                            <w:rFonts w:ascii="Times New Roman" w:hAnsi="Times New Roman" w:cs="Times New Roman"/>
                            <w:szCs w:val="21"/>
                          </w:rPr>
                        </w:pPr>
                        <w:r>
                          <w:rPr>
                            <w:rFonts w:ascii="Times New Roman" w:cs="Times New Roman"/>
                            <w:szCs w:val="21"/>
                          </w:rPr>
                          <w:t>无</w:t>
                        </w:r>
                      </w:p>
                    </w:tc>
                  </w:sdtContent>
                </w:sdt>
                <w:tc>
                  <w:tcPr>
                    <w:tcW w:w="567"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8657232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imes New Roman" w:hAnsi="Times New Roman" w:cs="Times New Roman"/>
                      <w:szCs w:val="21"/>
                    </w:rPr>
                  </w:sdtEndPr>
                  <w:sdtContent>
                    <w:tc>
                      <w:tcPr>
                        <w:tcW w:w="1428" w:type="dxa"/>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dfb07f5d24d04bbbad485e33c5e2bd12"/>
              <w:id w:val="865723282"/>
              <w:lock w:val="sdtLocked"/>
            </w:sdtPr>
            <w:sdtEndPr>
              <w:rPr>
                <w:rFonts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shd w:val="clear" w:color="auto" w:fill="auto"/>
                    <w:vAlign w:val="center"/>
                  </w:tcPr>
                  <w:p>
                    <w:pPr>
                      <w:rPr>
                        <w:rFonts w:ascii="Times New Roman" w:hAnsi="Times New Roman" w:cs="Times New Roman"/>
                        <w:szCs w:val="21"/>
                      </w:rPr>
                    </w:pPr>
                    <w:r>
                      <w:rPr>
                        <w:rFonts w:ascii="Times New Roman" w:cs="Times New Roman"/>
                      </w:rPr>
                      <w:t>杜群</w:t>
                    </w:r>
                  </w:p>
                </w:tc>
                <w:tc>
                  <w:tcPr>
                    <w:tcW w:w="1276" w:type="dxa"/>
                    <w:shd w:val="clear" w:color="auto" w:fill="auto"/>
                    <w:vAlign w:val="center"/>
                  </w:tcPr>
                  <w:p>
                    <w:pPr>
                      <w:jc w:val="center"/>
                      <w:rPr>
                        <w:rFonts w:ascii="Times New Roman" w:hAnsi="Times New Roman" w:cs="Times New Roman"/>
                        <w:sz w:val="24"/>
                      </w:rPr>
                    </w:pPr>
                    <w:r>
                      <w:rPr>
                        <w:rFonts w:ascii="Times New Roman" w:hAnsi="Times New Roman" w:cs="Times New Roman"/>
                      </w:rPr>
                      <w:t>-150,400</w:t>
                    </w:r>
                  </w:p>
                </w:tc>
                <w:tc>
                  <w:tcPr>
                    <w:tcW w:w="1417" w:type="dxa"/>
                    <w:gridSpan w:val="2"/>
                    <w:shd w:val="clear" w:color="auto" w:fill="auto"/>
                    <w:vAlign w:val="center"/>
                  </w:tcPr>
                  <w:p>
                    <w:pPr>
                      <w:jc w:val="center"/>
                      <w:rPr>
                        <w:rFonts w:ascii="Times New Roman" w:hAnsi="Times New Roman" w:cs="Times New Roman"/>
                        <w:sz w:val="24"/>
                      </w:rPr>
                    </w:pPr>
                    <w:r>
                      <w:rPr>
                        <w:rFonts w:ascii="Times New Roman" w:hAnsi="Times New Roman" w:cs="Times New Roman"/>
                      </w:rPr>
                      <w:t>3</w:t>
                    </w:r>
                    <w:r>
                      <w:rPr>
                        <w:rFonts w:hint="eastAsia" w:ascii="Times New Roman" w:hAnsi="Times New Roman" w:cs="Times New Roman"/>
                        <w:lang w:val="en-US" w:eastAsia="zh-CN"/>
                      </w:rPr>
                      <w:t>,</w:t>
                    </w:r>
                    <w:r>
                      <w:rPr>
                        <w:rFonts w:ascii="Times New Roman" w:hAnsi="Times New Roman" w:cs="Times New Roman"/>
                      </w:rPr>
                      <w:t>020</w:t>
                    </w:r>
                    <w:r>
                      <w:rPr>
                        <w:rFonts w:hint="eastAsia" w:ascii="Times New Roman" w:hAnsi="Times New Roman" w:cs="Times New Roman"/>
                        <w:lang w:val="en-US" w:eastAsia="zh-CN"/>
                      </w:rPr>
                      <w:t>,</w:t>
                    </w:r>
                    <w:r>
                      <w:rPr>
                        <w:rFonts w:ascii="Times New Roman" w:hAnsi="Times New Roman" w:cs="Times New Roman"/>
                      </w:rPr>
                      <w:t>250</w:t>
                    </w:r>
                  </w:p>
                </w:tc>
                <w:tc>
                  <w:tcPr>
                    <w:tcW w:w="851" w:type="dxa"/>
                    <w:shd w:val="clear" w:color="auto" w:fill="auto"/>
                    <w:vAlign w:val="center"/>
                  </w:tcPr>
                  <w:p>
                    <w:pPr>
                      <w:jc w:val="center"/>
                      <w:rPr>
                        <w:rFonts w:ascii="Times New Roman" w:hAnsi="Times New Roman" w:cs="Times New Roman"/>
                        <w:sz w:val="24"/>
                      </w:rPr>
                    </w:pPr>
                    <w:r>
                      <w:rPr>
                        <w:rFonts w:ascii="Times New Roman" w:hAnsi="Times New Roman" w:cs="Times New Roman"/>
                      </w:rPr>
                      <w:t>0.55</w:t>
                    </w:r>
                  </w:p>
                </w:tc>
                <w:tc>
                  <w:tcPr>
                    <w:tcW w:w="850"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持有股份状态"/>
                    <w:tag w:val="_GBC_46a2e2b7fded452b84eec75a5e47296b"/>
                    <w:id w:val="86572328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imes New Roman" w:hAnsi="Times New Roman" w:cs="Times New Roman"/>
                      <w:szCs w:val="21"/>
                    </w:rPr>
                  </w:sdtEndPr>
                  <w:sdtContent>
                    <w:tc>
                      <w:tcPr>
                        <w:tcW w:w="709" w:type="dxa"/>
                        <w:shd w:val="clear" w:color="auto" w:fill="auto"/>
                        <w:vAlign w:val="center"/>
                      </w:tcPr>
                      <w:p>
                        <w:pPr>
                          <w:jc w:val="center"/>
                          <w:rPr>
                            <w:rFonts w:ascii="Times New Roman" w:hAnsi="Times New Roman" w:cs="Times New Roman"/>
                            <w:szCs w:val="21"/>
                          </w:rPr>
                        </w:pPr>
                        <w:r>
                          <w:rPr>
                            <w:rFonts w:ascii="Times New Roman" w:cs="Times New Roman"/>
                            <w:szCs w:val="21"/>
                          </w:rPr>
                          <w:t>无</w:t>
                        </w:r>
                      </w:p>
                    </w:tc>
                  </w:sdtContent>
                </w:sdt>
                <w:tc>
                  <w:tcPr>
                    <w:tcW w:w="567"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8657232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imes New Roman" w:hAnsi="Times New Roman" w:cs="Times New Roman"/>
                      <w:szCs w:val="21"/>
                    </w:rPr>
                  </w:sdtEndPr>
                  <w:sdtContent>
                    <w:tc>
                      <w:tcPr>
                        <w:tcW w:w="1428" w:type="dxa"/>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dfb07f5d24d04bbbad485e33c5e2bd12"/>
              <w:id w:val="865723285"/>
              <w:lock w:val="sdtLocked"/>
            </w:sdtPr>
            <w:sdtEndPr>
              <w:rPr>
                <w:rFonts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shd w:val="clear" w:color="auto" w:fill="auto"/>
                    <w:vAlign w:val="center"/>
                  </w:tcPr>
                  <w:p>
                    <w:pPr>
                      <w:rPr>
                        <w:rFonts w:ascii="Times New Roman" w:hAnsi="Times New Roman" w:cs="Times New Roman"/>
                        <w:szCs w:val="21"/>
                      </w:rPr>
                    </w:pPr>
                    <w:r>
                      <w:rPr>
                        <w:rFonts w:ascii="Times New Roman" w:cs="Times New Roman"/>
                      </w:rPr>
                      <w:t>柳州市元宏投资发展有限公司</w:t>
                    </w:r>
                  </w:p>
                </w:tc>
                <w:tc>
                  <w:tcPr>
                    <w:tcW w:w="1276" w:type="dxa"/>
                    <w:shd w:val="clear" w:color="auto" w:fill="auto"/>
                    <w:vAlign w:val="center"/>
                  </w:tcPr>
                  <w:p>
                    <w:pPr>
                      <w:jc w:val="center"/>
                      <w:rPr>
                        <w:rFonts w:ascii="Times New Roman" w:hAnsi="Times New Roman" w:cs="Times New Roman"/>
                        <w:sz w:val="24"/>
                      </w:rPr>
                    </w:pPr>
                    <w:r>
                      <w:rPr>
                        <w:rFonts w:ascii="Times New Roman" w:hAnsi="Times New Roman" w:cs="Times New Roman"/>
                      </w:rPr>
                      <w:t>0</w:t>
                    </w:r>
                  </w:p>
                </w:tc>
                <w:tc>
                  <w:tcPr>
                    <w:tcW w:w="1417" w:type="dxa"/>
                    <w:gridSpan w:val="2"/>
                    <w:shd w:val="clear" w:color="auto" w:fill="auto"/>
                    <w:vAlign w:val="center"/>
                  </w:tcPr>
                  <w:p>
                    <w:pPr>
                      <w:jc w:val="center"/>
                      <w:rPr>
                        <w:rFonts w:ascii="Times New Roman" w:hAnsi="Times New Roman" w:cs="Times New Roman"/>
                        <w:sz w:val="24"/>
                      </w:rPr>
                    </w:pPr>
                    <w:r>
                      <w:rPr>
                        <w:rFonts w:ascii="Times New Roman" w:hAnsi="Times New Roman" w:cs="Times New Roman"/>
                      </w:rPr>
                      <w:t>3,013,937</w:t>
                    </w:r>
                  </w:p>
                </w:tc>
                <w:tc>
                  <w:tcPr>
                    <w:tcW w:w="851" w:type="dxa"/>
                    <w:shd w:val="clear" w:color="auto" w:fill="auto"/>
                    <w:vAlign w:val="center"/>
                  </w:tcPr>
                  <w:p>
                    <w:pPr>
                      <w:jc w:val="center"/>
                      <w:rPr>
                        <w:rFonts w:ascii="Times New Roman" w:hAnsi="Times New Roman" w:cs="Times New Roman"/>
                        <w:sz w:val="24"/>
                      </w:rPr>
                    </w:pPr>
                    <w:r>
                      <w:rPr>
                        <w:rFonts w:ascii="Times New Roman" w:hAnsi="Times New Roman" w:cs="Times New Roman"/>
                      </w:rPr>
                      <w:t>0.55</w:t>
                    </w:r>
                  </w:p>
                </w:tc>
                <w:tc>
                  <w:tcPr>
                    <w:tcW w:w="850"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持有股份状态"/>
                    <w:tag w:val="_GBC_46a2e2b7fded452b84eec75a5e47296b"/>
                    <w:id w:val="86572328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imes New Roman" w:hAnsi="Times New Roman" w:cs="Times New Roman"/>
                      <w:szCs w:val="21"/>
                    </w:rPr>
                  </w:sdtEndPr>
                  <w:sdtContent>
                    <w:tc>
                      <w:tcPr>
                        <w:tcW w:w="709" w:type="dxa"/>
                        <w:shd w:val="clear" w:color="auto" w:fill="auto"/>
                        <w:vAlign w:val="center"/>
                      </w:tcPr>
                      <w:p>
                        <w:pPr>
                          <w:jc w:val="center"/>
                          <w:rPr>
                            <w:rFonts w:ascii="Times New Roman" w:hAnsi="Times New Roman" w:cs="Times New Roman"/>
                            <w:szCs w:val="21"/>
                          </w:rPr>
                        </w:pPr>
                        <w:r>
                          <w:rPr>
                            <w:rFonts w:ascii="Times New Roman" w:cs="Times New Roman"/>
                            <w:szCs w:val="21"/>
                          </w:rPr>
                          <w:t>无</w:t>
                        </w:r>
                      </w:p>
                    </w:tc>
                  </w:sdtContent>
                </w:sdt>
                <w:tc>
                  <w:tcPr>
                    <w:tcW w:w="567"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8657232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imes New Roman" w:hAnsi="Times New Roman" w:cs="Times New Roman"/>
                      <w:szCs w:val="21"/>
                    </w:rPr>
                  </w:sdtEndPr>
                  <w:sdtContent>
                    <w:tc>
                      <w:tcPr>
                        <w:tcW w:w="1428" w:type="dxa"/>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国有法人</w:t>
                        </w:r>
                      </w:p>
                    </w:tc>
                  </w:sdtContent>
                </w:sdt>
              </w:tr>
            </w:sdtContent>
          </w:sdt>
          <w:sdt>
            <w:sdtPr>
              <w:rPr>
                <w:rFonts w:ascii="Times New Roman" w:hAnsi="Times New Roman" w:cs="Times New Roman"/>
                <w:szCs w:val="21"/>
              </w:rPr>
              <w:alias w:val="前十名股东持股情况"/>
              <w:tag w:val="_TUP_dfb07f5d24d04bbbad485e33c5e2bd12"/>
              <w:id w:val="865723288"/>
              <w:lock w:val="sdtLocked"/>
            </w:sdtPr>
            <w:sdtEndPr>
              <w:rPr>
                <w:rFonts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shd w:val="clear" w:color="auto" w:fill="auto"/>
                    <w:vAlign w:val="center"/>
                  </w:tcPr>
                  <w:p>
                    <w:pPr>
                      <w:rPr>
                        <w:rFonts w:ascii="Times New Roman" w:hAnsi="Times New Roman" w:cs="Times New Roman"/>
                        <w:szCs w:val="21"/>
                      </w:rPr>
                    </w:pPr>
                    <w:r>
                      <w:rPr>
                        <w:rFonts w:ascii="Times New Roman" w:cs="Times New Roman"/>
                      </w:rPr>
                      <w:t>胡秀娟</w:t>
                    </w:r>
                  </w:p>
                </w:tc>
                <w:tc>
                  <w:tcPr>
                    <w:tcW w:w="1276" w:type="dxa"/>
                    <w:shd w:val="clear" w:color="auto" w:fill="auto"/>
                    <w:vAlign w:val="center"/>
                  </w:tcPr>
                  <w:p>
                    <w:pPr>
                      <w:jc w:val="center"/>
                      <w:rPr>
                        <w:rFonts w:ascii="Times New Roman" w:hAnsi="Times New Roman" w:cs="Times New Roman"/>
                        <w:sz w:val="24"/>
                      </w:rPr>
                    </w:pPr>
                    <w:r>
                      <w:rPr>
                        <w:rFonts w:ascii="Times New Roman" w:hAnsi="Times New Roman" w:cs="Times New Roman"/>
                      </w:rPr>
                      <w:t>2,626,250</w:t>
                    </w:r>
                  </w:p>
                </w:tc>
                <w:tc>
                  <w:tcPr>
                    <w:tcW w:w="1417" w:type="dxa"/>
                    <w:gridSpan w:val="2"/>
                    <w:shd w:val="clear" w:color="auto" w:fill="auto"/>
                    <w:vAlign w:val="center"/>
                  </w:tcPr>
                  <w:p>
                    <w:pPr>
                      <w:jc w:val="center"/>
                      <w:rPr>
                        <w:rFonts w:ascii="Times New Roman" w:hAnsi="Times New Roman" w:cs="Times New Roman"/>
                        <w:sz w:val="24"/>
                      </w:rPr>
                    </w:pPr>
                    <w:r>
                      <w:rPr>
                        <w:rFonts w:ascii="Times New Roman" w:hAnsi="Times New Roman" w:cs="Times New Roman"/>
                      </w:rPr>
                      <w:t>2,626,250</w:t>
                    </w:r>
                  </w:p>
                </w:tc>
                <w:tc>
                  <w:tcPr>
                    <w:tcW w:w="851" w:type="dxa"/>
                    <w:shd w:val="clear" w:color="auto" w:fill="auto"/>
                    <w:vAlign w:val="center"/>
                  </w:tcPr>
                  <w:p>
                    <w:pPr>
                      <w:jc w:val="center"/>
                      <w:rPr>
                        <w:rFonts w:ascii="Times New Roman" w:hAnsi="Times New Roman" w:cs="Times New Roman"/>
                        <w:sz w:val="24"/>
                      </w:rPr>
                    </w:pPr>
                    <w:r>
                      <w:rPr>
                        <w:rFonts w:ascii="Times New Roman" w:hAnsi="Times New Roman" w:cs="Times New Roman"/>
                      </w:rPr>
                      <w:t>0.48</w:t>
                    </w:r>
                  </w:p>
                </w:tc>
                <w:tc>
                  <w:tcPr>
                    <w:tcW w:w="850"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持有股份状态"/>
                    <w:tag w:val="_GBC_46a2e2b7fded452b84eec75a5e47296b"/>
                    <w:id w:val="86572328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imes New Roman" w:hAnsi="Times New Roman" w:cs="Times New Roman"/>
                      <w:szCs w:val="21"/>
                    </w:rPr>
                  </w:sdtEndPr>
                  <w:sdtContent>
                    <w:tc>
                      <w:tcPr>
                        <w:tcW w:w="709" w:type="dxa"/>
                        <w:shd w:val="clear" w:color="auto" w:fill="auto"/>
                        <w:vAlign w:val="center"/>
                      </w:tcPr>
                      <w:p>
                        <w:pPr>
                          <w:jc w:val="center"/>
                          <w:rPr>
                            <w:rFonts w:ascii="Times New Roman" w:hAnsi="Times New Roman" w:cs="Times New Roman"/>
                            <w:szCs w:val="21"/>
                          </w:rPr>
                        </w:pPr>
                        <w:r>
                          <w:rPr>
                            <w:rFonts w:ascii="Times New Roman" w:cs="Times New Roman"/>
                            <w:szCs w:val="21"/>
                          </w:rPr>
                          <w:t>无</w:t>
                        </w:r>
                      </w:p>
                    </w:tc>
                  </w:sdtContent>
                </w:sdt>
                <w:tc>
                  <w:tcPr>
                    <w:tcW w:w="567"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8657232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imes New Roman" w:hAnsi="Times New Roman" w:cs="Times New Roman"/>
                      <w:szCs w:val="21"/>
                    </w:rPr>
                  </w:sdtEndPr>
                  <w:sdtContent>
                    <w:tc>
                      <w:tcPr>
                        <w:tcW w:w="1428" w:type="dxa"/>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dfb07f5d24d04bbbad485e33c5e2bd12"/>
              <w:id w:val="865723291"/>
              <w:lock w:val="sdtLocked"/>
            </w:sdtPr>
            <w:sdtEndPr>
              <w:rPr>
                <w:rFonts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shd w:val="clear" w:color="auto" w:fill="auto"/>
                    <w:vAlign w:val="center"/>
                  </w:tcPr>
                  <w:p>
                    <w:pPr>
                      <w:rPr>
                        <w:rFonts w:ascii="Times New Roman" w:hAnsi="Times New Roman" w:cs="Times New Roman"/>
                        <w:szCs w:val="21"/>
                      </w:rPr>
                    </w:pPr>
                    <w:r>
                      <w:rPr>
                        <w:rFonts w:ascii="Times New Roman" w:cs="Times New Roman"/>
                      </w:rPr>
                      <w:t>王雪章</w:t>
                    </w:r>
                  </w:p>
                </w:tc>
                <w:tc>
                  <w:tcPr>
                    <w:tcW w:w="1276" w:type="dxa"/>
                    <w:shd w:val="clear" w:color="auto" w:fill="auto"/>
                    <w:vAlign w:val="center"/>
                  </w:tcPr>
                  <w:p>
                    <w:pPr>
                      <w:jc w:val="center"/>
                      <w:rPr>
                        <w:rFonts w:ascii="Times New Roman" w:hAnsi="Times New Roman" w:cs="Times New Roman"/>
                        <w:sz w:val="24"/>
                      </w:rPr>
                    </w:pPr>
                    <w:r>
                      <w:rPr>
                        <w:rFonts w:ascii="Times New Roman" w:hAnsi="Times New Roman" w:cs="Times New Roman"/>
                      </w:rPr>
                      <w:t>510,600</w:t>
                    </w:r>
                  </w:p>
                </w:tc>
                <w:tc>
                  <w:tcPr>
                    <w:tcW w:w="1417" w:type="dxa"/>
                    <w:gridSpan w:val="2"/>
                    <w:shd w:val="clear" w:color="auto" w:fill="auto"/>
                    <w:vAlign w:val="center"/>
                  </w:tcPr>
                  <w:p>
                    <w:pPr>
                      <w:jc w:val="center"/>
                      <w:rPr>
                        <w:rFonts w:ascii="Times New Roman" w:hAnsi="Times New Roman" w:cs="Times New Roman"/>
                        <w:sz w:val="24"/>
                      </w:rPr>
                    </w:pPr>
                    <w:r>
                      <w:rPr>
                        <w:rFonts w:ascii="Times New Roman" w:hAnsi="Times New Roman" w:cs="Times New Roman"/>
                      </w:rPr>
                      <w:t>2,510,000</w:t>
                    </w:r>
                  </w:p>
                </w:tc>
                <w:tc>
                  <w:tcPr>
                    <w:tcW w:w="851" w:type="dxa"/>
                    <w:shd w:val="clear" w:color="auto" w:fill="auto"/>
                    <w:vAlign w:val="center"/>
                  </w:tcPr>
                  <w:p>
                    <w:pPr>
                      <w:jc w:val="center"/>
                      <w:rPr>
                        <w:rFonts w:ascii="Times New Roman" w:hAnsi="Times New Roman" w:cs="Times New Roman"/>
                        <w:sz w:val="24"/>
                      </w:rPr>
                    </w:pPr>
                    <w:r>
                      <w:rPr>
                        <w:rFonts w:ascii="Times New Roman" w:hAnsi="Times New Roman" w:cs="Times New Roman"/>
                      </w:rPr>
                      <w:t>0.46</w:t>
                    </w:r>
                  </w:p>
                </w:tc>
                <w:tc>
                  <w:tcPr>
                    <w:tcW w:w="850"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持有股份状态"/>
                    <w:tag w:val="_GBC_46a2e2b7fded452b84eec75a5e47296b"/>
                    <w:id w:val="86572328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imes New Roman" w:hAnsi="Times New Roman" w:cs="Times New Roman"/>
                      <w:szCs w:val="21"/>
                    </w:rPr>
                  </w:sdtEndPr>
                  <w:sdtContent>
                    <w:tc>
                      <w:tcPr>
                        <w:tcW w:w="709" w:type="dxa"/>
                        <w:shd w:val="clear" w:color="auto" w:fill="auto"/>
                        <w:vAlign w:val="center"/>
                      </w:tcPr>
                      <w:p>
                        <w:pPr>
                          <w:jc w:val="center"/>
                          <w:rPr>
                            <w:rFonts w:ascii="Times New Roman" w:hAnsi="Times New Roman" w:cs="Times New Roman"/>
                            <w:szCs w:val="21"/>
                          </w:rPr>
                        </w:pPr>
                        <w:r>
                          <w:rPr>
                            <w:rFonts w:ascii="Times New Roman" w:cs="Times New Roman"/>
                            <w:szCs w:val="21"/>
                          </w:rPr>
                          <w:t>无</w:t>
                        </w:r>
                      </w:p>
                    </w:tc>
                  </w:sdtContent>
                </w:sdt>
                <w:tc>
                  <w:tcPr>
                    <w:tcW w:w="567"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8657232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imes New Roman" w:hAnsi="Times New Roman" w:cs="Times New Roman"/>
                      <w:szCs w:val="21"/>
                    </w:rPr>
                  </w:sdtEndPr>
                  <w:sdtContent>
                    <w:tc>
                      <w:tcPr>
                        <w:tcW w:w="1428" w:type="dxa"/>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dfb07f5d24d04bbbad485e33c5e2bd12"/>
              <w:id w:val="865723294"/>
              <w:lock w:val="sdtLocked"/>
            </w:sdtPr>
            <w:sdtEndPr>
              <w:rPr>
                <w:rFonts w:ascii="Times New Roman" w:hAnsi="Times New Roman" w:cs="Times New Roman"/>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1" w:type="dxa"/>
                    <w:shd w:val="clear" w:color="auto" w:fill="auto"/>
                    <w:vAlign w:val="center"/>
                  </w:tcPr>
                  <w:p>
                    <w:pPr>
                      <w:rPr>
                        <w:rFonts w:ascii="Times New Roman" w:hAnsi="Times New Roman" w:cs="Times New Roman"/>
                        <w:szCs w:val="21"/>
                      </w:rPr>
                    </w:pPr>
                    <w:r>
                      <w:rPr>
                        <w:rFonts w:ascii="Times New Roman" w:cs="Times New Roman"/>
                      </w:rPr>
                      <w:t>钟坤琼</w:t>
                    </w:r>
                  </w:p>
                </w:tc>
                <w:tc>
                  <w:tcPr>
                    <w:tcW w:w="1276" w:type="dxa"/>
                    <w:shd w:val="clear" w:color="auto" w:fill="auto"/>
                    <w:vAlign w:val="center"/>
                  </w:tcPr>
                  <w:p>
                    <w:pPr>
                      <w:jc w:val="center"/>
                      <w:rPr>
                        <w:rFonts w:ascii="Times New Roman" w:hAnsi="Times New Roman" w:cs="Times New Roman"/>
                        <w:sz w:val="24"/>
                      </w:rPr>
                    </w:pPr>
                    <w:r>
                      <w:rPr>
                        <w:rFonts w:ascii="Times New Roman" w:hAnsi="Times New Roman" w:cs="Times New Roman"/>
                      </w:rPr>
                      <w:t>1</w:t>
                    </w:r>
                    <w:r>
                      <w:rPr>
                        <w:rFonts w:hint="eastAsia" w:ascii="Times New Roman" w:hAnsi="Times New Roman" w:cs="Times New Roman"/>
                        <w:lang w:val="en-US" w:eastAsia="zh-CN"/>
                      </w:rPr>
                      <w:t>,</w:t>
                    </w:r>
                    <w:r>
                      <w:rPr>
                        <w:rFonts w:ascii="Times New Roman" w:hAnsi="Times New Roman" w:cs="Times New Roman"/>
                      </w:rPr>
                      <w:t>545</w:t>
                    </w:r>
                    <w:r>
                      <w:rPr>
                        <w:rFonts w:hint="eastAsia" w:ascii="Times New Roman" w:hAnsi="Times New Roman" w:cs="Times New Roman"/>
                        <w:lang w:val="en-US" w:eastAsia="zh-CN"/>
                      </w:rPr>
                      <w:t>,</w:t>
                    </w:r>
                    <w:r>
                      <w:rPr>
                        <w:rFonts w:ascii="Times New Roman" w:hAnsi="Times New Roman" w:cs="Times New Roman"/>
                      </w:rPr>
                      <w:t>600</w:t>
                    </w:r>
                  </w:p>
                </w:tc>
                <w:tc>
                  <w:tcPr>
                    <w:tcW w:w="1417" w:type="dxa"/>
                    <w:gridSpan w:val="2"/>
                    <w:shd w:val="clear" w:color="auto" w:fill="auto"/>
                    <w:vAlign w:val="center"/>
                  </w:tcPr>
                  <w:p>
                    <w:pPr>
                      <w:jc w:val="center"/>
                      <w:rPr>
                        <w:rFonts w:ascii="Times New Roman" w:hAnsi="Times New Roman" w:cs="Times New Roman"/>
                        <w:sz w:val="24"/>
                      </w:rPr>
                    </w:pPr>
                    <w:r>
                      <w:rPr>
                        <w:rFonts w:ascii="Times New Roman" w:hAnsi="Times New Roman" w:cs="Times New Roman"/>
                      </w:rPr>
                      <w:t>2</w:t>
                    </w:r>
                    <w:r>
                      <w:rPr>
                        <w:rFonts w:hint="eastAsia" w:ascii="Times New Roman" w:hAnsi="Times New Roman" w:cs="Times New Roman"/>
                        <w:lang w:val="en-US" w:eastAsia="zh-CN"/>
                      </w:rPr>
                      <w:t>,</w:t>
                    </w:r>
                    <w:r>
                      <w:rPr>
                        <w:rFonts w:ascii="Times New Roman" w:hAnsi="Times New Roman" w:cs="Times New Roman"/>
                      </w:rPr>
                      <w:t>304</w:t>
                    </w:r>
                    <w:r>
                      <w:rPr>
                        <w:rFonts w:hint="eastAsia" w:ascii="Times New Roman" w:hAnsi="Times New Roman" w:cs="Times New Roman"/>
                        <w:lang w:val="en-US" w:eastAsia="zh-CN"/>
                      </w:rPr>
                      <w:t>,</w:t>
                    </w:r>
                    <w:r>
                      <w:rPr>
                        <w:rFonts w:ascii="Times New Roman" w:hAnsi="Times New Roman" w:cs="Times New Roman"/>
                      </w:rPr>
                      <w:t>500</w:t>
                    </w:r>
                  </w:p>
                </w:tc>
                <w:tc>
                  <w:tcPr>
                    <w:tcW w:w="851" w:type="dxa"/>
                    <w:shd w:val="clear" w:color="auto" w:fill="auto"/>
                    <w:vAlign w:val="center"/>
                  </w:tcPr>
                  <w:p>
                    <w:pPr>
                      <w:jc w:val="center"/>
                      <w:rPr>
                        <w:rFonts w:ascii="Times New Roman" w:hAnsi="Times New Roman" w:cs="Times New Roman"/>
                        <w:sz w:val="24"/>
                      </w:rPr>
                    </w:pPr>
                    <w:r>
                      <w:rPr>
                        <w:rFonts w:ascii="Times New Roman" w:hAnsi="Times New Roman" w:cs="Times New Roman"/>
                      </w:rPr>
                      <w:t>0.42</w:t>
                    </w:r>
                  </w:p>
                </w:tc>
                <w:tc>
                  <w:tcPr>
                    <w:tcW w:w="850"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持有股份状态"/>
                    <w:tag w:val="_GBC_46a2e2b7fded452b84eec75a5e47296b"/>
                    <w:id w:val="86572329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imes New Roman" w:hAnsi="Times New Roman" w:cs="Times New Roman"/>
                      <w:szCs w:val="21"/>
                    </w:rPr>
                  </w:sdtEndPr>
                  <w:sdtContent>
                    <w:tc>
                      <w:tcPr>
                        <w:tcW w:w="709" w:type="dxa"/>
                        <w:shd w:val="clear" w:color="auto" w:fill="auto"/>
                        <w:vAlign w:val="center"/>
                      </w:tcPr>
                      <w:p>
                        <w:pPr>
                          <w:jc w:val="center"/>
                          <w:rPr>
                            <w:rFonts w:ascii="Times New Roman" w:hAnsi="Times New Roman" w:cs="Times New Roman"/>
                            <w:szCs w:val="21"/>
                          </w:rPr>
                        </w:pPr>
                        <w:r>
                          <w:rPr>
                            <w:rFonts w:ascii="Times New Roman" w:cs="Times New Roman"/>
                            <w:szCs w:val="21"/>
                          </w:rPr>
                          <w:t>无</w:t>
                        </w:r>
                      </w:p>
                    </w:tc>
                  </w:sdtContent>
                </w:sdt>
                <w:tc>
                  <w:tcPr>
                    <w:tcW w:w="567"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8657232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imes New Roman" w:hAnsi="Times New Roman" w:cs="Times New Roman"/>
                      <w:szCs w:val="21"/>
                    </w:rPr>
                  </w:sdtEndPr>
                  <w:sdtContent>
                    <w:tc>
                      <w:tcPr>
                        <w:tcW w:w="1428" w:type="dxa"/>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境内自然人</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7f241e5dc05a4ae7b61268f4f1627ca0"/>
                <w:id w:val="865723295"/>
                <w:lock w:val="sdtLocked"/>
              </w:sdtPr>
              <w:sdtEndPr>
                <w:rPr>
                  <w:rFonts w:ascii="Times New Roman" w:hAnsi="Times New Roman" w:cs="Times New Roman"/>
                </w:rPr>
              </w:sdtEndPr>
              <w:sdtContent>
                <w:tc>
                  <w:tcPr>
                    <w:tcW w:w="9049" w:type="dxa"/>
                    <w:gridSpan w:val="11"/>
                    <w:shd w:val="clear" w:color="auto" w:fill="auto"/>
                    <w:vAlign w:val="center"/>
                  </w:tcPr>
                  <w:p>
                    <w:pPr>
                      <w:jc w:val="center"/>
                      <w:rPr>
                        <w:rFonts w:ascii="Times New Roman" w:hAnsi="Times New Roman" w:cs="Times New Roman"/>
                        <w:color w:val="FF9900"/>
                        <w:szCs w:val="21"/>
                      </w:rPr>
                    </w:pPr>
                    <w:r>
                      <w:rPr>
                        <w:rFonts w:ascii="Times New Roman" w:cs="Times New Roman"/>
                        <w:szCs w:val="21"/>
                      </w:rPr>
                      <w:t>前十名无限售条件股东持股情况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0443ad39720a4d59be87cdf7b0bc4970"/>
                <w:id w:val="865723296"/>
                <w:lock w:val="sdtLocked"/>
              </w:sdtPr>
              <w:sdtEndPr>
                <w:rPr>
                  <w:rFonts w:ascii="Times New Roman" w:hAnsi="Times New Roman" w:cs="Times New Roman"/>
                </w:rPr>
              </w:sdtEndPr>
              <w:sdtContent>
                <w:tc>
                  <w:tcPr>
                    <w:tcW w:w="3794" w:type="dxa"/>
                    <w:gridSpan w:val="3"/>
                    <w:vMerge w:val="restart"/>
                    <w:shd w:val="clear" w:color="auto" w:fill="auto"/>
                    <w:vAlign w:val="center"/>
                  </w:tcPr>
                  <w:p>
                    <w:pPr>
                      <w:jc w:val="center"/>
                      <w:rPr>
                        <w:rFonts w:ascii="Times New Roman" w:hAnsi="Times New Roman" w:cs="Times New Roman"/>
                        <w:color w:val="FF9900"/>
                        <w:szCs w:val="21"/>
                      </w:rPr>
                    </w:pPr>
                    <w:r>
                      <w:rPr>
                        <w:rFonts w:ascii="Times New Roman" w:cs="Times New Roman"/>
                      </w:rPr>
                      <w:t>股东名称</w:t>
                    </w:r>
                  </w:p>
                </w:tc>
              </w:sdtContent>
            </w:sdt>
            <w:sdt>
              <w:sdtPr>
                <w:rPr>
                  <w:rFonts w:ascii="Times New Roman" w:hAnsi="Times New Roman" w:cs="Times New Roman"/>
                </w:rPr>
                <w:tag w:val="_PLD_a7f143afa2b94466a44af03e770016b0"/>
                <w:id w:val="865723297"/>
                <w:lock w:val="sdtLocked"/>
              </w:sdtPr>
              <w:sdtEndPr>
                <w:rPr>
                  <w:rFonts w:ascii="Times New Roman" w:hAnsi="Times New Roman" w:cs="Times New Roman"/>
                </w:rPr>
              </w:sdtEndPr>
              <w:sdtContent>
                <w:tc>
                  <w:tcPr>
                    <w:tcW w:w="1843" w:type="dxa"/>
                    <w:gridSpan w:val="3"/>
                    <w:vMerge w:val="restart"/>
                    <w:shd w:val="clear" w:color="auto" w:fill="auto"/>
                    <w:vAlign w:val="center"/>
                  </w:tcPr>
                  <w:p>
                    <w:pPr>
                      <w:jc w:val="center"/>
                      <w:rPr>
                        <w:rFonts w:ascii="Times New Roman" w:hAnsi="Times New Roman" w:cs="Times New Roman"/>
                        <w:color w:val="FF9900"/>
                        <w:szCs w:val="21"/>
                      </w:rPr>
                    </w:pPr>
                    <w:r>
                      <w:rPr>
                        <w:rFonts w:ascii="Times New Roman" w:cs="Times New Roman"/>
                      </w:rPr>
                      <w:t>持有无限售条件流通股的数量</w:t>
                    </w:r>
                  </w:p>
                </w:tc>
              </w:sdtContent>
            </w:sdt>
            <w:sdt>
              <w:sdtPr>
                <w:rPr>
                  <w:rFonts w:ascii="Times New Roman" w:hAnsi="Times New Roman" w:cs="Times New Roman"/>
                </w:rPr>
                <w:tag w:val="_PLD_fa97ca004a544042af7e1d7463bea345"/>
                <w:id w:val="865723298"/>
                <w:lock w:val="sdtLocked"/>
              </w:sdtPr>
              <w:sdtEndPr>
                <w:rPr>
                  <w:rFonts w:ascii="Times New Roman" w:hAnsi="Times New Roman" w:cs="Times New Roman"/>
                </w:rPr>
              </w:sdtEndPr>
              <w:sdtContent>
                <w:tc>
                  <w:tcPr>
                    <w:tcW w:w="3412" w:type="dxa"/>
                    <w:gridSpan w:val="5"/>
                    <w:tcBorders>
                      <w:bottom w:val="single" w:color="auto" w:sz="4" w:space="0"/>
                    </w:tcBorders>
                    <w:shd w:val="clear" w:color="auto" w:fill="auto"/>
                    <w:vAlign w:val="center"/>
                  </w:tcPr>
                  <w:p>
                    <w:pPr>
                      <w:jc w:val="center"/>
                      <w:rPr>
                        <w:rFonts w:ascii="Times New Roman" w:hAnsi="Times New Roman" w:cs="Times New Roman"/>
                        <w:color w:val="FF9900"/>
                        <w:szCs w:val="21"/>
                      </w:rPr>
                    </w:pPr>
                    <w:r>
                      <w:rPr>
                        <w:rFonts w:ascii="Times New Roman" w:cs="Times New Roman"/>
                        <w:szCs w:val="21"/>
                      </w:rPr>
                      <w:t>股份种类及数量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vMerge w:val="continue"/>
                <w:shd w:val="clear" w:color="auto" w:fill="auto"/>
                <w:vAlign w:val="center"/>
              </w:tcPr>
              <w:p>
                <w:pPr>
                  <w:jc w:val="center"/>
                  <w:rPr>
                    <w:rFonts w:ascii="Times New Roman" w:hAnsi="Times New Roman" w:cs="Times New Roman"/>
                    <w:color w:val="FF9900"/>
                    <w:szCs w:val="21"/>
                  </w:rPr>
                </w:pPr>
              </w:p>
            </w:tc>
            <w:tc>
              <w:tcPr>
                <w:tcW w:w="1843" w:type="dxa"/>
                <w:gridSpan w:val="3"/>
                <w:vMerge w:val="continue"/>
                <w:shd w:val="clear" w:color="auto" w:fill="auto"/>
                <w:vAlign w:val="center"/>
              </w:tcPr>
              <w:p>
                <w:pPr>
                  <w:jc w:val="center"/>
                  <w:rPr>
                    <w:rFonts w:ascii="Times New Roman" w:hAnsi="Times New Roman" w:cs="Times New Roman"/>
                    <w:color w:val="FF9900"/>
                    <w:szCs w:val="21"/>
                  </w:rPr>
                </w:pPr>
              </w:p>
            </w:tc>
            <w:sdt>
              <w:sdtPr>
                <w:rPr>
                  <w:rFonts w:ascii="Times New Roman" w:hAnsi="Times New Roman" w:cs="Times New Roman"/>
                </w:rPr>
                <w:tag w:val="_PLD_e67773187f2f4233a6666596947248e8"/>
                <w:id w:val="865723299"/>
                <w:lock w:val="sdtLocked"/>
              </w:sdtPr>
              <w:sdtEndPr>
                <w:rPr>
                  <w:rFonts w:ascii="Times New Roman" w:hAnsi="Times New Roman" w:cs="Times New Roman"/>
                </w:rPr>
              </w:sdtEndPr>
              <w:sdtContent>
                <w:tc>
                  <w:tcPr>
                    <w:tcW w:w="1701" w:type="dxa"/>
                    <w:gridSpan w:val="3"/>
                    <w:shd w:val="clear" w:color="auto" w:fill="auto"/>
                    <w:vAlign w:val="center"/>
                  </w:tcPr>
                  <w:p>
                    <w:pPr>
                      <w:jc w:val="center"/>
                      <w:rPr>
                        <w:rFonts w:ascii="Times New Roman" w:hAnsi="Times New Roman" w:cs="Times New Roman"/>
                        <w:color w:val="008000"/>
                        <w:szCs w:val="21"/>
                      </w:rPr>
                    </w:pPr>
                    <w:r>
                      <w:rPr>
                        <w:rFonts w:ascii="Times New Roman" w:cs="Times New Roman"/>
                        <w:szCs w:val="21"/>
                      </w:rPr>
                      <w:t>种类</w:t>
                    </w:r>
                  </w:p>
                </w:tc>
              </w:sdtContent>
            </w:sdt>
            <w:sdt>
              <w:sdtPr>
                <w:rPr>
                  <w:rFonts w:ascii="Times New Roman" w:hAnsi="Times New Roman" w:cs="Times New Roman"/>
                </w:rPr>
                <w:tag w:val="_PLD_2f2fd5088a82440f9265e00f4e298be0"/>
                <w:id w:val="865723300"/>
                <w:lock w:val="sdtLocked"/>
              </w:sdtPr>
              <w:sdtEndPr>
                <w:rPr>
                  <w:rFonts w:ascii="Times New Roman" w:hAnsi="Times New Roman" w:cs="Times New Roman"/>
                </w:rPr>
              </w:sdtEndPr>
              <w:sdtContent>
                <w:tc>
                  <w:tcPr>
                    <w:tcW w:w="1711" w:type="dxa"/>
                    <w:gridSpan w:val="2"/>
                    <w:shd w:val="clear" w:color="auto" w:fill="auto"/>
                    <w:vAlign w:val="center"/>
                  </w:tcPr>
                  <w:p>
                    <w:pPr>
                      <w:jc w:val="center"/>
                      <w:rPr>
                        <w:rFonts w:ascii="Times New Roman" w:hAnsi="Times New Roman" w:cs="Times New Roman"/>
                        <w:color w:val="008000"/>
                        <w:szCs w:val="21"/>
                      </w:rPr>
                    </w:pPr>
                    <w:r>
                      <w:rPr>
                        <w:rFonts w:ascii="Times New Roman" w:cs="Times New Roman"/>
                        <w:szCs w:val="21"/>
                      </w:rPr>
                      <w:t>数量</w:t>
                    </w:r>
                  </w:p>
                </w:tc>
              </w:sdtContent>
            </w:sdt>
          </w:tr>
          <w:sdt>
            <w:sdtPr>
              <w:rPr>
                <w:rFonts w:ascii="Times New Roman" w:hAnsi="Times New Roman" w:cs="Times New Roman"/>
                <w:szCs w:val="21"/>
              </w:rPr>
              <w:alias w:val="前十名无限售条件股东持股情况"/>
              <w:tag w:val="_TUP_9ca3e52e0a074358925f5b9f3eb76189"/>
              <w:id w:val="86572330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shd w:val="clear" w:color="auto" w:fill="auto"/>
                    <w:vAlign w:val="center"/>
                  </w:tcPr>
                  <w:p>
                    <w:pPr>
                      <w:rPr>
                        <w:rFonts w:ascii="Times New Roman" w:hAnsi="Times New Roman" w:cs="Times New Roman"/>
                        <w:szCs w:val="21"/>
                      </w:rPr>
                    </w:pPr>
                    <w:r>
                      <w:rPr>
                        <w:rFonts w:ascii="Times New Roman" w:cs="Times New Roman"/>
                      </w:rPr>
                      <w:t>广西柳州市产业投资发展集团有限公司</w:t>
                    </w:r>
                  </w:p>
                </w:tc>
                <w:tc>
                  <w:tcPr>
                    <w:tcW w:w="1843" w:type="dxa"/>
                    <w:gridSpan w:val="3"/>
                    <w:shd w:val="clear" w:color="auto" w:fill="auto"/>
                    <w:vAlign w:val="center"/>
                  </w:tcPr>
                  <w:p>
                    <w:pPr>
                      <w:jc w:val="center"/>
                      <w:rPr>
                        <w:rFonts w:ascii="Times New Roman" w:hAnsi="Times New Roman" w:cs="Times New Roman"/>
                        <w:sz w:val="24"/>
                      </w:rPr>
                    </w:pPr>
                    <w:r>
                      <w:rPr>
                        <w:rFonts w:ascii="Times New Roman" w:hAnsi="Times New Roman" w:cs="Times New Roman"/>
                      </w:rPr>
                      <w:t>183,360,652</w:t>
                    </w:r>
                  </w:p>
                </w:tc>
                <w:sdt>
                  <w:sdtPr>
                    <w:rPr>
                      <w:rFonts w:ascii="Times New Roman" w:hAnsi="Times New Roman" w:cs="Times New Roman"/>
                      <w:bCs/>
                      <w:szCs w:val="21"/>
                    </w:rPr>
                    <w:alias w:val="前十名无限售条件股东期末持有流通股的种类"/>
                    <w:tag w:val="_GBC_b35ef493948141e0b9d0c3fd14aad59a"/>
                    <w:id w:val="86572330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imes New Roman" w:hAnsi="Times New Roman" w:cs="Times New Roman"/>
                      <w:bCs/>
                      <w:szCs w:val="21"/>
                    </w:rPr>
                  </w:sdtEndPr>
                  <w:sdtContent>
                    <w:tc>
                      <w:tcPr>
                        <w:tcW w:w="1701" w:type="dxa"/>
                        <w:gridSpan w:val="3"/>
                        <w:shd w:val="clear" w:color="auto" w:fill="auto"/>
                        <w:vAlign w:val="center"/>
                      </w:tcPr>
                      <w:p>
                        <w:pPr>
                          <w:jc w:val="center"/>
                          <w:rPr>
                            <w:rFonts w:ascii="Times New Roman" w:hAnsi="Times New Roman" w:cs="Times New Roman"/>
                            <w:bCs/>
                            <w:szCs w:val="21"/>
                          </w:rPr>
                        </w:pPr>
                        <w:r>
                          <w:rPr>
                            <w:rFonts w:ascii="Times New Roman" w:cs="Times New Roman"/>
                            <w:bCs/>
                            <w:szCs w:val="21"/>
                          </w:rPr>
                          <w:t>人民币普通股</w:t>
                        </w:r>
                      </w:p>
                    </w:tc>
                  </w:sdtContent>
                </w:sdt>
                <w:tc>
                  <w:tcPr>
                    <w:tcW w:w="171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183,360,652</w:t>
                    </w:r>
                  </w:p>
                </w:tc>
              </w:tr>
            </w:sdtContent>
          </w:sdt>
          <w:sdt>
            <w:sdtPr>
              <w:rPr>
                <w:rFonts w:ascii="Times New Roman" w:hAnsi="Times New Roman" w:cs="Times New Roman"/>
                <w:szCs w:val="21"/>
              </w:rPr>
              <w:alias w:val="前十名无限售条件股东持股情况"/>
              <w:tag w:val="_TUP_9ca3e52e0a074358925f5b9f3eb76189"/>
              <w:id w:val="86572330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shd w:val="clear" w:color="auto" w:fill="auto"/>
                    <w:vAlign w:val="center"/>
                  </w:tcPr>
                  <w:p>
                    <w:pPr>
                      <w:rPr>
                        <w:rFonts w:ascii="Times New Roman" w:hAnsi="Times New Roman" w:cs="Times New Roman"/>
                        <w:szCs w:val="21"/>
                      </w:rPr>
                    </w:pPr>
                    <w:r>
                      <w:rPr>
                        <w:rFonts w:ascii="Times New Roman" w:cs="Times New Roman"/>
                      </w:rPr>
                      <w:t>柳州市经发投资有限责任公司</w:t>
                    </w:r>
                  </w:p>
                </w:tc>
                <w:tc>
                  <w:tcPr>
                    <w:tcW w:w="1843" w:type="dxa"/>
                    <w:gridSpan w:val="3"/>
                    <w:shd w:val="clear" w:color="auto" w:fill="auto"/>
                    <w:vAlign w:val="center"/>
                  </w:tcPr>
                  <w:p>
                    <w:pPr>
                      <w:jc w:val="center"/>
                      <w:rPr>
                        <w:rFonts w:ascii="Times New Roman" w:hAnsi="Times New Roman" w:cs="Times New Roman"/>
                        <w:sz w:val="24"/>
                      </w:rPr>
                    </w:pPr>
                    <w:r>
                      <w:rPr>
                        <w:rFonts w:ascii="Times New Roman" w:hAnsi="Times New Roman" w:cs="Times New Roman"/>
                      </w:rPr>
                      <w:t>32</w:t>
                    </w:r>
                    <w:r>
                      <w:rPr>
                        <w:rFonts w:hint="eastAsia" w:ascii="Times New Roman" w:hAnsi="Times New Roman" w:cs="Times New Roman"/>
                        <w:lang w:val="en-US" w:eastAsia="zh-CN"/>
                      </w:rPr>
                      <w:t>,</w:t>
                    </w:r>
                    <w:r>
                      <w:rPr>
                        <w:rFonts w:ascii="Times New Roman" w:hAnsi="Times New Roman" w:cs="Times New Roman"/>
                      </w:rPr>
                      <w:t>959</w:t>
                    </w:r>
                    <w:r>
                      <w:rPr>
                        <w:rFonts w:hint="eastAsia" w:ascii="Times New Roman" w:hAnsi="Times New Roman" w:cs="Times New Roman"/>
                        <w:lang w:val="en-US" w:eastAsia="zh-CN"/>
                      </w:rPr>
                      <w:t>,</w:t>
                    </w:r>
                    <w:r>
                      <w:rPr>
                        <w:rFonts w:ascii="Times New Roman" w:hAnsi="Times New Roman" w:cs="Times New Roman"/>
                      </w:rPr>
                      <w:t>167</w:t>
                    </w:r>
                  </w:p>
                </w:tc>
                <w:sdt>
                  <w:sdtPr>
                    <w:rPr>
                      <w:rFonts w:ascii="Times New Roman" w:hAnsi="Times New Roman" w:cs="Times New Roman"/>
                      <w:bCs/>
                      <w:szCs w:val="21"/>
                    </w:rPr>
                    <w:alias w:val="前十名无限售条件股东期末持有流通股的种类"/>
                    <w:tag w:val="_GBC_b35ef493948141e0b9d0c3fd14aad59a"/>
                    <w:id w:val="86572330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imes New Roman" w:hAnsi="Times New Roman" w:cs="Times New Roman"/>
                      <w:bCs/>
                      <w:szCs w:val="21"/>
                    </w:rPr>
                  </w:sdtEndPr>
                  <w:sdtContent>
                    <w:tc>
                      <w:tcPr>
                        <w:tcW w:w="1701" w:type="dxa"/>
                        <w:gridSpan w:val="3"/>
                        <w:shd w:val="clear" w:color="auto" w:fill="auto"/>
                        <w:vAlign w:val="center"/>
                      </w:tcPr>
                      <w:p>
                        <w:pPr>
                          <w:jc w:val="center"/>
                          <w:rPr>
                            <w:rFonts w:ascii="Times New Roman" w:hAnsi="Times New Roman" w:cs="Times New Roman"/>
                            <w:bCs/>
                            <w:szCs w:val="21"/>
                          </w:rPr>
                        </w:pPr>
                        <w:r>
                          <w:rPr>
                            <w:rFonts w:ascii="Times New Roman" w:cs="Times New Roman"/>
                            <w:bCs/>
                            <w:szCs w:val="21"/>
                          </w:rPr>
                          <w:t>人民币普通股</w:t>
                        </w:r>
                      </w:p>
                    </w:tc>
                  </w:sdtContent>
                </w:sdt>
                <w:tc>
                  <w:tcPr>
                    <w:tcW w:w="171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32,959,167</w:t>
                    </w:r>
                  </w:p>
                </w:tc>
              </w:tr>
            </w:sdtContent>
          </w:sdt>
          <w:sdt>
            <w:sdtPr>
              <w:rPr>
                <w:rFonts w:ascii="Times New Roman" w:hAnsi="Times New Roman" w:cs="Times New Roman"/>
                <w:szCs w:val="21"/>
              </w:rPr>
              <w:alias w:val="前十名无限售条件股东持股情况"/>
              <w:tag w:val="_TUP_9ca3e52e0a074358925f5b9f3eb76189"/>
              <w:id w:val="86572330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shd w:val="clear" w:color="auto" w:fill="auto"/>
                    <w:vAlign w:val="center"/>
                  </w:tcPr>
                  <w:p>
                    <w:pPr>
                      <w:rPr>
                        <w:rFonts w:ascii="Times New Roman" w:hAnsi="Times New Roman" w:cs="Times New Roman"/>
                        <w:szCs w:val="21"/>
                      </w:rPr>
                    </w:pPr>
                    <w:r>
                      <w:rPr>
                        <w:rFonts w:ascii="Times New Roman" w:cs="Times New Roman"/>
                      </w:rPr>
                      <w:t>施梁</w:t>
                    </w:r>
                  </w:p>
                </w:tc>
                <w:tc>
                  <w:tcPr>
                    <w:tcW w:w="1843" w:type="dxa"/>
                    <w:gridSpan w:val="3"/>
                    <w:shd w:val="clear" w:color="auto" w:fill="auto"/>
                    <w:vAlign w:val="center"/>
                  </w:tcPr>
                  <w:p>
                    <w:pPr>
                      <w:jc w:val="center"/>
                      <w:rPr>
                        <w:rFonts w:ascii="Times New Roman" w:hAnsi="Times New Roman" w:cs="Times New Roman"/>
                        <w:sz w:val="24"/>
                      </w:rPr>
                    </w:pPr>
                    <w:r>
                      <w:rPr>
                        <w:rFonts w:ascii="Times New Roman" w:hAnsi="Times New Roman" w:cs="Times New Roman"/>
                      </w:rPr>
                      <w:t>4</w:t>
                    </w:r>
                    <w:r>
                      <w:rPr>
                        <w:rFonts w:hint="eastAsia" w:ascii="Times New Roman" w:hAnsi="Times New Roman" w:cs="Times New Roman"/>
                        <w:lang w:val="en-US" w:eastAsia="zh-CN"/>
                      </w:rPr>
                      <w:t>,</w:t>
                    </w:r>
                    <w:r>
                      <w:rPr>
                        <w:rFonts w:ascii="Times New Roman" w:hAnsi="Times New Roman" w:cs="Times New Roman"/>
                      </w:rPr>
                      <w:t>000</w:t>
                    </w:r>
                    <w:r>
                      <w:rPr>
                        <w:rFonts w:hint="eastAsia" w:ascii="Times New Roman" w:hAnsi="Times New Roman" w:cs="Times New Roman"/>
                        <w:lang w:val="en-US" w:eastAsia="zh-CN"/>
                      </w:rPr>
                      <w:t>,</w:t>
                    </w:r>
                    <w:r>
                      <w:rPr>
                        <w:rFonts w:ascii="Times New Roman" w:hAnsi="Times New Roman" w:cs="Times New Roman"/>
                      </w:rPr>
                      <w:t>000</w:t>
                    </w:r>
                  </w:p>
                </w:tc>
                <w:sdt>
                  <w:sdtPr>
                    <w:rPr>
                      <w:rFonts w:ascii="Times New Roman" w:hAnsi="Times New Roman" w:cs="Times New Roman"/>
                      <w:bCs/>
                      <w:szCs w:val="21"/>
                    </w:rPr>
                    <w:alias w:val="前十名无限售条件股东期末持有流通股的种类"/>
                    <w:tag w:val="_GBC_b35ef493948141e0b9d0c3fd14aad59a"/>
                    <w:id w:val="86572330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imes New Roman" w:hAnsi="Times New Roman" w:cs="Times New Roman"/>
                      <w:bCs/>
                      <w:szCs w:val="21"/>
                    </w:rPr>
                  </w:sdtEndPr>
                  <w:sdtContent>
                    <w:tc>
                      <w:tcPr>
                        <w:tcW w:w="1701" w:type="dxa"/>
                        <w:gridSpan w:val="3"/>
                        <w:shd w:val="clear" w:color="auto" w:fill="auto"/>
                        <w:vAlign w:val="center"/>
                      </w:tcPr>
                      <w:p>
                        <w:pPr>
                          <w:jc w:val="center"/>
                          <w:rPr>
                            <w:rFonts w:ascii="Times New Roman" w:hAnsi="Times New Roman" w:cs="Times New Roman"/>
                            <w:bCs/>
                            <w:szCs w:val="21"/>
                          </w:rPr>
                        </w:pPr>
                        <w:r>
                          <w:rPr>
                            <w:rFonts w:ascii="Times New Roman" w:cs="Times New Roman"/>
                            <w:bCs/>
                            <w:szCs w:val="21"/>
                          </w:rPr>
                          <w:t>人民币普通股</w:t>
                        </w:r>
                      </w:p>
                    </w:tc>
                  </w:sdtContent>
                </w:sdt>
                <w:tc>
                  <w:tcPr>
                    <w:tcW w:w="171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4,000,000</w:t>
                    </w:r>
                  </w:p>
                </w:tc>
              </w:tr>
            </w:sdtContent>
          </w:sdt>
          <w:sdt>
            <w:sdtPr>
              <w:rPr>
                <w:rFonts w:ascii="Times New Roman" w:hAnsi="Times New Roman" w:cs="Times New Roman"/>
                <w:szCs w:val="21"/>
              </w:rPr>
              <w:alias w:val="前十名无限售条件股东持股情况"/>
              <w:tag w:val="_TUP_9ca3e52e0a074358925f5b9f3eb76189"/>
              <w:id w:val="86572330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shd w:val="clear" w:color="auto" w:fill="auto"/>
                    <w:vAlign w:val="center"/>
                  </w:tcPr>
                  <w:p>
                    <w:pPr>
                      <w:rPr>
                        <w:rFonts w:ascii="Times New Roman" w:hAnsi="Times New Roman" w:cs="Times New Roman"/>
                        <w:szCs w:val="21"/>
                      </w:rPr>
                    </w:pPr>
                    <w:r>
                      <w:rPr>
                        <w:rFonts w:ascii="Times New Roman" w:cs="Times New Roman"/>
                      </w:rPr>
                      <w:t>徐开东</w:t>
                    </w:r>
                  </w:p>
                </w:tc>
                <w:tc>
                  <w:tcPr>
                    <w:tcW w:w="1843" w:type="dxa"/>
                    <w:gridSpan w:val="3"/>
                    <w:shd w:val="clear" w:color="auto" w:fill="auto"/>
                    <w:vAlign w:val="center"/>
                  </w:tcPr>
                  <w:p>
                    <w:pPr>
                      <w:jc w:val="center"/>
                      <w:rPr>
                        <w:rFonts w:ascii="Times New Roman" w:hAnsi="Times New Roman" w:cs="Times New Roman"/>
                        <w:sz w:val="24"/>
                      </w:rPr>
                    </w:pPr>
                    <w:r>
                      <w:rPr>
                        <w:rFonts w:ascii="Times New Roman" w:hAnsi="Times New Roman" w:cs="Times New Roman"/>
                      </w:rPr>
                      <w:t>3</w:t>
                    </w:r>
                    <w:r>
                      <w:rPr>
                        <w:rFonts w:hint="eastAsia" w:ascii="Times New Roman" w:hAnsi="Times New Roman" w:cs="Times New Roman"/>
                        <w:lang w:val="en-US" w:eastAsia="zh-CN"/>
                      </w:rPr>
                      <w:t>,</w:t>
                    </w:r>
                    <w:r>
                      <w:rPr>
                        <w:rFonts w:ascii="Times New Roman" w:hAnsi="Times New Roman" w:cs="Times New Roman"/>
                      </w:rPr>
                      <w:t>300</w:t>
                    </w:r>
                    <w:r>
                      <w:rPr>
                        <w:rFonts w:hint="eastAsia" w:ascii="Times New Roman" w:hAnsi="Times New Roman" w:cs="Times New Roman"/>
                        <w:lang w:val="en-US" w:eastAsia="zh-CN"/>
                      </w:rPr>
                      <w:t>,</w:t>
                    </w:r>
                    <w:r>
                      <w:rPr>
                        <w:rFonts w:ascii="Times New Roman" w:hAnsi="Times New Roman" w:cs="Times New Roman"/>
                      </w:rPr>
                      <w:t>467</w:t>
                    </w:r>
                  </w:p>
                </w:tc>
                <w:sdt>
                  <w:sdtPr>
                    <w:rPr>
                      <w:rFonts w:ascii="Times New Roman" w:hAnsi="Times New Roman" w:cs="Times New Roman"/>
                      <w:bCs/>
                      <w:szCs w:val="21"/>
                    </w:rPr>
                    <w:alias w:val="前十名无限售条件股东期末持有流通股的种类"/>
                    <w:tag w:val="_GBC_b35ef493948141e0b9d0c3fd14aad59a"/>
                    <w:id w:val="86572330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imes New Roman" w:hAnsi="Times New Roman" w:cs="Times New Roman"/>
                      <w:bCs/>
                      <w:szCs w:val="21"/>
                    </w:rPr>
                  </w:sdtEndPr>
                  <w:sdtContent>
                    <w:tc>
                      <w:tcPr>
                        <w:tcW w:w="1701" w:type="dxa"/>
                        <w:gridSpan w:val="3"/>
                        <w:shd w:val="clear" w:color="auto" w:fill="auto"/>
                        <w:vAlign w:val="center"/>
                      </w:tcPr>
                      <w:p>
                        <w:pPr>
                          <w:jc w:val="center"/>
                          <w:rPr>
                            <w:rFonts w:ascii="Times New Roman" w:hAnsi="Times New Roman" w:cs="Times New Roman"/>
                            <w:bCs/>
                            <w:szCs w:val="21"/>
                          </w:rPr>
                        </w:pPr>
                        <w:r>
                          <w:rPr>
                            <w:rFonts w:ascii="Times New Roman" w:cs="Times New Roman"/>
                            <w:bCs/>
                            <w:szCs w:val="21"/>
                          </w:rPr>
                          <w:t>人民币普通股</w:t>
                        </w:r>
                      </w:p>
                    </w:tc>
                  </w:sdtContent>
                </w:sdt>
                <w:tc>
                  <w:tcPr>
                    <w:tcW w:w="171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3,300,467</w:t>
                    </w:r>
                  </w:p>
                </w:tc>
              </w:tr>
            </w:sdtContent>
          </w:sdt>
          <w:sdt>
            <w:sdtPr>
              <w:rPr>
                <w:rFonts w:ascii="Times New Roman" w:hAnsi="Times New Roman" w:cs="Times New Roman"/>
                <w:szCs w:val="21"/>
              </w:rPr>
              <w:alias w:val="前十名无限售条件股东持股情况"/>
              <w:tag w:val="_TUP_9ca3e52e0a074358925f5b9f3eb76189"/>
              <w:id w:val="86572331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shd w:val="clear" w:color="auto" w:fill="auto"/>
                    <w:vAlign w:val="center"/>
                  </w:tcPr>
                  <w:p>
                    <w:pPr>
                      <w:rPr>
                        <w:rFonts w:ascii="Times New Roman" w:hAnsi="Times New Roman" w:cs="Times New Roman"/>
                        <w:szCs w:val="21"/>
                      </w:rPr>
                    </w:pPr>
                    <w:r>
                      <w:rPr>
                        <w:rFonts w:ascii="Times New Roman" w:cs="Times New Roman"/>
                      </w:rPr>
                      <w:t>刘文华</w:t>
                    </w:r>
                  </w:p>
                </w:tc>
                <w:tc>
                  <w:tcPr>
                    <w:tcW w:w="1843" w:type="dxa"/>
                    <w:gridSpan w:val="3"/>
                    <w:shd w:val="clear" w:color="auto" w:fill="auto"/>
                    <w:vAlign w:val="center"/>
                  </w:tcPr>
                  <w:p>
                    <w:pPr>
                      <w:jc w:val="center"/>
                      <w:rPr>
                        <w:rFonts w:ascii="Times New Roman" w:hAnsi="Times New Roman" w:cs="Times New Roman"/>
                        <w:sz w:val="24"/>
                      </w:rPr>
                    </w:pPr>
                    <w:r>
                      <w:rPr>
                        <w:rFonts w:ascii="Times New Roman" w:hAnsi="Times New Roman" w:cs="Times New Roman"/>
                      </w:rPr>
                      <w:t>3</w:t>
                    </w:r>
                    <w:r>
                      <w:rPr>
                        <w:rFonts w:hint="eastAsia" w:ascii="Times New Roman" w:hAnsi="Times New Roman" w:cs="Times New Roman"/>
                        <w:lang w:val="en-US" w:eastAsia="zh-CN"/>
                      </w:rPr>
                      <w:t>,</w:t>
                    </w:r>
                    <w:r>
                      <w:rPr>
                        <w:rFonts w:ascii="Times New Roman" w:hAnsi="Times New Roman" w:cs="Times New Roman"/>
                      </w:rPr>
                      <w:t>289</w:t>
                    </w:r>
                    <w:r>
                      <w:rPr>
                        <w:rFonts w:hint="eastAsia" w:ascii="Times New Roman" w:hAnsi="Times New Roman" w:cs="Times New Roman"/>
                        <w:lang w:val="en-US" w:eastAsia="zh-CN"/>
                      </w:rPr>
                      <w:t>,</w:t>
                    </w:r>
                    <w:r>
                      <w:rPr>
                        <w:rFonts w:ascii="Times New Roman" w:hAnsi="Times New Roman" w:cs="Times New Roman"/>
                      </w:rPr>
                      <w:t>550</w:t>
                    </w:r>
                  </w:p>
                </w:tc>
                <w:sdt>
                  <w:sdtPr>
                    <w:rPr>
                      <w:rFonts w:ascii="Times New Roman" w:hAnsi="Times New Roman" w:cs="Times New Roman"/>
                      <w:bCs/>
                      <w:szCs w:val="21"/>
                    </w:rPr>
                    <w:alias w:val="前十名无限售条件股东期末持有流通股的种类"/>
                    <w:tag w:val="_GBC_b35ef493948141e0b9d0c3fd14aad59a"/>
                    <w:id w:val="86572330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imes New Roman" w:hAnsi="Times New Roman" w:cs="Times New Roman"/>
                      <w:bCs/>
                      <w:szCs w:val="21"/>
                    </w:rPr>
                  </w:sdtEndPr>
                  <w:sdtContent>
                    <w:tc>
                      <w:tcPr>
                        <w:tcW w:w="1701" w:type="dxa"/>
                        <w:gridSpan w:val="3"/>
                        <w:shd w:val="clear" w:color="auto" w:fill="auto"/>
                        <w:vAlign w:val="center"/>
                      </w:tcPr>
                      <w:p>
                        <w:pPr>
                          <w:jc w:val="center"/>
                          <w:rPr>
                            <w:rFonts w:ascii="Times New Roman" w:hAnsi="Times New Roman" w:cs="Times New Roman"/>
                            <w:bCs/>
                            <w:szCs w:val="21"/>
                          </w:rPr>
                        </w:pPr>
                        <w:r>
                          <w:rPr>
                            <w:rFonts w:ascii="Times New Roman" w:cs="Times New Roman"/>
                            <w:bCs/>
                            <w:szCs w:val="21"/>
                          </w:rPr>
                          <w:t>人民币普通股</w:t>
                        </w:r>
                      </w:p>
                    </w:tc>
                  </w:sdtContent>
                </w:sdt>
                <w:tc>
                  <w:tcPr>
                    <w:tcW w:w="171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3,289,550</w:t>
                    </w:r>
                  </w:p>
                </w:tc>
              </w:tr>
            </w:sdtContent>
          </w:sdt>
          <w:sdt>
            <w:sdtPr>
              <w:rPr>
                <w:rFonts w:ascii="Times New Roman" w:hAnsi="Times New Roman" w:cs="Times New Roman"/>
                <w:szCs w:val="21"/>
              </w:rPr>
              <w:alias w:val="前十名无限售条件股东持股情况"/>
              <w:tag w:val="_TUP_9ca3e52e0a074358925f5b9f3eb76189"/>
              <w:id w:val="86572331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shd w:val="clear" w:color="auto" w:fill="auto"/>
                    <w:vAlign w:val="center"/>
                  </w:tcPr>
                  <w:p>
                    <w:pPr>
                      <w:rPr>
                        <w:rFonts w:ascii="Times New Roman" w:hAnsi="Times New Roman" w:cs="Times New Roman"/>
                        <w:szCs w:val="21"/>
                      </w:rPr>
                    </w:pPr>
                    <w:r>
                      <w:rPr>
                        <w:rFonts w:ascii="Times New Roman" w:cs="Times New Roman"/>
                      </w:rPr>
                      <w:t>杜群</w:t>
                    </w:r>
                  </w:p>
                </w:tc>
                <w:tc>
                  <w:tcPr>
                    <w:tcW w:w="1843" w:type="dxa"/>
                    <w:gridSpan w:val="3"/>
                    <w:shd w:val="clear" w:color="auto" w:fill="auto"/>
                    <w:vAlign w:val="center"/>
                  </w:tcPr>
                  <w:p>
                    <w:pPr>
                      <w:jc w:val="center"/>
                      <w:rPr>
                        <w:rFonts w:ascii="Times New Roman" w:hAnsi="Times New Roman" w:cs="Times New Roman"/>
                        <w:sz w:val="24"/>
                      </w:rPr>
                    </w:pPr>
                    <w:r>
                      <w:rPr>
                        <w:rFonts w:ascii="Times New Roman" w:hAnsi="Times New Roman" w:cs="Times New Roman"/>
                      </w:rPr>
                      <w:t>3</w:t>
                    </w:r>
                    <w:r>
                      <w:rPr>
                        <w:rFonts w:hint="eastAsia" w:ascii="Times New Roman" w:hAnsi="Times New Roman" w:cs="Times New Roman"/>
                        <w:lang w:val="en-US" w:eastAsia="zh-CN"/>
                      </w:rPr>
                      <w:t>,</w:t>
                    </w:r>
                    <w:r>
                      <w:rPr>
                        <w:rFonts w:ascii="Times New Roman" w:hAnsi="Times New Roman" w:cs="Times New Roman"/>
                      </w:rPr>
                      <w:t>020</w:t>
                    </w:r>
                    <w:r>
                      <w:rPr>
                        <w:rFonts w:hint="eastAsia" w:ascii="Times New Roman" w:hAnsi="Times New Roman" w:cs="Times New Roman"/>
                        <w:lang w:val="en-US" w:eastAsia="zh-CN"/>
                      </w:rPr>
                      <w:t>,</w:t>
                    </w:r>
                    <w:r>
                      <w:rPr>
                        <w:rFonts w:ascii="Times New Roman" w:hAnsi="Times New Roman" w:cs="Times New Roman"/>
                      </w:rPr>
                      <w:t>250</w:t>
                    </w:r>
                  </w:p>
                </w:tc>
                <w:sdt>
                  <w:sdtPr>
                    <w:rPr>
                      <w:rFonts w:ascii="Times New Roman" w:hAnsi="Times New Roman" w:cs="Times New Roman"/>
                      <w:bCs/>
                      <w:szCs w:val="21"/>
                    </w:rPr>
                    <w:alias w:val="前十名无限售条件股东期末持有流通股的种类"/>
                    <w:tag w:val="_GBC_b35ef493948141e0b9d0c3fd14aad59a"/>
                    <w:id w:val="86572331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imes New Roman" w:hAnsi="Times New Roman" w:cs="Times New Roman"/>
                      <w:bCs/>
                      <w:szCs w:val="21"/>
                    </w:rPr>
                  </w:sdtEndPr>
                  <w:sdtContent>
                    <w:tc>
                      <w:tcPr>
                        <w:tcW w:w="1701" w:type="dxa"/>
                        <w:gridSpan w:val="3"/>
                        <w:shd w:val="clear" w:color="auto" w:fill="auto"/>
                        <w:vAlign w:val="center"/>
                      </w:tcPr>
                      <w:p>
                        <w:pPr>
                          <w:jc w:val="center"/>
                          <w:rPr>
                            <w:rFonts w:ascii="Times New Roman" w:hAnsi="Times New Roman" w:cs="Times New Roman"/>
                            <w:bCs/>
                            <w:szCs w:val="21"/>
                          </w:rPr>
                        </w:pPr>
                        <w:r>
                          <w:rPr>
                            <w:rFonts w:ascii="Times New Roman" w:cs="Times New Roman"/>
                            <w:bCs/>
                            <w:szCs w:val="21"/>
                          </w:rPr>
                          <w:t>人民币普通股</w:t>
                        </w:r>
                      </w:p>
                    </w:tc>
                  </w:sdtContent>
                </w:sdt>
                <w:tc>
                  <w:tcPr>
                    <w:tcW w:w="171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3,020,250</w:t>
                    </w:r>
                  </w:p>
                </w:tc>
              </w:tr>
            </w:sdtContent>
          </w:sdt>
          <w:sdt>
            <w:sdtPr>
              <w:rPr>
                <w:rFonts w:ascii="Times New Roman" w:hAnsi="Times New Roman" w:cs="Times New Roman"/>
                <w:szCs w:val="21"/>
              </w:rPr>
              <w:alias w:val="前十名无限售条件股东持股情况"/>
              <w:tag w:val="_TUP_9ca3e52e0a074358925f5b9f3eb76189"/>
              <w:id w:val="86572331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shd w:val="clear" w:color="auto" w:fill="auto"/>
                    <w:vAlign w:val="center"/>
                  </w:tcPr>
                  <w:p>
                    <w:pPr>
                      <w:rPr>
                        <w:rFonts w:ascii="Times New Roman" w:hAnsi="Times New Roman" w:cs="Times New Roman"/>
                        <w:szCs w:val="21"/>
                      </w:rPr>
                    </w:pPr>
                    <w:r>
                      <w:rPr>
                        <w:rFonts w:ascii="Times New Roman" w:cs="Times New Roman"/>
                      </w:rPr>
                      <w:t>柳州市元宏投资发展有限公司</w:t>
                    </w:r>
                  </w:p>
                </w:tc>
                <w:tc>
                  <w:tcPr>
                    <w:tcW w:w="1843" w:type="dxa"/>
                    <w:gridSpan w:val="3"/>
                    <w:shd w:val="clear" w:color="auto" w:fill="auto"/>
                    <w:vAlign w:val="center"/>
                  </w:tcPr>
                  <w:p>
                    <w:pPr>
                      <w:jc w:val="center"/>
                      <w:rPr>
                        <w:rFonts w:ascii="Times New Roman" w:hAnsi="Times New Roman" w:cs="Times New Roman"/>
                        <w:sz w:val="24"/>
                      </w:rPr>
                    </w:pPr>
                    <w:r>
                      <w:rPr>
                        <w:rFonts w:ascii="Times New Roman" w:hAnsi="Times New Roman" w:cs="Times New Roman"/>
                      </w:rPr>
                      <w:t>3</w:t>
                    </w:r>
                    <w:r>
                      <w:rPr>
                        <w:rFonts w:hint="eastAsia" w:ascii="Times New Roman" w:hAnsi="Times New Roman" w:cs="Times New Roman"/>
                        <w:lang w:val="en-US" w:eastAsia="zh-CN"/>
                      </w:rPr>
                      <w:t>,</w:t>
                    </w:r>
                    <w:r>
                      <w:rPr>
                        <w:rFonts w:ascii="Times New Roman" w:hAnsi="Times New Roman" w:cs="Times New Roman"/>
                      </w:rPr>
                      <w:t>013</w:t>
                    </w:r>
                    <w:r>
                      <w:rPr>
                        <w:rFonts w:hint="eastAsia" w:ascii="Times New Roman" w:hAnsi="Times New Roman" w:cs="Times New Roman"/>
                        <w:lang w:val="en-US" w:eastAsia="zh-CN"/>
                      </w:rPr>
                      <w:t>,</w:t>
                    </w:r>
                    <w:r>
                      <w:rPr>
                        <w:rFonts w:ascii="Times New Roman" w:hAnsi="Times New Roman" w:cs="Times New Roman"/>
                      </w:rPr>
                      <w:t>937</w:t>
                    </w:r>
                  </w:p>
                </w:tc>
                <w:sdt>
                  <w:sdtPr>
                    <w:rPr>
                      <w:rFonts w:ascii="Times New Roman" w:hAnsi="Times New Roman" w:cs="Times New Roman"/>
                      <w:bCs/>
                      <w:szCs w:val="21"/>
                    </w:rPr>
                    <w:alias w:val="前十名无限售条件股东期末持有流通股的种类"/>
                    <w:tag w:val="_GBC_b35ef493948141e0b9d0c3fd14aad59a"/>
                    <w:id w:val="86572331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imes New Roman" w:hAnsi="Times New Roman" w:cs="Times New Roman"/>
                      <w:bCs/>
                      <w:szCs w:val="21"/>
                    </w:rPr>
                  </w:sdtEndPr>
                  <w:sdtContent>
                    <w:tc>
                      <w:tcPr>
                        <w:tcW w:w="1701" w:type="dxa"/>
                        <w:gridSpan w:val="3"/>
                        <w:shd w:val="clear" w:color="auto" w:fill="auto"/>
                        <w:vAlign w:val="center"/>
                      </w:tcPr>
                      <w:p>
                        <w:pPr>
                          <w:jc w:val="center"/>
                          <w:rPr>
                            <w:rFonts w:ascii="Times New Roman" w:hAnsi="Times New Roman" w:cs="Times New Roman"/>
                            <w:bCs/>
                            <w:szCs w:val="21"/>
                          </w:rPr>
                        </w:pPr>
                        <w:r>
                          <w:rPr>
                            <w:rFonts w:ascii="Times New Roman" w:cs="Times New Roman"/>
                            <w:bCs/>
                            <w:szCs w:val="21"/>
                          </w:rPr>
                          <w:t>人民币普通股</w:t>
                        </w:r>
                      </w:p>
                    </w:tc>
                  </w:sdtContent>
                </w:sdt>
                <w:tc>
                  <w:tcPr>
                    <w:tcW w:w="171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3,013,937</w:t>
                    </w:r>
                  </w:p>
                </w:tc>
              </w:tr>
            </w:sdtContent>
          </w:sdt>
          <w:sdt>
            <w:sdtPr>
              <w:rPr>
                <w:rFonts w:ascii="Times New Roman" w:hAnsi="Times New Roman" w:cs="Times New Roman"/>
                <w:szCs w:val="21"/>
              </w:rPr>
              <w:alias w:val="前十名无限售条件股东持股情况"/>
              <w:tag w:val="_TUP_9ca3e52e0a074358925f5b9f3eb76189"/>
              <w:id w:val="86572331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shd w:val="clear" w:color="auto" w:fill="auto"/>
                    <w:vAlign w:val="center"/>
                  </w:tcPr>
                  <w:p>
                    <w:pPr>
                      <w:rPr>
                        <w:rFonts w:ascii="Times New Roman" w:hAnsi="Times New Roman" w:cs="Times New Roman"/>
                        <w:szCs w:val="21"/>
                      </w:rPr>
                    </w:pPr>
                    <w:r>
                      <w:rPr>
                        <w:rFonts w:ascii="Times New Roman" w:cs="Times New Roman"/>
                      </w:rPr>
                      <w:t>胡秀娟</w:t>
                    </w:r>
                  </w:p>
                </w:tc>
                <w:tc>
                  <w:tcPr>
                    <w:tcW w:w="1843" w:type="dxa"/>
                    <w:gridSpan w:val="3"/>
                    <w:shd w:val="clear" w:color="auto" w:fill="auto"/>
                    <w:vAlign w:val="center"/>
                  </w:tcPr>
                  <w:p>
                    <w:pPr>
                      <w:jc w:val="center"/>
                      <w:rPr>
                        <w:rFonts w:ascii="Times New Roman" w:hAnsi="Times New Roman" w:cs="Times New Roman"/>
                        <w:sz w:val="24"/>
                      </w:rPr>
                    </w:pPr>
                    <w:r>
                      <w:rPr>
                        <w:rFonts w:ascii="Times New Roman" w:hAnsi="Times New Roman" w:cs="Times New Roman"/>
                      </w:rPr>
                      <w:t>2,626,250</w:t>
                    </w:r>
                  </w:p>
                </w:tc>
                <w:sdt>
                  <w:sdtPr>
                    <w:rPr>
                      <w:rFonts w:ascii="Times New Roman" w:hAnsi="Times New Roman" w:cs="Times New Roman"/>
                      <w:bCs/>
                      <w:szCs w:val="21"/>
                    </w:rPr>
                    <w:alias w:val="前十名无限售条件股东期末持有流通股的种类"/>
                    <w:tag w:val="_GBC_b35ef493948141e0b9d0c3fd14aad59a"/>
                    <w:id w:val="86572331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imes New Roman" w:hAnsi="Times New Roman" w:cs="Times New Roman"/>
                      <w:bCs/>
                      <w:szCs w:val="21"/>
                    </w:rPr>
                  </w:sdtEndPr>
                  <w:sdtContent>
                    <w:tc>
                      <w:tcPr>
                        <w:tcW w:w="1701" w:type="dxa"/>
                        <w:gridSpan w:val="3"/>
                        <w:shd w:val="clear" w:color="auto" w:fill="auto"/>
                        <w:vAlign w:val="center"/>
                      </w:tcPr>
                      <w:p>
                        <w:pPr>
                          <w:jc w:val="center"/>
                          <w:rPr>
                            <w:rFonts w:ascii="Times New Roman" w:hAnsi="Times New Roman" w:cs="Times New Roman"/>
                            <w:bCs/>
                            <w:szCs w:val="21"/>
                          </w:rPr>
                        </w:pPr>
                        <w:r>
                          <w:rPr>
                            <w:rFonts w:ascii="Times New Roman" w:cs="Times New Roman"/>
                            <w:bCs/>
                            <w:szCs w:val="21"/>
                          </w:rPr>
                          <w:t>人民币普通股</w:t>
                        </w:r>
                      </w:p>
                    </w:tc>
                  </w:sdtContent>
                </w:sdt>
                <w:tc>
                  <w:tcPr>
                    <w:tcW w:w="171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2,626,250</w:t>
                    </w:r>
                  </w:p>
                </w:tc>
              </w:tr>
            </w:sdtContent>
          </w:sdt>
          <w:sdt>
            <w:sdtPr>
              <w:rPr>
                <w:rFonts w:ascii="Times New Roman" w:hAnsi="Times New Roman" w:cs="Times New Roman"/>
                <w:szCs w:val="21"/>
              </w:rPr>
              <w:alias w:val="前十名无限售条件股东持股情况"/>
              <w:tag w:val="_TUP_9ca3e52e0a074358925f5b9f3eb76189"/>
              <w:id w:val="86572331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794" w:type="dxa"/>
                    <w:gridSpan w:val="3"/>
                    <w:shd w:val="clear" w:color="auto" w:fill="auto"/>
                    <w:vAlign w:val="center"/>
                  </w:tcPr>
                  <w:p>
                    <w:pPr>
                      <w:rPr>
                        <w:rFonts w:ascii="Times New Roman" w:hAnsi="Times New Roman" w:cs="Times New Roman"/>
                        <w:szCs w:val="21"/>
                      </w:rPr>
                    </w:pPr>
                    <w:r>
                      <w:rPr>
                        <w:rFonts w:ascii="Times New Roman" w:cs="Times New Roman"/>
                      </w:rPr>
                      <w:t>王雪章</w:t>
                    </w:r>
                  </w:p>
                </w:tc>
                <w:tc>
                  <w:tcPr>
                    <w:tcW w:w="1843" w:type="dxa"/>
                    <w:gridSpan w:val="3"/>
                    <w:shd w:val="clear" w:color="auto" w:fill="auto"/>
                    <w:vAlign w:val="center"/>
                  </w:tcPr>
                  <w:p>
                    <w:pPr>
                      <w:jc w:val="center"/>
                      <w:rPr>
                        <w:rFonts w:ascii="Times New Roman" w:hAnsi="Times New Roman" w:cs="Times New Roman"/>
                        <w:sz w:val="24"/>
                      </w:rPr>
                    </w:pPr>
                    <w:r>
                      <w:rPr>
                        <w:rFonts w:ascii="Times New Roman" w:hAnsi="Times New Roman" w:cs="Times New Roman"/>
                      </w:rPr>
                      <w:t>2</w:t>
                    </w:r>
                    <w:r>
                      <w:rPr>
                        <w:rFonts w:hint="eastAsia" w:ascii="Times New Roman" w:hAnsi="Times New Roman" w:cs="Times New Roman"/>
                        <w:lang w:val="en-US" w:eastAsia="zh-CN"/>
                      </w:rPr>
                      <w:t>,</w:t>
                    </w:r>
                    <w:r>
                      <w:rPr>
                        <w:rFonts w:ascii="Times New Roman" w:hAnsi="Times New Roman" w:cs="Times New Roman"/>
                      </w:rPr>
                      <w:t>510</w:t>
                    </w:r>
                    <w:r>
                      <w:rPr>
                        <w:rFonts w:hint="eastAsia" w:ascii="Times New Roman" w:hAnsi="Times New Roman" w:cs="Times New Roman"/>
                        <w:lang w:val="en-US" w:eastAsia="zh-CN"/>
                      </w:rPr>
                      <w:t>,</w:t>
                    </w:r>
                    <w:r>
                      <w:rPr>
                        <w:rFonts w:ascii="Times New Roman" w:hAnsi="Times New Roman" w:cs="Times New Roman"/>
                      </w:rPr>
                      <w:t>000</w:t>
                    </w:r>
                  </w:p>
                </w:tc>
                <w:sdt>
                  <w:sdtPr>
                    <w:rPr>
                      <w:rFonts w:ascii="Times New Roman" w:hAnsi="Times New Roman" w:cs="Times New Roman"/>
                      <w:bCs/>
                      <w:szCs w:val="21"/>
                    </w:rPr>
                    <w:alias w:val="前十名无限售条件股东期末持有流通股的种类"/>
                    <w:tag w:val="_GBC_b35ef493948141e0b9d0c3fd14aad59a"/>
                    <w:id w:val="86572331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imes New Roman" w:hAnsi="Times New Roman" w:cs="Times New Roman"/>
                      <w:bCs/>
                      <w:szCs w:val="21"/>
                    </w:rPr>
                  </w:sdtEndPr>
                  <w:sdtContent>
                    <w:tc>
                      <w:tcPr>
                        <w:tcW w:w="1701" w:type="dxa"/>
                        <w:gridSpan w:val="3"/>
                        <w:shd w:val="clear" w:color="auto" w:fill="auto"/>
                        <w:vAlign w:val="center"/>
                      </w:tcPr>
                      <w:p>
                        <w:pPr>
                          <w:jc w:val="center"/>
                          <w:rPr>
                            <w:rFonts w:ascii="Times New Roman" w:hAnsi="Times New Roman" w:cs="Times New Roman"/>
                            <w:bCs/>
                            <w:szCs w:val="21"/>
                          </w:rPr>
                        </w:pPr>
                        <w:r>
                          <w:rPr>
                            <w:rFonts w:ascii="Times New Roman" w:cs="Times New Roman"/>
                            <w:bCs/>
                            <w:szCs w:val="21"/>
                          </w:rPr>
                          <w:t>人民币普通股</w:t>
                        </w:r>
                      </w:p>
                    </w:tc>
                  </w:sdtContent>
                </w:sdt>
                <w:tc>
                  <w:tcPr>
                    <w:tcW w:w="171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2,510,000</w:t>
                    </w:r>
                  </w:p>
                </w:tc>
              </w:tr>
            </w:sdtContent>
          </w:sdt>
          <w:sdt>
            <w:sdtPr>
              <w:rPr>
                <w:rFonts w:ascii="Times New Roman" w:hAnsi="Times New Roman" w:cs="Times New Roman"/>
                <w:szCs w:val="21"/>
              </w:rPr>
              <w:alias w:val="前十名无限售条件股东持股情况"/>
              <w:tag w:val="_TUP_9ca3e52e0a074358925f5b9f3eb76189"/>
              <w:id w:val="86572332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794" w:type="dxa"/>
                    <w:gridSpan w:val="3"/>
                    <w:shd w:val="clear" w:color="auto" w:fill="auto"/>
                    <w:vAlign w:val="center"/>
                  </w:tcPr>
                  <w:p>
                    <w:pPr>
                      <w:rPr>
                        <w:rFonts w:ascii="Times New Roman" w:hAnsi="Times New Roman" w:cs="Times New Roman"/>
                        <w:szCs w:val="21"/>
                      </w:rPr>
                    </w:pPr>
                    <w:r>
                      <w:rPr>
                        <w:rFonts w:ascii="Times New Roman" w:cs="Times New Roman"/>
                      </w:rPr>
                      <w:t>钟坤琼</w:t>
                    </w:r>
                  </w:p>
                </w:tc>
                <w:tc>
                  <w:tcPr>
                    <w:tcW w:w="1843" w:type="dxa"/>
                    <w:gridSpan w:val="3"/>
                    <w:shd w:val="clear" w:color="auto" w:fill="auto"/>
                    <w:vAlign w:val="center"/>
                  </w:tcPr>
                  <w:p>
                    <w:pPr>
                      <w:jc w:val="center"/>
                      <w:rPr>
                        <w:rFonts w:ascii="Times New Roman" w:hAnsi="Times New Roman" w:cs="Times New Roman"/>
                        <w:sz w:val="24"/>
                      </w:rPr>
                    </w:pPr>
                    <w:r>
                      <w:rPr>
                        <w:rFonts w:ascii="Times New Roman" w:hAnsi="Times New Roman" w:cs="Times New Roman"/>
                      </w:rPr>
                      <w:t>2</w:t>
                    </w:r>
                    <w:r>
                      <w:rPr>
                        <w:rFonts w:hint="eastAsia" w:ascii="Times New Roman" w:hAnsi="Times New Roman" w:cs="Times New Roman"/>
                        <w:lang w:val="en-US" w:eastAsia="zh-CN"/>
                      </w:rPr>
                      <w:t>,</w:t>
                    </w:r>
                    <w:r>
                      <w:rPr>
                        <w:rFonts w:ascii="Times New Roman" w:hAnsi="Times New Roman" w:cs="Times New Roman"/>
                      </w:rPr>
                      <w:t>304</w:t>
                    </w:r>
                    <w:r>
                      <w:rPr>
                        <w:rFonts w:hint="eastAsia" w:ascii="Times New Roman" w:hAnsi="Times New Roman" w:cs="Times New Roman"/>
                        <w:lang w:val="en-US" w:eastAsia="zh-CN"/>
                      </w:rPr>
                      <w:t>,</w:t>
                    </w:r>
                    <w:r>
                      <w:rPr>
                        <w:rFonts w:ascii="Times New Roman" w:hAnsi="Times New Roman" w:cs="Times New Roman"/>
                      </w:rPr>
                      <w:t>500</w:t>
                    </w:r>
                  </w:p>
                </w:tc>
                <w:sdt>
                  <w:sdtPr>
                    <w:rPr>
                      <w:rFonts w:ascii="Times New Roman" w:hAnsi="Times New Roman" w:cs="Times New Roman"/>
                      <w:bCs/>
                      <w:szCs w:val="21"/>
                    </w:rPr>
                    <w:alias w:val="前十名无限售条件股东期末持有流通股的种类"/>
                    <w:tag w:val="_GBC_b35ef493948141e0b9d0c3fd14aad59a"/>
                    <w:id w:val="86572331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imes New Roman" w:hAnsi="Times New Roman" w:cs="Times New Roman"/>
                      <w:bCs/>
                      <w:szCs w:val="21"/>
                    </w:rPr>
                  </w:sdtEndPr>
                  <w:sdtContent>
                    <w:tc>
                      <w:tcPr>
                        <w:tcW w:w="1701" w:type="dxa"/>
                        <w:gridSpan w:val="3"/>
                        <w:shd w:val="clear" w:color="auto" w:fill="auto"/>
                        <w:vAlign w:val="center"/>
                      </w:tcPr>
                      <w:p>
                        <w:pPr>
                          <w:jc w:val="center"/>
                          <w:rPr>
                            <w:rFonts w:ascii="Times New Roman" w:hAnsi="Times New Roman" w:cs="Times New Roman"/>
                            <w:bCs/>
                            <w:szCs w:val="21"/>
                          </w:rPr>
                        </w:pPr>
                        <w:r>
                          <w:rPr>
                            <w:rFonts w:ascii="Times New Roman" w:cs="Times New Roman"/>
                            <w:bCs/>
                            <w:szCs w:val="21"/>
                          </w:rPr>
                          <w:t>人民币普通股</w:t>
                        </w:r>
                      </w:p>
                    </w:tc>
                  </w:sdtContent>
                </w:sdt>
                <w:tc>
                  <w:tcPr>
                    <w:tcW w:w="171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rPr>
                      <w:t>2,304,500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shd w:val="clear" w:color="auto" w:fill="auto"/>
                <w:vAlign w:val="center"/>
              </w:tcPr>
              <w:sdt>
                <w:sdtPr>
                  <w:rPr>
                    <w:rFonts w:ascii="Times New Roman" w:hAnsi="Times New Roman" w:cs="Times New Roman"/>
                  </w:rPr>
                  <w:tag w:val="_PLD_c66ff47b026f457b94124796c616bd5e"/>
                  <w:id w:val="865723321"/>
                  <w:lock w:val="sdtLocked"/>
                </w:sdtPr>
                <w:sdtEndPr>
                  <w:rPr>
                    <w:rFonts w:ascii="Times New Roman" w:hAnsi="Times New Roman" w:cs="Times New Roman"/>
                  </w:rPr>
                </w:sdtEndPr>
                <w:sdtContent>
                  <w:p>
                    <w:pPr>
                      <w:rPr>
                        <w:rFonts w:ascii="Times New Roman" w:hAnsi="Times New Roman" w:cs="Times New Roman"/>
                        <w:szCs w:val="21"/>
                      </w:rPr>
                    </w:pPr>
                    <w:r>
                      <w:rPr>
                        <w:rFonts w:ascii="Times New Roman" w:cs="Times New Roman"/>
                      </w:rPr>
                      <w:t>前十名股东中回购专户情况说明</w:t>
                    </w:r>
                  </w:p>
                </w:sdtContent>
              </w:sdt>
            </w:tc>
            <w:tc>
              <w:tcPr>
                <w:tcW w:w="5255" w:type="dxa"/>
                <w:gridSpan w:val="8"/>
                <w:shd w:val="clear" w:color="auto" w:fill="auto"/>
                <w:vAlign w:val="center"/>
              </w:tcPr>
              <w:p>
                <w:pPr>
                  <w:rPr>
                    <w:rFonts w:ascii="Times New Roman" w:hAnsi="Times New Roman" w:cs="Times New Roman"/>
                    <w:szCs w:val="21"/>
                  </w:rPr>
                </w:pPr>
                <w:r>
                  <w:rPr>
                    <w:rFonts w:asci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94" w:type="dxa"/>
                <w:gridSpan w:val="3"/>
                <w:shd w:val="clear" w:color="auto" w:fill="auto"/>
                <w:vAlign w:val="center"/>
              </w:tcPr>
              <w:sdt>
                <w:sdtPr>
                  <w:rPr>
                    <w:rFonts w:ascii="Times New Roman" w:hAnsi="Times New Roman" w:cs="Times New Roman"/>
                    <w:szCs w:val="21"/>
                  </w:rPr>
                  <w:tag w:val="_PLD_1e66340db1704500aa943a28a623d252"/>
                  <w:id w:val="865723322"/>
                  <w:lock w:val="sdtLocked"/>
                </w:sdtPr>
                <w:sdtEndPr>
                  <w:rPr>
                    <w:rFonts w:ascii="Times New Roman" w:hAnsi="Times New Roman" w:cs="Times New Roman"/>
                    <w:szCs w:val="21"/>
                  </w:rPr>
                </w:sdtEndPr>
                <w:sdtContent>
                  <w:p>
                    <w:pPr>
                      <w:rPr>
                        <w:rFonts w:ascii="Times New Roman" w:hAnsi="Times New Roman" w:cs="Times New Roman"/>
                      </w:rPr>
                    </w:pPr>
                    <w:r>
                      <w:rPr>
                        <w:rFonts w:ascii="Times New Roman" w:cs="Times New Roman"/>
                        <w:szCs w:val="21"/>
                      </w:rPr>
                      <w:t>上述股东委托表决权、受托表决权、放弃表决权的说明</w:t>
                    </w:r>
                  </w:p>
                </w:sdtContent>
              </w:sdt>
            </w:tc>
            <w:tc>
              <w:tcPr>
                <w:tcW w:w="5255" w:type="dxa"/>
                <w:gridSpan w:val="8"/>
                <w:shd w:val="clear" w:color="auto" w:fill="auto"/>
                <w:vAlign w:val="center"/>
              </w:tcPr>
              <w:p>
                <w:pPr>
                  <w:rPr>
                    <w:rFonts w:ascii="Times New Roman" w:hAnsi="Times New Roman" w:cs="Times New Roman"/>
                    <w:szCs w:val="21"/>
                  </w:rPr>
                </w:pPr>
                <w:r>
                  <w:rPr>
                    <w:rFonts w:asci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f66d0f4474a24a38863b52183edf8612"/>
                <w:id w:val="865723323"/>
                <w:lock w:val="sdtLocked"/>
              </w:sdtPr>
              <w:sdtEndPr>
                <w:rPr>
                  <w:rFonts w:ascii="Times New Roman" w:hAnsi="Times New Roman" w:cs="Times New Roman"/>
                </w:rPr>
              </w:sdtEndPr>
              <w:sdtContent>
                <w:tc>
                  <w:tcPr>
                    <w:tcW w:w="3794" w:type="dxa"/>
                    <w:gridSpan w:val="3"/>
                    <w:shd w:val="clear" w:color="auto" w:fill="auto"/>
                    <w:vAlign w:val="center"/>
                  </w:tcPr>
                  <w:p>
                    <w:pPr>
                      <w:rPr>
                        <w:rFonts w:ascii="Times New Roman" w:hAnsi="Times New Roman" w:cs="Times New Roman"/>
                        <w:szCs w:val="21"/>
                      </w:rPr>
                    </w:pPr>
                    <w:r>
                      <w:rPr>
                        <w:rFonts w:ascii="Times New Roman" w:cs="Times New Roman"/>
                        <w:szCs w:val="21"/>
                      </w:rPr>
                      <w:t>上述股东关联关系或一致行动的说明</w:t>
                    </w:r>
                  </w:p>
                </w:tc>
              </w:sdtContent>
            </w:sdt>
            <w:tc>
              <w:tcPr>
                <w:tcW w:w="5255" w:type="dxa"/>
                <w:gridSpan w:val="8"/>
                <w:shd w:val="clear" w:color="auto" w:fill="auto"/>
                <w:vAlign w:val="center"/>
              </w:tcPr>
              <w:p>
                <w:pPr>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、截至本报告期末，公司前</w:t>
                </w:r>
                <w:r>
                  <w:rPr>
                    <w:rFonts w:ascii="Times New Roman" w:hAnsi="Times New Roman" w:cs="Times New Roman"/>
                    <w:szCs w:val="21"/>
                  </w:rPr>
                  <w:t>10</w:t>
                </w:r>
                <w:r>
                  <w:rPr>
                    <w:rFonts w:ascii="Times New Roman" w:cs="Times New Roman"/>
                    <w:szCs w:val="21"/>
                  </w:rPr>
                  <w:t>名股东中，广西柳州市产业投资发展集团有限公司、柳州市经发投资有限责任公司、柳州市元宏投资发展有限公司的实际控制人均为柳州市人民政府国有资产监督管理委员会；</w:t>
                </w:r>
              </w:p>
              <w:p>
                <w:pPr>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、除此之外，公司未知其他股东之间的关联关系。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f41b3b4967bb4d8793e8815a2738c7d6"/>
                <w:id w:val="865723324"/>
                <w:lock w:val="sdtLocked"/>
              </w:sdtPr>
              <w:sdtEndPr>
                <w:rPr>
                  <w:rFonts w:ascii="Times New Roman" w:hAnsi="Times New Roman" w:cs="Times New Roman"/>
                </w:rPr>
              </w:sdtEndPr>
              <w:sdtContent>
                <w:tc>
                  <w:tcPr>
                    <w:tcW w:w="3794" w:type="dxa"/>
                    <w:gridSpan w:val="3"/>
                    <w:shd w:val="clear" w:color="auto" w:fill="auto"/>
                    <w:vAlign w:val="center"/>
                  </w:tcPr>
                  <w:p>
                    <w:pPr>
                      <w:rPr>
                        <w:rFonts w:ascii="Times New Roman" w:hAnsi="Times New Roman" w:cs="Times New Roman"/>
                        <w:szCs w:val="21"/>
                      </w:rPr>
                    </w:pPr>
                    <w:r>
                      <w:rPr>
                        <w:rFonts w:ascii="Times New Roman" w:cs="Times New Roman"/>
                        <w:szCs w:val="21"/>
                      </w:rPr>
                      <w:t>表决权恢复的优先股股东及持股数量的说明</w:t>
                    </w:r>
                  </w:p>
                </w:tc>
              </w:sdtContent>
            </w:sdt>
            <w:tc>
              <w:tcPr>
                <w:tcW w:w="5255" w:type="dxa"/>
                <w:gridSpan w:val="8"/>
                <w:shd w:val="clear" w:color="auto" w:fill="auto"/>
                <w:vAlign w:val="center"/>
              </w:tcPr>
              <w:p>
                <w:pPr>
                  <w:rPr>
                    <w:rFonts w:ascii="Times New Roman" w:hAnsi="Times New Roman" w:cs="Times New Roman"/>
                    <w:szCs w:val="21"/>
                  </w:rPr>
                </w:pPr>
                <w:r>
                  <w:rPr>
                    <w:rFonts w:ascii="Times New Roman" w:cs="Times New Roman"/>
                    <w:szCs w:val="21"/>
                  </w:rPr>
                  <w:t>无</w:t>
                </w:r>
              </w:p>
            </w:tc>
          </w:tr>
        </w:tbl>
        <w:p/>
        <w:p>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865723325"/>
            <w:lock w:val="sdtLocked"/>
            <w:placeholder>
              <w:docPart w:val="GBC22222222222222222222222222222"/>
            </w:placeholder>
          </w:sdtPr>
          <w:sdtEndPr>
            <w:rPr>
              <w:bCs/>
              <w:szCs w:val="21"/>
            </w:rPr>
          </w:sdtEndPr>
          <w:sdtContent>
            <w:p>
              <w:pPr>
                <w:rPr>
                  <w:szCs w:val="21"/>
                </w:rPr>
              </w:pPr>
              <w:r>
                <w:rPr>
                  <w:bCs/>
                  <w:szCs w:val="21"/>
                </w:rPr>
                <w:fldChar w:fldCharType="begin"/>
              </w:r>
              <w:r>
                <w:rPr>
                  <w:bCs/>
                  <w:szCs w:val="21"/>
                </w:rPr>
                <w:instrText xml:space="preserve">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bookmarkEnd w:id="93"/>
    <w:p>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865723328"/>
        <w:lock w:val="sdtLocked"/>
        <w:placeholder>
          <w:docPart w:val="GBC22222222222222222222222222222"/>
        </w:placeholder>
      </w:sdtPr>
      <w:sdtEndPr>
        <w:rPr>
          <w:rFonts w:ascii="宋体" w:hAnsi="宋体" w:cs="宋体"/>
          <w:b w:val="0"/>
          <w:bCs w:val="0"/>
          <w:kern w:val="0"/>
          <w:sz w:val="21"/>
          <w:szCs w:val="24"/>
        </w:rPr>
      </w:sdtEndPr>
      <w:sdtContent>
        <w:p>
          <w:pPr>
            <w:pStyle w:val="4"/>
            <w:numPr>
              <w:ilvl w:val="1"/>
              <w:numId w:val="49"/>
            </w:numPr>
            <w:ind w:left="426" w:hanging="426"/>
            <w:rPr>
              <w:szCs w:val="21"/>
            </w:rPr>
          </w:pPr>
          <w:r>
            <w:rPr>
              <w:szCs w:val="21"/>
            </w:rPr>
            <w:t>战略投资者或一般法人因配售新股成为前10名股东</w:t>
          </w:r>
        </w:p>
        <w:sdt>
          <w:sdtPr>
            <w:alias w:val="是否适用：战略投资者或一般法人因配售新股成为前10名股东[双击切换]"/>
            <w:tag w:val="_GBC_f3c63aafb8134fdcbdeb39fd33c2cd8d"/>
            <w:id w:val="86572332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3"/>
        <w:numPr>
          <w:ilvl w:val="0"/>
          <w:numId w:val="45"/>
        </w:numPr>
      </w:pPr>
      <w:r>
        <w:rPr>
          <w:rFonts w:hint="eastAsia"/>
        </w:rPr>
        <w:t>控股股东及实际控制人情况</w:t>
      </w:r>
    </w:p>
    <w:p>
      <w:pPr>
        <w:pStyle w:val="4"/>
        <w:numPr>
          <w:ilvl w:val="0"/>
          <w:numId w:val="50"/>
        </w:numPr>
      </w:pPr>
      <w:r>
        <w:t>控股股东情况</w:t>
      </w:r>
    </w:p>
    <w:sdt>
      <w:sdtPr>
        <w:rPr>
          <w:rFonts w:ascii="宋体" w:hAnsi="宋体" w:eastAsia="宋体" w:cs="宋体"/>
          <w:b w:val="0"/>
          <w:bCs w:val="0"/>
          <w:kern w:val="0"/>
          <w:szCs w:val="24"/>
        </w:rPr>
        <w:alias w:val="模块:控股股东情况法人"/>
        <w:tag w:val="_SEC_603e90843919477b9c48becc10c16844"/>
        <w:id w:val="865723337"/>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51"/>
            </w:numPr>
          </w:pPr>
          <w:r>
            <w:t>法人</w:t>
          </w:r>
        </w:p>
        <w:sdt>
          <w:sdtPr>
            <w:alias w:val="是否适用：法人_控股股东情况[双击切换]"/>
            <w:tag w:val="_GBC_eab2d7c8478645dbae996b49d203b0d9"/>
            <w:id w:val="86572332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5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sdt>
              <w:sdtPr>
                <w:rPr>
                  <w:rFonts w:ascii="Times New Roman" w:hAnsi="Times New Roman" w:cs="Times New Roman"/>
                </w:rPr>
                <w:tag w:val="_PLD_e1d45d230e0e4c06bc451af63b51d4e2"/>
                <w:id w:val="865723330"/>
                <w:lock w:val="sdtLocked"/>
              </w:sdtPr>
              <w:sdtEndPr>
                <w:rPr>
                  <w:rFonts w:ascii="Times New Roman" w:hAnsi="Times New Roman" w:cs="Times New Roman"/>
                </w:rPr>
              </w:sdtEndPr>
              <w:sdtContent>
                <w:tc>
                  <w:tcPr>
                    <w:tcW w:w="3369" w:type="dxa"/>
                  </w:tcPr>
                  <w:p>
                    <w:pPr>
                      <w:widowControl w:val="0"/>
                      <w:jc w:val="both"/>
                      <w:rPr>
                        <w:rFonts w:ascii="Times New Roman" w:hAnsi="Times New Roman" w:cs="Times New Roman"/>
                        <w:szCs w:val="21"/>
                      </w:rPr>
                    </w:pPr>
                    <w:r>
                      <w:rPr>
                        <w:rFonts w:ascii="Times New Roman" w:cs="Times New Roman"/>
                        <w:szCs w:val="21"/>
                      </w:rPr>
                      <w:t>名称</w:t>
                    </w:r>
                  </w:p>
                </w:tc>
              </w:sdtContent>
            </w:sdt>
            <w:sdt>
              <w:sdtPr>
                <w:rPr>
                  <w:rFonts w:ascii="Times New Roman" w:hAnsi="Times New Roman" w:cs="Times New Roman"/>
                  <w:szCs w:val="21"/>
                </w:rPr>
                <w:alias w:val="法人控股股东名称"/>
                <w:tag w:val="_GBC_b9697fb9b1e247b58382e6e5a1fdba0f"/>
                <w:id w:val="865723331"/>
                <w:lock w:val="sdtLocked"/>
              </w:sdtPr>
              <w:sdtEndPr>
                <w:rPr>
                  <w:rFonts w:ascii="Times New Roman" w:hAnsi="Times New Roman" w:cs="Times New Roman"/>
                  <w:szCs w:val="21"/>
                </w:rPr>
              </w:sdtEndPr>
              <w:sdtContent>
                <w:tc>
                  <w:tcPr>
                    <w:tcW w:w="5680" w:type="dxa"/>
                    <w:vAlign w:val="center"/>
                  </w:tcPr>
                  <w:p>
                    <w:pPr>
                      <w:widowControl w:val="0"/>
                      <w:jc w:val="both"/>
                      <w:rPr>
                        <w:rFonts w:ascii="Times New Roman" w:hAnsi="Times New Roman" w:cs="Times New Roman"/>
                        <w:szCs w:val="21"/>
                      </w:rPr>
                    </w:pPr>
                    <w:r>
                      <w:rPr>
                        <w:rFonts w:ascii="Times New Roman" w:cs="Times New Roman"/>
                        <w:szCs w:val="21"/>
                      </w:rPr>
                      <w:t>广西柳州市产业投资发展集团有限公司</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sdt>
              <w:sdtPr>
                <w:rPr>
                  <w:rFonts w:ascii="Times New Roman" w:hAnsi="Times New Roman" w:cs="Times New Roman"/>
                </w:rPr>
                <w:tag w:val="_PLD_8136b3e11235492c8cd0111dfc8a7bd7"/>
                <w:id w:val="865723332"/>
                <w:lock w:val="sdtLocked"/>
              </w:sdtPr>
              <w:sdtEndPr>
                <w:rPr>
                  <w:rFonts w:ascii="Times New Roman" w:hAnsi="Times New Roman" w:cs="Times New Roman"/>
                </w:rPr>
              </w:sdtEndPr>
              <w:sdtContent>
                <w:tc>
                  <w:tcPr>
                    <w:tcW w:w="3369" w:type="dxa"/>
                    <w:vAlign w:val="center"/>
                  </w:tcPr>
                  <w:p>
                    <w:pPr>
                      <w:widowControl w:val="0"/>
                      <w:jc w:val="both"/>
                      <w:rPr>
                        <w:rFonts w:ascii="Times New Roman" w:hAnsi="Times New Roman" w:cs="Times New Roman"/>
                        <w:szCs w:val="21"/>
                      </w:rPr>
                    </w:pPr>
                    <w:r>
                      <w:rPr>
                        <w:rFonts w:ascii="Times New Roman" w:cs="Times New Roman"/>
                        <w:szCs w:val="21"/>
                      </w:rPr>
                      <w:t>单位负责人或法定代表人</w:t>
                    </w:r>
                  </w:p>
                </w:tc>
              </w:sdtContent>
            </w:sdt>
            <w:tc>
              <w:tcPr>
                <w:tcW w:w="5680" w:type="dxa"/>
                <w:vAlign w:val="center"/>
              </w:tcPr>
              <w:p>
                <w:pPr>
                  <w:widowControl w:val="0"/>
                  <w:jc w:val="both"/>
                  <w:rPr>
                    <w:rFonts w:ascii="Times New Roman" w:hAnsi="Times New Roman" w:cs="Times New Roman"/>
                    <w:szCs w:val="21"/>
                  </w:rPr>
                </w:pPr>
                <w:r>
                  <w:rPr>
                    <w:rFonts w:ascii="Times New Roman" w:cs="Times New Roman"/>
                  </w:rPr>
                  <w:t>黄哲毅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sdt>
              <w:sdtPr>
                <w:rPr>
                  <w:rFonts w:ascii="Times New Roman" w:hAnsi="Times New Roman" w:cs="Times New Roman"/>
                </w:rPr>
                <w:tag w:val="_PLD_1df0002b20b542f5b7092107da8156d8"/>
                <w:id w:val="865723333"/>
                <w:lock w:val="sdtLocked"/>
              </w:sdtPr>
              <w:sdtEndPr>
                <w:rPr>
                  <w:rFonts w:ascii="Times New Roman" w:hAnsi="Times New Roman" w:cs="Times New Roman"/>
                </w:rPr>
              </w:sdtEndPr>
              <w:sdtContent>
                <w:tc>
                  <w:tcPr>
                    <w:tcW w:w="3369" w:type="dxa"/>
                    <w:vAlign w:val="center"/>
                  </w:tcPr>
                  <w:p>
                    <w:pPr>
                      <w:widowControl w:val="0"/>
                      <w:jc w:val="both"/>
                      <w:rPr>
                        <w:rFonts w:ascii="Times New Roman" w:hAnsi="Times New Roman" w:cs="Times New Roman"/>
                        <w:szCs w:val="21"/>
                      </w:rPr>
                    </w:pPr>
                    <w:r>
                      <w:rPr>
                        <w:rFonts w:ascii="Times New Roman" w:cs="Times New Roman"/>
                        <w:szCs w:val="21"/>
                      </w:rPr>
                      <w:t>成立日期</w:t>
                    </w:r>
                  </w:p>
                </w:tc>
              </w:sdtContent>
            </w:sdt>
            <w:tc>
              <w:tcPr>
                <w:tcW w:w="5680" w:type="dxa"/>
                <w:vAlign w:val="center"/>
              </w:tcPr>
              <w:p>
                <w:pPr>
                  <w:widowControl w:val="0"/>
                  <w:jc w:val="both"/>
                  <w:rPr>
                    <w:rFonts w:ascii="Times New Roman" w:hAnsi="Times New Roman" w:cs="Times New Roman"/>
                    <w:szCs w:val="21"/>
                  </w:rPr>
                </w:pPr>
                <w:r>
                  <w:rPr>
                    <w:rFonts w:ascii="Times New Roman" w:hAnsi="Times New Roman" w:cs="Times New Roman"/>
                  </w:rPr>
                  <w:t>2009</w:t>
                </w:r>
                <w:r>
                  <w:rPr>
                    <w:rFonts w:ascii="Times New Roman" w:cs="Times New Roman"/>
                  </w:rPr>
                  <w:t>年</w:t>
                </w:r>
                <w:r>
                  <w:rPr>
                    <w:rFonts w:ascii="Times New Roman" w:hAnsi="Times New Roman" w:cs="Times New Roman"/>
                  </w:rPr>
                  <w:t>8</w:t>
                </w:r>
                <w:r>
                  <w:rPr>
                    <w:rFonts w:ascii="Times New Roman" w:cs="Times New Roman"/>
                  </w:rPr>
                  <w:t>月</w:t>
                </w:r>
                <w:r>
                  <w:rPr>
                    <w:rFonts w:ascii="Times New Roman" w:hAnsi="Times New Roman" w:cs="Times New Roman"/>
                  </w:rPr>
                  <w:t>28</w:t>
                </w:r>
                <w:r>
                  <w:rPr>
                    <w:rFonts w:ascii="Times New Roman" w:cs="Times New Roma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rPr>
                  <w:rFonts w:ascii="Times New Roman" w:hAnsi="Times New Roman" w:cs="Times New Roman"/>
                </w:rPr>
                <w:tag w:val="_PLD_1818a197d8b949079e4533012ebd27c1"/>
                <w:id w:val="865723334"/>
                <w:lock w:val="sdtLocked"/>
              </w:sdtPr>
              <w:sdtEndPr>
                <w:rPr>
                  <w:rFonts w:ascii="Times New Roman" w:hAnsi="Times New Roman" w:cs="Times New Roman"/>
                </w:rPr>
              </w:sdtEndPr>
              <w:sdtContent>
                <w:tc>
                  <w:tcPr>
                    <w:tcW w:w="3369" w:type="dxa"/>
                    <w:vAlign w:val="center"/>
                  </w:tcPr>
                  <w:p>
                    <w:pPr>
                      <w:widowControl w:val="0"/>
                      <w:jc w:val="both"/>
                      <w:rPr>
                        <w:rFonts w:ascii="Times New Roman" w:hAnsi="Times New Roman" w:cs="Times New Roman"/>
                        <w:szCs w:val="21"/>
                      </w:rPr>
                    </w:pPr>
                    <w:r>
                      <w:rPr>
                        <w:rFonts w:ascii="Times New Roman" w:cs="Times New Roman"/>
                        <w:szCs w:val="21"/>
                      </w:rPr>
                      <w:t>主要经营业务</w:t>
                    </w:r>
                  </w:p>
                </w:tc>
              </w:sdtContent>
            </w:sdt>
            <w:tc>
              <w:tcPr>
                <w:tcW w:w="5680" w:type="dxa"/>
                <w:vAlign w:val="center"/>
              </w:tcPr>
              <w:p>
                <w:pPr>
                  <w:widowControl w:val="0"/>
                  <w:jc w:val="both"/>
                  <w:rPr>
                    <w:rFonts w:ascii="Times New Roman" w:hAnsi="Times New Roman" w:cs="Times New Roman"/>
                    <w:szCs w:val="21"/>
                  </w:rPr>
                </w:pPr>
                <w:r>
                  <w:rPr>
                    <w:rFonts w:ascii="Times New Roman" w:cs="Times New Roman"/>
                  </w:rPr>
                  <w:t>对工业、商贸业、物流业、现代服务业、新兴产业项目的投资、建设、经营及管理；国有资本经营管理和资本化运营；投资咨询服务；资产租赁</w:t>
                </w:r>
                <w:r>
                  <w:rPr>
                    <w:rFonts w:ascii="Times New Roman" w:hAnsi="Times New Roman" w:cs="Times New Roman"/>
                  </w:rPr>
                  <w:t>;</w:t>
                </w:r>
                <w:r>
                  <w:rPr>
                    <w:rFonts w:ascii="Times New Roman" w:cs="Times New Roman"/>
                  </w:rPr>
                  <w:t>基础设施项目的投资和建设；基金投资；土地一、二级整理开发；产业园区开发及配套经营。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rPr>
                  <w:rFonts w:ascii="Times New Roman" w:hAnsi="Times New Roman" w:cs="Times New Roman"/>
                </w:rPr>
                <w:tag w:val="_PLD_493328bd6f094c40b55613b4e262be19"/>
                <w:id w:val="865723335"/>
                <w:lock w:val="sdtLocked"/>
              </w:sdtPr>
              <w:sdtEndPr>
                <w:rPr>
                  <w:rFonts w:ascii="Times New Roman" w:hAnsi="Times New Roman" w:cs="Times New Roman"/>
                </w:rPr>
              </w:sdtEndPr>
              <w:sdtContent>
                <w:tc>
                  <w:tcPr>
                    <w:tcW w:w="3369" w:type="dxa"/>
                    <w:vAlign w:val="center"/>
                  </w:tcPr>
                  <w:p>
                    <w:pPr>
                      <w:widowControl w:val="0"/>
                      <w:jc w:val="both"/>
                      <w:rPr>
                        <w:rFonts w:ascii="Times New Roman" w:hAnsi="Times New Roman" w:cs="Times New Roman"/>
                        <w:szCs w:val="21"/>
                      </w:rPr>
                    </w:pPr>
                    <w:r>
                      <w:rPr>
                        <w:rFonts w:ascii="Times New Roman" w:cs="Times New Roman"/>
                        <w:szCs w:val="21"/>
                      </w:rPr>
                      <w:t>报告期内控股和参股的其他境内外上市公司的股权情况</w:t>
                    </w:r>
                  </w:p>
                </w:tc>
              </w:sdtContent>
            </w:sdt>
            <w:tc>
              <w:tcPr>
                <w:tcW w:w="5680" w:type="dxa"/>
                <w:vAlign w:val="center"/>
              </w:tcPr>
              <w:p>
                <w:pPr>
                  <w:widowControl w:val="0"/>
                  <w:jc w:val="both"/>
                  <w:rPr>
                    <w:rFonts w:ascii="Times New Roman" w:hAnsi="Times New Roman" w:cs="Times New Roman"/>
                    <w:szCs w:val="21"/>
                  </w:rPr>
                </w:pPr>
                <w:r>
                  <w:rPr>
                    <w:rFonts w:ascii="Times New Roman"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sdt>
              <w:sdtPr>
                <w:rPr>
                  <w:rFonts w:ascii="Times New Roman" w:hAnsi="Times New Roman" w:cs="Times New Roman"/>
                </w:rPr>
                <w:tag w:val="_PLD_416c392305fd4bc8a741158a40d9ba6e"/>
                <w:id w:val="865723336"/>
                <w:lock w:val="sdtLocked"/>
              </w:sdtPr>
              <w:sdtEndPr>
                <w:rPr>
                  <w:rFonts w:ascii="Times New Roman" w:hAnsi="Times New Roman" w:cs="Times New Roman"/>
                </w:rPr>
              </w:sdtEndPr>
              <w:sdtContent>
                <w:tc>
                  <w:tcPr>
                    <w:tcW w:w="3369" w:type="dxa"/>
                    <w:vAlign w:val="center"/>
                  </w:tcPr>
                  <w:p>
                    <w:pPr>
                      <w:widowControl w:val="0"/>
                      <w:jc w:val="both"/>
                      <w:rPr>
                        <w:rFonts w:ascii="Times New Roman" w:hAnsi="Times New Roman" w:cs="Times New Roman"/>
                      </w:rPr>
                    </w:pPr>
                    <w:r>
                      <w:rPr>
                        <w:rFonts w:ascii="Times New Roman" w:cs="Times New Roman"/>
                      </w:rPr>
                      <w:t>其他情况说明</w:t>
                    </w:r>
                  </w:p>
                </w:tc>
              </w:sdtContent>
            </w:sdt>
            <w:tc>
              <w:tcPr>
                <w:tcW w:w="5680" w:type="dxa"/>
                <w:vAlign w:val="center"/>
              </w:tcPr>
              <w:p>
                <w:pPr>
                  <w:widowControl w:val="0"/>
                  <w:jc w:val="both"/>
                  <w:rPr>
                    <w:rFonts w:ascii="Times New Roman" w:hAnsi="Times New Roman" w:cs="Times New Roman"/>
                  </w:rPr>
                </w:pPr>
                <w:r>
                  <w:rPr>
                    <w:rFonts w:ascii="Times New Roman" w:cs="Times New Roman"/>
                  </w:rPr>
                  <w:t>无</w:t>
                </w:r>
              </w:p>
            </w:tc>
          </w:tr>
        </w:tbl>
        <w:p/>
        <w:p/>
      </w:sdtContent>
    </w:sdt>
    <w:sdt>
      <w:sdtPr>
        <w:rPr>
          <w:rFonts w:ascii="宋体" w:hAnsi="宋体" w:eastAsia="宋体" w:cs="宋体"/>
          <w:b w:val="0"/>
          <w:bCs w:val="0"/>
          <w:kern w:val="0"/>
          <w:szCs w:val="24"/>
        </w:rPr>
        <w:alias w:val="模块:控股股东情况自然人"/>
        <w:tag w:val="_SEC_c171a23a3658485db3b86f3cfcc2a64d"/>
        <w:id w:val="865723339"/>
        <w:lock w:val="sdtLocked"/>
        <w:placeholder>
          <w:docPart w:val="GBC22222222222222222222222222222"/>
        </w:placeholder>
      </w:sdtPr>
      <w:sdtEndPr>
        <w:rPr>
          <w:rFonts w:ascii="宋体" w:hAnsi="宋体" w:eastAsia="宋体" w:cs="宋体"/>
          <w:b w:val="0"/>
          <w:bCs w:val="0"/>
          <w:kern w:val="0"/>
          <w:szCs w:val="21"/>
        </w:rPr>
      </w:sdtEndPr>
      <w:sdtContent>
        <w:p>
          <w:pPr>
            <w:pStyle w:val="5"/>
            <w:numPr>
              <w:ilvl w:val="0"/>
              <w:numId w:val="51"/>
            </w:numPr>
          </w:pPr>
          <w:r>
            <w:t>自然人</w:t>
          </w:r>
        </w:p>
        <w:sdt>
          <w:sdtPr>
            <w:alias w:val="是否适用：自然人_控股股东情况[双击切换]"/>
            <w:tag w:val="_GBC_050e33c59070475b9b048117126cc6ba"/>
            <w:id w:val="86572333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公司不存在控股股东情况的特别说明"/>
        <w:tag w:val="_SEC_70bc1c568fef4bfc833da7470401e558"/>
        <w:id w:val="865723341"/>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0"/>
              <w:numId w:val="51"/>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865723340"/>
            <w:lock w:val="sdtLocked"/>
            <w:placeholder>
              <w:docPart w:val="GBC22222222222222222222222222222"/>
            </w:placeholder>
          </w:sdtPr>
          <w:sdtEndPr>
            <w:rPr>
              <w:rFonts w:hint="eastAsia"/>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eastAsia="宋体" w:cs="宋体"/>
          <w:b w:val="0"/>
          <w:bCs w:val="0"/>
          <w:kern w:val="0"/>
          <w:szCs w:val="24"/>
        </w:rPr>
        <w:alias w:val="模块:报告期内控股股东变更情况索引及日期"/>
        <w:tag w:val="_SEC_8c6549023dc64c378601b5bc20deede9"/>
        <w:id w:val="865723343"/>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51"/>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86572334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pStyle w:val="5"/>
        <w:numPr>
          <w:ilvl w:val="0"/>
          <w:numId w:val="51"/>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865723346"/>
        <w:lock w:val="sdtLocked"/>
        <w:placeholder>
          <w:docPart w:val="GBC22222222222222222222222222222"/>
        </w:placeholder>
      </w:sdtPr>
      <w:sdtEndPr>
        <w:rPr>
          <w:rFonts w:hint="eastAsia"/>
          <w:b w:val="0"/>
          <w:bCs w:val="0"/>
          <w:szCs w:val="21"/>
        </w:rPr>
      </w:sdtEndPr>
      <w:sdtContent>
        <w:sdt>
          <w:sdtPr>
            <w:alias w:val="是否适用：公司与控股股东之间的产权及控制关系的方框图[双击切换]"/>
            <w:tag w:val="_GBC_aa1ed4124bd443219ac5782763143cd7"/>
            <w:id w:val="1007484310"/>
            <w:lock w:val="sdtLocked"/>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icture/>
          </w:sdtPr>
          <w:sdtEndPr>
            <w:rPr>
              <w:rFonts w:hint="eastAsia"/>
              <w:szCs w:val="21"/>
            </w:rPr>
          </w:sdtEndPr>
          <w:sdtContent>
            <w:p>
              <w:pPr>
                <w:jc w:val="center"/>
                <w:rPr>
                  <w:szCs w:val="21"/>
                </w:rPr>
              </w:pPr>
              <w:r>
                <w:rPr>
                  <w:rFonts w:hint="eastAsia"/>
                  <w:szCs w:val="21"/>
                </w:rPr>
                <w:drawing>
                  <wp:inline distT="0" distB="0" distL="0" distR="0">
                    <wp:extent cx="4067810" cy="2651760"/>
                    <wp:effectExtent l="19050" t="0" r="870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cstate="print"/>
                            <a:stretch>
                              <a:fillRect/>
                            </a:stretch>
                          </pic:blipFill>
                          <pic:spPr>
                            <a:xfrm>
                              <a:off x="0" y="0"/>
                              <a:ext cx="4068000" cy="2652208"/>
                            </a:xfrm>
                            <a:prstGeom prst="rect">
                              <a:avLst/>
                            </a:prstGeom>
                            <a:noFill/>
                            <a:ln w="9525">
                              <a:noFill/>
                              <a:miter lim="800000"/>
                              <a:headEnd/>
                              <a:tailEnd/>
                            </a:ln>
                          </pic:spPr>
                        </pic:pic>
                      </a:graphicData>
                    </a:graphic>
                  </wp:inline>
                </w:drawing>
              </w:r>
            </w:p>
          </w:sdtContent>
        </w:sdt>
        <w:p>
          <w:pPr>
            <w:jc w:val="center"/>
            <w:rPr>
              <w:szCs w:val="21"/>
            </w:rPr>
          </w:pPr>
        </w:p>
      </w:sdtContent>
    </w:sdt>
    <w:p>
      <w:pPr>
        <w:rPr>
          <w:szCs w:val="21"/>
        </w:rPr>
      </w:pPr>
    </w:p>
    <w:p>
      <w:pPr>
        <w:pStyle w:val="4"/>
        <w:numPr>
          <w:ilvl w:val="0"/>
          <w:numId w:val="50"/>
        </w:numPr>
      </w:pPr>
      <w:r>
        <w:rPr>
          <w:rFonts w:hint="eastAsia"/>
        </w:rPr>
        <w:t>实际控制人情况</w:t>
      </w:r>
    </w:p>
    <w:sdt>
      <w:sdtPr>
        <w:rPr>
          <w:rFonts w:hint="eastAsia" w:ascii="宋体" w:hAnsi="宋体" w:eastAsia="宋体" w:cs="宋体"/>
          <w:b w:val="0"/>
          <w:bCs w:val="0"/>
          <w:kern w:val="0"/>
          <w:szCs w:val="24"/>
        </w:rPr>
        <w:alias w:val="模块:实际控制人情况法人"/>
        <w:tag w:val="_SEC_d1e4bdc329624f1ba319634a4fbdd195"/>
        <w:id w:val="865723355"/>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52"/>
            </w:numPr>
          </w:pPr>
          <w:r>
            <w:rPr>
              <w:rFonts w:hint="eastAsia"/>
            </w:rPr>
            <w:t>法人</w:t>
          </w:r>
        </w:p>
        <w:sdt>
          <w:sdtPr>
            <w:alias w:val="是否适用：法人_实际控制人情况[双击切换]"/>
            <w:tag w:val="_GBC_6cb3195cd6c545489bd6151d0ee57d58"/>
            <w:id w:val="86572334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4"/>
            <w:gridCol w:w="5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rPr>
                  <w:rFonts w:ascii="Times New Roman" w:hAnsi="Times New Roman" w:cs="Times New Roman"/>
                </w:rPr>
                <w:tag w:val="_PLD_9fd7942883b74d698fa4ca37d86c3d17"/>
                <w:id w:val="865723348"/>
                <w:lock w:val="sdtLocked"/>
              </w:sdtPr>
              <w:sdtEndPr>
                <w:rPr>
                  <w:rFonts w:ascii="Times New Roman" w:hAnsi="Times New Roman" w:cs="Times New Roman"/>
                </w:rPr>
              </w:sdtEndPr>
              <w:sdtContent>
                <w:tc>
                  <w:tcPr>
                    <w:tcW w:w="1881" w:type="pct"/>
                    <w:vAlign w:val="center"/>
                  </w:tcPr>
                  <w:p>
                    <w:pPr>
                      <w:widowControl w:val="0"/>
                      <w:jc w:val="both"/>
                      <w:rPr>
                        <w:rFonts w:ascii="Times New Roman" w:hAnsi="Times New Roman" w:cs="Times New Roman"/>
                        <w:szCs w:val="21"/>
                      </w:rPr>
                    </w:pPr>
                    <w:r>
                      <w:rPr>
                        <w:rFonts w:ascii="Times New Roman" w:cs="Times New Roman"/>
                        <w:szCs w:val="21"/>
                      </w:rPr>
                      <w:t>名称</w:t>
                    </w:r>
                  </w:p>
                </w:tc>
              </w:sdtContent>
            </w:sdt>
            <w:sdt>
              <w:sdtPr>
                <w:rPr>
                  <w:rFonts w:ascii="Times New Roman" w:hAnsi="Times New Roman" w:cs="Times New Roman"/>
                  <w:szCs w:val="21"/>
                </w:rPr>
                <w:alias w:val="法人实际控制人名称"/>
                <w:tag w:val="_GBC_09078fe67bb948e3b338136f227f90f6"/>
                <w:id w:val="865723349"/>
                <w:lock w:val="sdtLocked"/>
              </w:sdtPr>
              <w:sdtEndPr>
                <w:rPr>
                  <w:rFonts w:ascii="Times New Roman" w:hAnsi="Times New Roman" w:cs="Times New Roman"/>
                  <w:szCs w:val="21"/>
                </w:rPr>
              </w:sdtEndPr>
              <w:sdtContent>
                <w:tc>
                  <w:tcPr>
                    <w:tcW w:w="3119" w:type="pct"/>
                    <w:vAlign w:val="center"/>
                  </w:tcPr>
                  <w:p>
                    <w:pPr>
                      <w:widowControl w:val="0"/>
                      <w:jc w:val="both"/>
                      <w:rPr>
                        <w:rFonts w:ascii="Times New Roman" w:hAnsi="Times New Roman" w:cs="Times New Roman"/>
                        <w:szCs w:val="21"/>
                      </w:rPr>
                    </w:pPr>
                    <w:r>
                      <w:rPr>
                        <w:rFonts w:ascii="Times New Roman" w:cs="Times New Roman"/>
                        <w:szCs w:val="21"/>
                      </w:rPr>
                      <w:t>柳州市人民政府国有资产监督管理委员会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rPr>
                  <w:rFonts w:ascii="Times New Roman" w:hAnsi="Times New Roman" w:cs="Times New Roman"/>
                </w:rPr>
                <w:tag w:val="_PLD_eb915a63d3204d91b81f030e2f3db313"/>
                <w:id w:val="865723350"/>
                <w:lock w:val="sdtLocked"/>
              </w:sdtPr>
              <w:sdtEndPr>
                <w:rPr>
                  <w:rFonts w:ascii="Times New Roman" w:hAnsi="Times New Roman" w:cs="Times New Roman"/>
                </w:rPr>
              </w:sdtEndPr>
              <w:sdtContent>
                <w:tc>
                  <w:tcPr>
                    <w:tcW w:w="1881" w:type="pct"/>
                    <w:vAlign w:val="center"/>
                  </w:tcPr>
                  <w:p>
                    <w:pPr>
                      <w:widowControl w:val="0"/>
                      <w:jc w:val="both"/>
                      <w:rPr>
                        <w:rFonts w:ascii="Times New Roman" w:hAnsi="Times New Roman" w:cs="Times New Roman"/>
                        <w:szCs w:val="21"/>
                      </w:rPr>
                    </w:pPr>
                    <w:r>
                      <w:rPr>
                        <w:rFonts w:ascii="Times New Roman" w:cs="Times New Roman"/>
                        <w:szCs w:val="21"/>
                      </w:rPr>
                      <w:t>单位负责人或法定代表人</w:t>
                    </w:r>
                  </w:p>
                </w:tc>
              </w:sdtContent>
            </w:sdt>
            <w:tc>
              <w:tcPr>
                <w:tcW w:w="3119" w:type="pct"/>
                <w:vAlign w:val="center"/>
              </w:tcPr>
              <w:p>
                <w:pPr>
                  <w:widowControl w:val="0"/>
                  <w:jc w:val="both"/>
                  <w:rPr>
                    <w:rFonts w:ascii="Times New Roman" w:hAnsi="Times New Roman" w:cs="Times New Roman"/>
                    <w:szCs w:val="21"/>
                  </w:rPr>
                </w:pPr>
                <w:r>
                  <w:rPr>
                    <w:rFonts w:ascii="Times New Roman" w:cs="Times New Roman"/>
                  </w:rPr>
                  <w:t>梁洪波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rPr>
                  <w:rFonts w:ascii="Times New Roman" w:hAnsi="Times New Roman" w:cs="Times New Roman"/>
                </w:rPr>
                <w:tag w:val="_PLD_34b2bfe3972a47c7854993c382e720ec"/>
                <w:id w:val="865723351"/>
                <w:lock w:val="sdtLocked"/>
              </w:sdtPr>
              <w:sdtEndPr>
                <w:rPr>
                  <w:rFonts w:ascii="Times New Roman" w:hAnsi="Times New Roman" w:cs="Times New Roman"/>
                </w:rPr>
              </w:sdtEndPr>
              <w:sdtContent>
                <w:tc>
                  <w:tcPr>
                    <w:tcW w:w="1881" w:type="pct"/>
                    <w:vAlign w:val="center"/>
                  </w:tcPr>
                  <w:p>
                    <w:pPr>
                      <w:widowControl w:val="0"/>
                      <w:jc w:val="both"/>
                      <w:rPr>
                        <w:rFonts w:ascii="Times New Roman" w:hAnsi="Times New Roman" w:cs="Times New Roman"/>
                        <w:szCs w:val="21"/>
                      </w:rPr>
                    </w:pPr>
                    <w:r>
                      <w:rPr>
                        <w:rFonts w:ascii="Times New Roman" w:cs="Times New Roman"/>
                        <w:szCs w:val="21"/>
                      </w:rPr>
                      <w:t>成立日期</w:t>
                    </w:r>
                  </w:p>
                </w:tc>
              </w:sdtContent>
            </w:sdt>
            <w:tc>
              <w:tcPr>
                <w:tcW w:w="3119" w:type="pct"/>
                <w:vAlign w:val="center"/>
              </w:tcPr>
              <w:p>
                <w:pPr>
                  <w:widowControl w:val="0"/>
                  <w:jc w:val="both"/>
                  <w:rPr>
                    <w:rFonts w:ascii="Times New Roman" w:hAnsi="Times New Roman" w:cs="Times New Roman"/>
                    <w:szCs w:val="21"/>
                  </w:rPr>
                </w:pPr>
                <w:r>
                  <w:rPr>
                    <w:rFonts w:ascii="Times New Roman" w:hAnsi="Times New Roman" w:cs="Times New Roman"/>
                  </w:rPr>
                  <w:t>2004</w:t>
                </w:r>
                <w:r>
                  <w:rPr>
                    <w:rFonts w:ascii="Times New Roman" w:cs="Times New Roman"/>
                  </w:rPr>
                  <w:t>年</w:t>
                </w:r>
                <w:r>
                  <w:rPr>
                    <w:rFonts w:ascii="Times New Roman" w:hAnsi="Times New Roman" w:cs="Times New Roman"/>
                  </w:rPr>
                  <w:t>10</w:t>
                </w:r>
                <w:r>
                  <w:rPr>
                    <w:rFonts w:ascii="Times New Roman" w:cs="Times New Roma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ascii="Times New Roman" w:hAnsi="Times New Roman" w:cs="Times New Roman"/>
                </w:rPr>
                <w:tag w:val="_PLD_f14bbbddc27c41edaa09e694412c2d91"/>
                <w:id w:val="865723352"/>
                <w:lock w:val="sdtLocked"/>
              </w:sdtPr>
              <w:sdtEndPr>
                <w:rPr>
                  <w:rFonts w:ascii="Times New Roman" w:hAnsi="Times New Roman" w:cs="Times New Roman"/>
                </w:rPr>
              </w:sdtEndPr>
              <w:sdtContent>
                <w:tc>
                  <w:tcPr>
                    <w:tcW w:w="1881" w:type="pct"/>
                    <w:vAlign w:val="center"/>
                  </w:tcPr>
                  <w:p>
                    <w:pPr>
                      <w:widowControl w:val="0"/>
                      <w:jc w:val="both"/>
                      <w:rPr>
                        <w:rFonts w:ascii="Times New Roman" w:hAnsi="Times New Roman" w:cs="Times New Roman"/>
                        <w:szCs w:val="21"/>
                      </w:rPr>
                    </w:pPr>
                    <w:r>
                      <w:rPr>
                        <w:rFonts w:ascii="Times New Roman" w:cs="Times New Roman"/>
                        <w:szCs w:val="21"/>
                      </w:rPr>
                      <w:t>主要经营业务</w:t>
                    </w:r>
                  </w:p>
                </w:tc>
              </w:sdtContent>
            </w:sdt>
            <w:tc>
              <w:tcPr>
                <w:tcW w:w="3119" w:type="pct"/>
                <w:vAlign w:val="center"/>
              </w:tcPr>
              <w:p>
                <w:pPr>
                  <w:widowControl w:val="0"/>
                  <w:jc w:val="both"/>
                  <w:rPr>
                    <w:rFonts w:ascii="Times New Roman" w:hAnsi="Times New Roman" w:cs="Times New Roman"/>
                    <w:szCs w:val="21"/>
                  </w:rPr>
                </w:pPr>
                <w:r>
                  <w:rPr>
                    <w:rFonts w:ascii="Times New Roman" w:cs="Times New Roman"/>
                  </w:rPr>
                  <w:t>国有资产的监督和管理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rPr>
                  <w:rFonts w:ascii="Times New Roman" w:hAnsi="Times New Roman" w:cs="Times New Roman"/>
                </w:rPr>
                <w:tag w:val="_PLD_508808ae12b943d3919f955ae9103944"/>
                <w:id w:val="865723353"/>
                <w:lock w:val="sdtLocked"/>
              </w:sdtPr>
              <w:sdtEndPr>
                <w:rPr>
                  <w:rFonts w:ascii="Times New Roman" w:hAnsi="Times New Roman" w:cs="Times New Roman"/>
                </w:rPr>
              </w:sdtEndPr>
              <w:sdtContent>
                <w:tc>
                  <w:tcPr>
                    <w:tcW w:w="1881" w:type="pct"/>
                    <w:vAlign w:val="center"/>
                  </w:tcPr>
                  <w:p>
                    <w:pPr>
                      <w:widowControl w:val="0"/>
                      <w:jc w:val="both"/>
                      <w:rPr>
                        <w:rFonts w:ascii="Times New Roman" w:hAnsi="Times New Roman" w:cs="Times New Roman"/>
                        <w:szCs w:val="21"/>
                      </w:rPr>
                    </w:pPr>
                    <w:r>
                      <w:rPr>
                        <w:rFonts w:ascii="Times New Roman" w:cs="Times New Roman"/>
                        <w:szCs w:val="21"/>
                      </w:rPr>
                      <w:t>报告期内控股和参股的其他境内外上市公司的股权情况</w:t>
                    </w:r>
                  </w:p>
                </w:tc>
              </w:sdtContent>
            </w:sdt>
            <w:tc>
              <w:tcPr>
                <w:tcW w:w="3119" w:type="pct"/>
                <w:vAlign w:val="center"/>
              </w:tcPr>
              <w:p>
                <w:pPr>
                  <w:widowControl w:val="0"/>
                  <w:jc w:val="both"/>
                  <w:rPr>
                    <w:rFonts w:ascii="Times New Roman" w:hAnsi="Times New Roman" w:cs="Times New Roman"/>
                    <w:szCs w:val="21"/>
                  </w:rPr>
                </w:pPr>
                <w:r>
                  <w:rPr>
                    <w:rFonts w:ascii="Times New Roman"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rPr>
                  <w:rFonts w:ascii="Times New Roman" w:hAnsi="Times New Roman" w:cs="Times New Roman"/>
                </w:rPr>
                <w:tag w:val="_PLD_8bc4b292d2724c05b05126150845a9d5"/>
                <w:id w:val="865723354"/>
                <w:lock w:val="sdtLocked"/>
              </w:sdtPr>
              <w:sdtEndPr>
                <w:rPr>
                  <w:rFonts w:ascii="Times New Roman" w:hAnsi="Times New Roman" w:cs="Times New Roman"/>
                </w:rPr>
              </w:sdtEndPr>
              <w:sdtContent>
                <w:tc>
                  <w:tcPr>
                    <w:tcW w:w="1881" w:type="pct"/>
                    <w:vAlign w:val="center"/>
                  </w:tcPr>
                  <w:p>
                    <w:pPr>
                      <w:widowControl w:val="0"/>
                      <w:jc w:val="both"/>
                      <w:rPr>
                        <w:rFonts w:ascii="Times New Roman" w:hAnsi="Times New Roman" w:cs="Times New Roman"/>
                        <w:szCs w:val="21"/>
                      </w:rPr>
                    </w:pPr>
                    <w:r>
                      <w:rPr>
                        <w:rFonts w:ascii="Times New Roman" w:cs="Times New Roman"/>
                      </w:rPr>
                      <w:t>其他情况说明</w:t>
                    </w:r>
                  </w:p>
                </w:tc>
              </w:sdtContent>
            </w:sdt>
            <w:tc>
              <w:tcPr>
                <w:tcW w:w="3119" w:type="pct"/>
                <w:vAlign w:val="center"/>
              </w:tcPr>
              <w:p>
                <w:pPr>
                  <w:widowControl w:val="0"/>
                  <w:jc w:val="both"/>
                  <w:rPr>
                    <w:rFonts w:ascii="Times New Roman" w:hAnsi="Times New Roman" w:cs="Times New Roman"/>
                    <w:szCs w:val="21"/>
                  </w:rPr>
                </w:pPr>
                <w:r>
                  <w:rPr>
                    <w:rFonts w:ascii="Times New Roman" w:cs="Times New Roman"/>
                  </w:rPr>
                  <w:t>无</w:t>
                </w:r>
              </w:p>
            </w:tc>
          </w:tr>
        </w:tbl>
        <w:p/>
        <w:p/>
      </w:sdtContent>
    </w:sdt>
    <w:sdt>
      <w:sdtPr>
        <w:rPr>
          <w:rFonts w:hint="eastAsia" w:ascii="宋体" w:hAnsi="宋体" w:eastAsia="宋体" w:cs="宋体"/>
          <w:b w:val="0"/>
          <w:bCs w:val="0"/>
          <w:kern w:val="0"/>
          <w:szCs w:val="24"/>
        </w:rPr>
        <w:alias w:val="模块:实际控制人情况自然人"/>
        <w:tag w:val="_SEC_82a067868b0b4b5eb99879535e2300c5"/>
        <w:id w:val="865723357"/>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52"/>
            </w:numPr>
          </w:pPr>
          <w:r>
            <w:rPr>
              <w:rFonts w:hint="eastAsia"/>
            </w:rPr>
            <w:t>自然人</w:t>
          </w:r>
        </w:p>
        <w:sdt>
          <w:sdtPr>
            <w:alias w:val="是否适用：自然人_实际控制人情况[双击切换]"/>
            <w:tag w:val="_GBC_359229fa8cca4506ac3cec3de8b5e99b"/>
            <w:id w:val="865723356"/>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eastAsia="宋体" w:cs="宋体"/>
          <w:b w:val="0"/>
          <w:bCs w:val="0"/>
          <w:kern w:val="0"/>
          <w:szCs w:val="24"/>
        </w:rPr>
        <w:alias w:val="模块:公司不存在实际控制人情况的特别说明"/>
        <w:tag w:val="_SEC_5c0bf2f1ddf34e8c983cdf9fa31c1df0"/>
        <w:id w:val="865723359"/>
        <w:lock w:val="sdtLocked"/>
        <w:placeholder>
          <w:docPart w:val="GBC22222222222222222222222222222"/>
        </w:placeholder>
      </w:sdtPr>
      <w:sdtEndPr>
        <w:rPr>
          <w:rFonts w:ascii="宋体" w:hAnsi="宋体" w:eastAsia="宋体" w:cs="宋体"/>
          <w:b w:val="0"/>
          <w:bCs w:val="0"/>
          <w:kern w:val="0"/>
          <w:szCs w:val="24"/>
        </w:rPr>
      </w:sdtEndPr>
      <w:sdtContent>
        <w:p>
          <w:pPr>
            <w:pStyle w:val="5"/>
            <w:numPr>
              <w:ilvl w:val="0"/>
              <w:numId w:val="52"/>
            </w:numPr>
          </w:pPr>
          <w:r>
            <w:t>公司不存在实际控制人情况的特别说明</w:t>
          </w:r>
        </w:p>
        <w:sdt>
          <w:sdtPr>
            <w:rPr>
              <w:rFonts w:hint="eastAsia"/>
            </w:rPr>
            <w:alias w:val="是否适用：公司不存在实际控制人情况的特别说明[双击切换]"/>
            <w:tag w:val="_GBC_7380ff5e0fc6471583dc22db2252e039"/>
            <w:id w:val="865723358"/>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ascii="宋体" w:hAnsi="宋体" w:eastAsia="宋体" w:cs="宋体"/>
          <w:b w:val="0"/>
          <w:bCs w:val="0"/>
          <w:kern w:val="0"/>
          <w:szCs w:val="24"/>
        </w:rPr>
        <w:alias w:val="模块:报告期内实际控制人变更情况索引及日期"/>
        <w:tag w:val="_SEC_8e248c9fca7b490e93849e8f5dce6a71"/>
        <w:id w:val="865723361"/>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52"/>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865723360"/>
            <w:lock w:val="sdtLocked"/>
            <w:placeholder>
              <w:docPart w:val="GBC22222222222222222222222222222"/>
            </w:placeholder>
          </w:sdtPr>
          <w:sdtEndPr>
            <w:rPr>
              <w:rFonts w:hint="eastAsia"/>
            </w:rPr>
          </w:sdtEnd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5"/>
        <w:numPr>
          <w:ilvl w:val="0"/>
          <w:numId w:val="52"/>
        </w:numPr>
      </w:pPr>
      <w:r>
        <w:t>公司与实际控制人之间的产权及控制关系的方框图</w:t>
      </w:r>
    </w:p>
    <w:sdt>
      <w:sdtPr>
        <w:rPr>
          <w:b/>
          <w:bCs/>
        </w:rPr>
        <w:alias w:val="模块:公司与实际控制人之间的产权及控制关系的方框图"/>
        <w:tag w:val="_SEC_3098fbbbd09c4e7088990d33b36bcf2e"/>
        <w:id w:val="86572336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MACROBUTTON  SnrToggleCheckbox □不适用 </w:instrText>
              </w:r>
              <w:r>
                <w:rPr>
                  <w:szCs w:val="21"/>
                </w:rPr>
                <w:fldChar w:fldCharType="end"/>
              </w:r>
            </w:p>
          </w:sdtContent>
        </w:sdt>
        <w:p>
          <w:pPr>
            <w:jc w:val="center"/>
          </w:pPr>
          <w:sdt>
            <w:sdtPr>
              <w:rPr>
                <w:rFonts w:hint="eastAsia"/>
              </w:rPr>
              <w:alias w:val="图片：公司与实际控制人之间的产权及控制关系的方框图"/>
              <w:tag w:val="_GBC_538f0b25ae684717a3c8362262a5a004"/>
              <w:id w:val="-1456782853"/>
              <w:lock w:val="sdtLocked"/>
              <w:picture/>
            </w:sdtPr>
            <w:sdtEndPr>
              <w:rPr>
                <w:rFonts w:hint="eastAsia"/>
              </w:rPr>
            </w:sdtEndPr>
            <w:sdtContent>
              <w:r>
                <w:rPr>
                  <w:rFonts w:hint="eastAsia"/>
                </w:rPr>
                <w:drawing>
                  <wp:inline distT="0" distB="0" distL="0" distR="0">
                    <wp:extent cx="5086985" cy="381571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tretch>
                              <a:fillRect/>
                            </a:stretch>
                          </pic:blipFill>
                          <pic:spPr>
                            <a:xfrm>
                              <a:off x="0" y="0"/>
                              <a:ext cx="5087359" cy="3816000"/>
                            </a:xfrm>
                            <a:prstGeom prst="rect">
                              <a:avLst/>
                            </a:prstGeom>
                            <a:noFill/>
                            <a:ln>
                              <a:noFill/>
                            </a:ln>
                          </pic:spPr>
                        </pic:pic>
                      </a:graphicData>
                    </a:graphic>
                  </wp:inline>
                </w:drawing>
              </w:r>
            </w:sdtContent>
          </w:sdt>
        </w:p>
        <w:p/>
      </w:sdtContent>
    </w:sdt>
    <w:p/>
    <w:sdt>
      <w:sdtPr>
        <w:rPr>
          <w:rFonts w:ascii="宋体" w:hAnsi="宋体" w:eastAsia="宋体" w:cs="宋体"/>
          <w:b w:val="0"/>
          <w:bCs w:val="0"/>
          <w:kern w:val="0"/>
          <w:szCs w:val="24"/>
        </w:rPr>
        <w:alias w:val="模块:实际控制人通过信托或其他资产管理方式控制公司"/>
        <w:tag w:val="_SEC_d9354c7b8b8643b2a3e90cc40a27dfa8"/>
        <w:id w:val="865723366"/>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52"/>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86572336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ascii="宋体" w:hAnsi="宋体" w:cs="宋体"/>
          <w:b w:val="0"/>
          <w:bCs w:val="0"/>
          <w:kern w:val="0"/>
          <w:szCs w:val="24"/>
        </w:rPr>
        <w:alias w:val="模块:控股股东及实际控制人其他情况介绍"/>
        <w:tag w:val="_SEC_4d2866150700497eb747371eabd1ca73"/>
        <w:id w:val="865723368"/>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50"/>
            </w:numPr>
          </w:pPr>
          <w:r>
            <w:t>控股股东及实际控制人其他情况介绍</w:t>
          </w:r>
        </w:p>
        <w:sdt>
          <w:sdtPr>
            <w:rPr>
              <w:rFonts w:hint="eastAsia"/>
            </w:rPr>
            <w:alias w:val="是否适用：控股股东及实际控制人其他情况介绍[双击切换]"/>
            <w:tag w:val="_GBC_f45ea2fa04e04b71a116fba6ba3bff32"/>
            <w:id w:val="86572336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ascii="宋体" w:hAnsi="宋体" w:cs="宋体"/>
          <w:b w:val="0"/>
          <w:bCs w:val="0"/>
          <w:kern w:val="0"/>
          <w:szCs w:val="24"/>
        </w:rPr>
        <w:alias w:val="模块:公司控股股东或第一大股东及其一致行动人累计质押股份数量占其所..."/>
        <w:tag w:val="_SEC_edf66ea387584a9794efab65ab32b380"/>
        <w:id w:val="86572337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45"/>
            </w:numPr>
          </w:pPr>
          <w:bookmarkStart w:id="94" w:name="_Hlk89353035"/>
          <w:r>
            <w:t>公司控股股东或第一大股东及其一致行动人累计质押股份数量占其所持公司股份数量比例达到 80%以上</w:t>
          </w:r>
        </w:p>
        <w:sdt>
          <w:sdtPr>
            <w:rPr>
              <w:rFonts w:hint="eastAsia"/>
            </w:rPr>
            <w:alias w:val="是否适用：公司控股股东或第一大股东及其一致行动人累计质押股份数量情况明细[双击切换]"/>
            <w:tag w:val="_GBC_f07bbd5a46a94903bbea3fbbdc7b769f"/>
            <w:id w:val="86572336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pPr>
                <w:rPr>
                  <w:szCs w:val="21"/>
                </w:rPr>
              </w:pPr>
            </w:p>
          </w:sdtContent>
        </w:sdt>
      </w:sdtContent>
    </w:sdt>
    <w:bookmarkEnd w:id="94"/>
    <w:sdt>
      <w:sdtPr>
        <w:rPr>
          <w:rFonts w:ascii="宋体" w:hAnsi="宋体" w:cs="宋体"/>
          <w:b w:val="0"/>
          <w:bCs w:val="0"/>
          <w:kern w:val="0"/>
          <w:szCs w:val="24"/>
        </w:rPr>
        <w:alias w:val="模块:其他持股在百分之十以上的法人股东单位：元 币种：人民币法..."/>
        <w:tag w:val="_SEC_01bab7f76d4648508f5b4ff20d1575e4"/>
        <w:id w:val="865723372"/>
        <w:lock w:val="sdtLocked"/>
        <w:placeholder>
          <w:docPart w:val="GBC22222222222222222222222222222"/>
        </w:placeholder>
      </w:sdtPr>
      <w:sdtEndPr>
        <w:rPr>
          <w:rFonts w:hint="eastAsia" w:ascii="宋体" w:hAnsi="宋体" w:cs="宋体"/>
          <w:b w:val="0"/>
          <w:bCs w:val="0"/>
          <w:kern w:val="0"/>
          <w:szCs w:val="21"/>
        </w:rPr>
      </w:sdtEndPr>
      <w:sdtContent>
        <w:p>
          <w:pPr>
            <w:pStyle w:val="3"/>
            <w:numPr>
              <w:ilvl w:val="0"/>
              <w:numId w:val="45"/>
            </w:numPr>
          </w:pPr>
          <w:r>
            <w:rPr>
              <w:rFonts w:hint="eastAsia"/>
            </w:rPr>
            <w:t>其他持股在百分之十以上的法人股东</w:t>
          </w:r>
        </w:p>
        <w:sdt>
          <w:sdtPr>
            <w:alias w:val="是否适用：其他持股在百分之十以上的法人股东[双击切换]"/>
            <w:tag w:val="_GBC_7c5d05f2d72d4d3c9ef6e9b93777b39f"/>
            <w:id w:val="86572337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sdtContent>
        </w:sdt>
      </w:sdtContent>
    </w:sdt>
    <w:sdt>
      <w:sdtPr>
        <w:rPr>
          <w:rFonts w:hint="eastAsia" w:ascii="宋体" w:hAnsi="宋体" w:cs="宋体"/>
          <w:b w:val="0"/>
          <w:bCs w:val="0"/>
          <w:kern w:val="0"/>
          <w:szCs w:val="24"/>
        </w:rPr>
        <w:alias w:val="模块:股份限制减持情况说明"/>
        <w:tag w:val="_SEC_b808e6e3153a4b77b1658dde828b8d1f"/>
        <w:id w:val="865723374"/>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45"/>
            </w:numPr>
          </w:pPr>
          <w:r>
            <w:rPr>
              <w:rFonts w:hint="eastAsia"/>
            </w:rPr>
            <w:t>股份限制减持情况说明</w:t>
          </w:r>
        </w:p>
        <w:p>
          <w:sdt>
            <w:sdtPr>
              <w:rPr>
                <w:rFonts w:hint="eastAsia"/>
              </w:rPr>
              <w:alias w:val="是否适用：股份限制减持情况说明[双击切换]"/>
              <w:tag w:val="_GBC_38db60098ddc4e12bffd328b521e0c35"/>
              <w:id w:val="865723373"/>
              <w:lock w:val="sdtLocked"/>
              <w:placeholder>
                <w:docPart w:val="GBC22222222222222222222222222222"/>
              </w:placeholder>
            </w:sdtPr>
            <w:sdtEndPr>
              <w:rPr>
                <w:rFonts w:hint="default"/>
              </w:rPr>
            </w:sdtEnd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Content>
    </w:sdt>
    <w:p/>
    <w:sdt>
      <w:sdtPr>
        <w:rPr>
          <w:rFonts w:hint="eastAsia" w:ascii="Calibri" w:hAnsi="Calibri" w:cs="宋体"/>
          <w:b w:val="0"/>
          <w:bCs w:val="0"/>
          <w:kern w:val="0"/>
          <w:szCs w:val="22"/>
        </w:rPr>
        <w:alias w:val="模块:股份回购实施情况"/>
        <w:tag w:val="_SEC_6f21f858a57f4c2e973f75020ab20ef4"/>
        <w:id w:val="865723376"/>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45"/>
            </w:numPr>
          </w:pPr>
          <w:bookmarkStart w:id="95" w:name="_Hlk89353439"/>
          <w:bookmarkStart w:id="96" w:name="_Hlk90042255"/>
          <w:r>
            <w:rPr>
              <w:rFonts w:hint="eastAsia"/>
            </w:rPr>
            <w:t>股份回购在报告期的具体实施情况</w:t>
          </w:r>
        </w:p>
        <w:sdt>
          <w:sdtPr>
            <w:rPr>
              <w:rFonts w:hint="eastAsia"/>
            </w:rPr>
            <w:alias w:val="是否适用：股份回购在报告期的具体实施情况[双击切换]"/>
            <w:tag w:val="_GBC_382f884c74d74cfd9a74c18c52645b0e"/>
            <w:id w:val="86572337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95"/>
    <w:bookmarkEnd w:id="96"/>
    <w:p/>
    <w:p>
      <w:pPr>
        <w:pStyle w:val="2"/>
        <w:numPr>
          <w:ilvl w:val="0"/>
          <w:numId w:val="2"/>
        </w:numPr>
      </w:pPr>
      <w:bookmarkStart w:id="97" w:name="_Toc89790255"/>
      <w:bookmarkStart w:id="98" w:name="_Toc437440714"/>
      <w:bookmarkStart w:id="99" w:name="_Toc409437608"/>
      <w:r>
        <w:rPr>
          <w:rFonts w:hint="eastAsia"/>
        </w:rPr>
        <w:t>优先股相关情况</w:t>
      </w:r>
      <w:bookmarkEnd w:id="97"/>
      <w:bookmarkEnd w:id="98"/>
      <w:bookmarkEnd w:id="99"/>
    </w:p>
    <w:sdt>
      <w:sdtPr>
        <w:rPr>
          <w:szCs w:val="21"/>
        </w:rPr>
        <w:alias w:val="是否适用：优先股相关情况[双击切换]"/>
        <w:tag w:val="_GBC_0076278996ac412e9bff14977615c2e3"/>
        <w:id w:val="865723377"/>
        <w:lock w:val="sdtLocked"/>
        <w:placeholder>
          <w:docPart w:val="GBC22222222222222222222222222222"/>
        </w:placeholder>
      </w:sdtPr>
      <w:sdtEndPr>
        <w:rPr>
          <w:szCs w:val="21"/>
        </w:rPr>
      </w:sdtEndPr>
      <w:sdtContent>
        <w:p>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bookmarkStart w:id="100" w:name="_Toc342566003"/>
    </w:p>
    <w:p/>
    <w:bookmarkEnd w:id="100"/>
    <w:p>
      <w:pPr>
        <w:pStyle w:val="2"/>
        <w:numPr>
          <w:ilvl w:val="0"/>
          <w:numId w:val="2"/>
        </w:numPr>
        <w:rPr>
          <w:bCs w:val="0"/>
          <w:szCs w:val="28"/>
        </w:rPr>
      </w:pPr>
      <w:bookmarkStart w:id="101" w:name="_Toc89790256"/>
      <w:bookmarkStart w:id="102" w:name="_Toc437440717"/>
      <w:bookmarkStart w:id="103" w:name="_Hlk90555499"/>
      <w:r>
        <w:rPr>
          <w:rFonts w:hint="eastAsia"/>
          <w:bCs w:val="0"/>
          <w:szCs w:val="28"/>
        </w:rPr>
        <w:t>债券相关情况</w:t>
      </w:r>
      <w:bookmarkEnd w:id="101"/>
      <w:bookmarkEnd w:id="102"/>
    </w:p>
    <w:p>
      <w:pPr>
        <w:pStyle w:val="3"/>
        <w:numPr>
          <w:ilvl w:val="0"/>
          <w:numId w:val="53"/>
        </w:numPr>
        <w:ind w:left="425" w:hanging="425"/>
        <w:rPr>
          <w:rFonts w:ascii="宋体" w:hAnsi="宋体"/>
        </w:rPr>
      </w:pPr>
      <w:bookmarkStart w:id="104" w:name="_Hlk89353982"/>
      <w:bookmarkStart w:id="105" w:name="_Hlk89955979"/>
      <w:bookmarkStart w:id="106" w:name="_Hlk90042478"/>
      <w:r>
        <w:rPr>
          <w:rFonts w:hint="eastAsia" w:ascii="宋体" w:hAnsi="宋体"/>
        </w:rPr>
        <w:t>企业债券、公司债券和非金融企业债务融资工具</w:t>
      </w:r>
    </w:p>
    <w:sdt>
      <w:sdtPr>
        <w:rPr>
          <w:szCs w:val="21"/>
        </w:rPr>
        <w:alias w:val="是否适用：债券相关情况[双击切换]"/>
        <w:tag w:val="_GBC_804ac0b5f8c94edbbb148299204e0a43"/>
        <w:id w:val="865723378"/>
        <w:lock w:val="sdtLocked"/>
        <w:placeholder>
          <w:docPart w:val="GBC22222222222222222222222222222"/>
        </w:placeholder>
      </w:sdtPr>
      <w:sdtEndPr>
        <w:rPr>
          <w:szCs w:val="21"/>
        </w:rPr>
      </w:sdtEndPr>
      <w:sdtContent>
        <w:p>
          <w:bookmarkStart w:id="107" w:name="_Hlk73352152"/>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04"/>
    <w:bookmarkEnd w:id="107"/>
    <w:p/>
    <w:p/>
    <w:bookmarkEnd w:id="105"/>
    <w:p>
      <w:pPr>
        <w:pStyle w:val="3"/>
        <w:numPr>
          <w:ilvl w:val="0"/>
          <w:numId w:val="53"/>
        </w:numPr>
        <w:ind w:left="425" w:hanging="425"/>
        <w:rPr>
          <w:rFonts w:ascii="宋体" w:hAnsi="宋体"/>
        </w:rPr>
      </w:pPr>
      <w:r>
        <w:rPr>
          <w:rFonts w:hint="eastAsia" w:ascii="宋体" w:hAnsi="宋体"/>
        </w:rPr>
        <w:t>可转换公司债券情况</w:t>
      </w:r>
    </w:p>
    <w:sdt>
      <w:sdtPr>
        <w:rPr>
          <w:rFonts w:hint="eastAsia"/>
        </w:rPr>
        <w:alias w:val="是否适用：可转换公司债券情况[双击切换]"/>
        <w:tag w:val="_GBC_9680c57d3e6a4ee9b01aefbd4b8545db"/>
        <w:id w:val="865723379"/>
        <w:lock w:val="sdtLocked"/>
        <w:placeholder>
          <w:docPart w:val="GBC22222222222222222222222222222"/>
        </w:placeholder>
      </w:sdtPr>
      <w:sdtEndPr>
        <w:rPr>
          <w:rFonts w:hint="eastAsia"/>
        </w:rPr>
      </w:sdtEnd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03"/>
    <w:bookmarkEnd w:id="106"/>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spacing w:line="360" w:lineRule="exact"/>
        <w:ind w:right="5"/>
      </w:pPr>
    </w:p>
    <w:p>
      <w:pPr>
        <w:pStyle w:val="2"/>
        <w:numPr>
          <w:ilvl w:val="0"/>
          <w:numId w:val="2"/>
        </w:numPr>
        <w:rPr>
          <w:rFonts w:ascii="宋体" w:hAnsi="宋体" w:eastAsia="宋体"/>
          <w:bCs w:val="0"/>
          <w:szCs w:val="28"/>
        </w:rPr>
      </w:pPr>
      <w:bookmarkStart w:id="108" w:name="_Toc89790257"/>
      <w:bookmarkStart w:id="109" w:name="_Toc407111364"/>
      <w:r>
        <w:rPr>
          <w:rFonts w:ascii="宋体" w:hAnsi="宋体" w:eastAsia="宋体"/>
          <w:bCs w:val="0"/>
          <w:szCs w:val="28"/>
        </w:rPr>
        <w:t>财务报告</w:t>
      </w:r>
      <w:bookmarkEnd w:id="108"/>
      <w:bookmarkEnd w:id="109"/>
    </w:p>
    <w:sdt>
      <w:sdtPr>
        <w:rPr>
          <w:rFonts w:hint="eastAsia" w:ascii="宋体" w:hAnsi="宋体" w:cs="宋体"/>
          <w:b w:val="0"/>
          <w:bCs w:val="0"/>
          <w:kern w:val="0"/>
          <w:szCs w:val="24"/>
        </w:rPr>
        <w:alias w:val="模块:审计报告"/>
        <w:tag w:val="_GBC_3c4b7d00409449a2b71d41277e7bd042"/>
        <w:id w:val="865723382"/>
        <w:lock w:val="sdtLocked"/>
        <w:placeholder>
          <w:docPart w:val="GBC22222222222222222222222222222"/>
        </w:placeholder>
      </w:sdtPr>
      <w:sdtEndPr>
        <w:rPr>
          <w:rFonts w:hint="eastAsia" w:ascii="宋体" w:hAnsi="宋体" w:cs="宋体"/>
          <w:b w:val="0"/>
          <w:bCs w:val="0"/>
          <w:kern w:val="0"/>
          <w:szCs w:val="21"/>
        </w:rPr>
      </w:sdtEndPr>
      <w:sdtContent>
        <w:p>
          <w:pPr>
            <w:pStyle w:val="3"/>
            <w:numPr>
              <w:ilvl w:val="0"/>
              <w:numId w:val="54"/>
            </w:numPr>
            <w:rPr>
              <w:rFonts w:ascii="宋体" w:hAnsi="宋体"/>
            </w:rPr>
          </w:pPr>
          <w:r>
            <w:rPr>
              <w:rFonts w:hint="eastAsia"/>
            </w:rPr>
            <w:t>审计</w:t>
          </w:r>
          <w:r>
            <w:rPr>
              <w:rFonts w:hint="eastAsia" w:ascii="宋体" w:hAnsi="宋体"/>
            </w:rPr>
            <w:t>报告</w:t>
          </w:r>
        </w:p>
        <w:sdt>
          <w:sdtPr>
            <w:alias w:val="是否适用：审计报告[双击切换]"/>
            <w:tag w:val="_GBC_8a37b9861aa34a8d89cae86ad0133ffb"/>
            <w:id w:val="86572338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865723381"/>
            <w:lock w:val="sdtLocked"/>
            <w:placeholder>
              <w:docPart w:val="GBC22222222222222222222222222222"/>
            </w:placeholder>
          </w:sdtPr>
          <w:sdtEndPr>
            <w:rPr>
              <w:rFonts w:hint="eastAsia"/>
              <w:szCs w:val="21"/>
            </w:rPr>
          </w:sdtEndPr>
          <w:sdtContent>
            <w:p>
              <w:pPr>
                <w:widowControl w:val="0"/>
                <w:spacing w:line="480" w:lineRule="exact"/>
                <w:jc w:val="center"/>
              </w:pPr>
            </w:p>
            <w:p>
              <w:pPr>
                <w:widowControl w:val="0"/>
                <w:spacing w:line="480" w:lineRule="exact"/>
                <w:jc w:val="center"/>
                <w:rPr>
                  <w:rFonts w:asciiTheme="minorEastAsia" w:hAnsiTheme="minorEastAsia" w:eastAsiaTheme="minorEastAsia"/>
                  <w:bCs/>
                  <w:color w:val="000000"/>
                  <w:sz w:val="24"/>
                </w:rPr>
              </w:pPr>
              <w:r>
                <w:rPr>
                  <w:rFonts w:asciiTheme="minorEastAsia" w:hAnsiTheme="minorEastAsia" w:eastAsiaTheme="minorEastAsia"/>
                  <w:bCs/>
                  <w:color w:val="000000"/>
                  <w:sz w:val="24"/>
                </w:rPr>
                <w:t>审</w:t>
              </w:r>
              <w:r>
                <w:rPr>
                  <w:rFonts w:hint="eastAsia" w:asciiTheme="minorEastAsia" w:hAnsiTheme="minorEastAsia" w:eastAsiaTheme="minorEastAsia"/>
                  <w:bCs/>
                  <w:color w:val="000000"/>
                  <w:sz w:val="24"/>
                </w:rPr>
                <w:t xml:space="preserve"> </w:t>
              </w:r>
              <w:r>
                <w:rPr>
                  <w:rFonts w:asciiTheme="minorEastAsia" w:hAnsiTheme="minorEastAsia" w:eastAsiaTheme="minorEastAsia"/>
                  <w:bCs/>
                  <w:color w:val="000000"/>
                  <w:sz w:val="24"/>
                </w:rPr>
                <w:t>计</w:t>
              </w:r>
              <w:r>
                <w:rPr>
                  <w:rFonts w:hint="eastAsia" w:asciiTheme="minorEastAsia" w:hAnsiTheme="minorEastAsia" w:eastAsiaTheme="minorEastAsia"/>
                  <w:bCs/>
                  <w:color w:val="000000"/>
                  <w:sz w:val="24"/>
                </w:rPr>
                <w:t xml:space="preserve"> </w:t>
              </w:r>
              <w:r>
                <w:rPr>
                  <w:rFonts w:asciiTheme="minorEastAsia" w:hAnsiTheme="minorEastAsia" w:eastAsiaTheme="minorEastAsia"/>
                  <w:bCs/>
                  <w:color w:val="000000"/>
                  <w:sz w:val="24"/>
                </w:rPr>
                <w:t>报</w:t>
              </w:r>
              <w:r>
                <w:rPr>
                  <w:rFonts w:hint="eastAsia" w:asciiTheme="minorEastAsia" w:hAnsiTheme="minorEastAsia" w:eastAsiaTheme="minorEastAsia"/>
                  <w:bCs/>
                  <w:color w:val="000000"/>
                  <w:sz w:val="24"/>
                </w:rPr>
                <w:t xml:space="preserve"> </w:t>
              </w:r>
              <w:r>
                <w:rPr>
                  <w:rFonts w:asciiTheme="minorEastAsia" w:hAnsiTheme="minorEastAsia" w:eastAsiaTheme="minorEastAsia"/>
                  <w:bCs/>
                  <w:color w:val="000000"/>
                  <w:sz w:val="24"/>
                </w:rPr>
                <w:t>告</w:t>
              </w:r>
            </w:p>
            <w:p>
              <w:pPr>
                <w:widowControl w:val="0"/>
                <w:autoSpaceDE w:val="0"/>
                <w:snapToGrid w:val="0"/>
                <w:spacing w:line="480" w:lineRule="exact"/>
                <w:ind w:firstLine="4620" w:firstLineChars="2200"/>
                <w:jc w:val="both"/>
                <w:rPr>
                  <w:rFonts w:asciiTheme="minorEastAsia" w:hAnsiTheme="minorEastAsia" w:eastAsiaTheme="minorEastAsia"/>
                  <w:szCs w:val="21"/>
                </w:rPr>
              </w:pPr>
              <w:r>
                <w:rPr>
                  <w:rFonts w:asciiTheme="minorEastAsia" w:hAnsiTheme="minorEastAsia" w:eastAsiaTheme="minorEastAsia"/>
                  <w:szCs w:val="21"/>
                </w:rPr>
                <w:t>永证审</w:t>
              </w:r>
              <w:r>
                <w:rPr>
                  <w:rFonts w:ascii="Times New Roman" w:cs="Times New Roman" w:hAnsiTheme="minorEastAsia" w:eastAsiaTheme="minorEastAsia"/>
                  <w:szCs w:val="21"/>
                </w:rPr>
                <w:t>字（</w:t>
              </w:r>
              <w:r>
                <w:rPr>
                  <w:rFonts w:ascii="Times New Roman" w:hAnsi="Times New Roman" w:cs="Times New Roman" w:eastAsiaTheme="minorEastAsia"/>
                  <w:szCs w:val="21"/>
                </w:rPr>
                <w:t>2022</w:t>
              </w:r>
              <w:r>
                <w:rPr>
                  <w:rFonts w:ascii="Times New Roman" w:cs="Times New Roman" w:hAnsiTheme="minorEastAsia" w:eastAsiaTheme="minorEastAsia"/>
                  <w:szCs w:val="21"/>
                </w:rPr>
                <w:t>）第</w:t>
              </w:r>
              <w:r>
                <w:rPr>
                  <w:rFonts w:hint="eastAsia" w:ascii="Times New Roman" w:hAnsi="Times New Roman" w:cs="Times New Roman" w:eastAsiaTheme="minorEastAsia"/>
                  <w:szCs w:val="21"/>
                </w:rPr>
                <w:t>110005</w:t>
              </w:r>
              <w:r>
                <w:rPr>
                  <w:rFonts w:ascii="Times New Roman" w:cs="Times New Roman" w:hAnsiTheme="minorEastAsia" w:eastAsiaTheme="minorEastAsia"/>
                  <w:szCs w:val="21"/>
                </w:rPr>
                <w:t>号</w:t>
              </w:r>
              <w:r>
                <w:rPr>
                  <w:rFonts w:asciiTheme="minorEastAsia" w:hAnsiTheme="minorEastAsia" w:eastAsiaTheme="minorEastAsia"/>
                  <w:szCs w:val="21"/>
                </w:rPr>
                <w:t> </w:t>
              </w:r>
            </w:p>
            <w:p>
              <w:pPr>
                <w:widowControl w:val="0"/>
                <w:adjustRightInd w:val="0"/>
                <w:snapToGrid w:val="0"/>
                <w:spacing w:line="420" w:lineRule="exact"/>
                <w:rPr>
                  <w:rFonts w:cs="Times New Roman"/>
                  <w:b/>
                  <w:kern w:val="2"/>
                  <w:szCs w:val="21"/>
                </w:rPr>
              </w:pPr>
              <w:r>
                <w:rPr>
                  <w:rFonts w:cs="Times New Roman"/>
                  <w:b/>
                  <w:kern w:val="2"/>
                  <w:szCs w:val="21"/>
                </w:rPr>
                <w:t>柳州两面针股份有限公司全体股东：</w:t>
              </w:r>
            </w:p>
            <w:p>
              <w:pPr>
                <w:widowControl w:val="0"/>
                <w:numPr>
                  <w:ilvl w:val="0"/>
                  <w:numId w:val="55"/>
                </w:numPr>
                <w:autoSpaceDE w:val="0"/>
                <w:snapToGrid w:val="0"/>
                <w:spacing w:line="420" w:lineRule="exact"/>
                <w:ind w:left="0" w:firstLine="422" w:firstLineChars="200"/>
                <w:jc w:val="both"/>
                <w:outlineLvl w:val="1"/>
                <w:rPr>
                  <w:rFonts w:ascii="Times New Roman" w:hAnsi="Times New Roman" w:cs="Times New Roman"/>
                  <w:b/>
                  <w:kern w:val="2"/>
                  <w:szCs w:val="21"/>
                </w:rPr>
              </w:pPr>
              <w:r>
                <w:rPr>
                  <w:rFonts w:ascii="Times New Roman" w:cs="Times New Roman"/>
                  <w:b/>
                  <w:kern w:val="2"/>
                  <w:szCs w:val="21"/>
                </w:rPr>
                <w:t>审计意见</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我们审计了柳州两面针股份有限</w:t>
              </w:r>
              <w:r>
                <w:rPr>
                  <w:rFonts w:cs="Times New Roman" w:asciiTheme="minorEastAsia" w:hAnsiTheme="minorEastAsia" w:eastAsiaTheme="minorEastAsia"/>
                  <w:kern w:val="2"/>
                  <w:szCs w:val="21"/>
                </w:rPr>
                <w:t>公司</w:t>
              </w:r>
              <w:r>
                <w:rPr>
                  <w:rFonts w:hint="eastAsia" w:cs="Times New Roman" w:asciiTheme="minorEastAsia" w:hAnsiTheme="minorEastAsia" w:eastAsiaTheme="minorEastAsia"/>
                  <w:kern w:val="2"/>
                  <w:szCs w:val="21"/>
                </w:rPr>
                <w:t>（</w:t>
              </w:r>
              <w:r>
                <w:rPr>
                  <w:rFonts w:cs="Times New Roman" w:asciiTheme="minorEastAsia" w:hAnsiTheme="minorEastAsia" w:eastAsiaTheme="minorEastAsia"/>
                  <w:kern w:val="2"/>
                  <w:szCs w:val="21"/>
                </w:rPr>
                <w:t>以下简称“贵公司”)财</w:t>
              </w:r>
              <w:r>
                <w:rPr>
                  <w:rFonts w:ascii="Times New Roman" w:cs="Times New Roman"/>
                  <w:kern w:val="2"/>
                  <w:szCs w:val="21"/>
                </w:rPr>
                <w:t>务报表，包括</w:t>
              </w:r>
              <w:r>
                <w:rPr>
                  <w:rFonts w:ascii="Times New Roman" w:hAnsi="Times New Roman" w:cs="Times New Roman"/>
                  <w:kern w:val="2"/>
                  <w:szCs w:val="21"/>
                </w:rPr>
                <w:t>2021</w:t>
              </w:r>
              <w:r>
                <w:rPr>
                  <w:rFonts w:ascii="Times New Roman" w:cs="Times New Roman"/>
                  <w:kern w:val="2"/>
                  <w:szCs w:val="21"/>
                </w:rPr>
                <w:t>年</w:t>
              </w:r>
              <w:r>
                <w:rPr>
                  <w:rFonts w:ascii="Times New Roman" w:hAnsi="Times New Roman" w:cs="Times New Roman"/>
                  <w:kern w:val="2"/>
                  <w:szCs w:val="21"/>
                </w:rPr>
                <w:t>12</w:t>
              </w:r>
              <w:r>
                <w:rPr>
                  <w:rFonts w:ascii="Times New Roman" w:cs="Times New Roman"/>
                  <w:kern w:val="2"/>
                  <w:szCs w:val="21"/>
                </w:rPr>
                <w:t>月</w:t>
              </w:r>
              <w:r>
                <w:rPr>
                  <w:rFonts w:ascii="Times New Roman" w:hAnsi="Times New Roman" w:cs="Times New Roman"/>
                  <w:kern w:val="2"/>
                  <w:szCs w:val="21"/>
                </w:rPr>
                <w:t>31</w:t>
              </w:r>
              <w:r>
                <w:rPr>
                  <w:rFonts w:ascii="Times New Roman" w:cs="Times New Roman"/>
                  <w:kern w:val="2"/>
                  <w:szCs w:val="21"/>
                </w:rPr>
                <w:t>日的合并及母公司资产负债表，</w:t>
              </w:r>
              <w:r>
                <w:rPr>
                  <w:rFonts w:ascii="Times New Roman" w:hAnsi="Times New Roman" w:cs="Times New Roman"/>
                  <w:kern w:val="2"/>
                  <w:szCs w:val="21"/>
                </w:rPr>
                <w:t>2021</w:t>
              </w:r>
              <w:r>
                <w:rPr>
                  <w:rFonts w:ascii="Times New Roman" w:cs="Times New Roman"/>
                  <w:kern w:val="2"/>
                  <w:szCs w:val="21"/>
                </w:rPr>
                <w:t>年度的合并及母公司利润表、合并及母公司现金流量表、合并及母公司所有者权益变动表以及相关财务报表附注。</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我们认为，后附的财务报表在所有重大方面按照企业会计准则的规定编制，公允反映了贵公司</w:t>
              </w:r>
              <w:r>
                <w:rPr>
                  <w:rFonts w:ascii="Times New Roman" w:hAnsi="Times New Roman" w:cs="Times New Roman"/>
                  <w:kern w:val="2"/>
                  <w:szCs w:val="21"/>
                </w:rPr>
                <w:t>2021</w:t>
              </w:r>
              <w:r>
                <w:rPr>
                  <w:rFonts w:ascii="Times New Roman" w:cs="Times New Roman"/>
                  <w:kern w:val="2"/>
                  <w:szCs w:val="21"/>
                </w:rPr>
                <w:t>年</w:t>
              </w:r>
              <w:r>
                <w:rPr>
                  <w:rFonts w:ascii="Times New Roman" w:hAnsi="Times New Roman" w:cs="Times New Roman"/>
                  <w:kern w:val="2"/>
                  <w:szCs w:val="21"/>
                </w:rPr>
                <w:t>12</w:t>
              </w:r>
              <w:r>
                <w:rPr>
                  <w:rFonts w:ascii="Times New Roman" w:cs="Times New Roman"/>
                  <w:kern w:val="2"/>
                  <w:szCs w:val="21"/>
                </w:rPr>
                <w:t>月</w:t>
              </w:r>
              <w:r>
                <w:rPr>
                  <w:rFonts w:ascii="Times New Roman" w:hAnsi="Times New Roman" w:cs="Times New Roman"/>
                  <w:kern w:val="2"/>
                  <w:szCs w:val="21"/>
                </w:rPr>
                <w:t>31</w:t>
              </w:r>
              <w:r>
                <w:rPr>
                  <w:rFonts w:ascii="Times New Roman" w:cs="Times New Roman"/>
                  <w:kern w:val="2"/>
                  <w:szCs w:val="21"/>
                </w:rPr>
                <w:t>日的合并及母公司财务状况以及</w:t>
              </w:r>
              <w:r>
                <w:rPr>
                  <w:rFonts w:ascii="Times New Roman" w:hAnsi="Times New Roman" w:cs="Times New Roman"/>
                  <w:kern w:val="2"/>
                  <w:szCs w:val="21"/>
                </w:rPr>
                <w:t>2021</w:t>
              </w:r>
              <w:r>
                <w:rPr>
                  <w:rFonts w:ascii="Times New Roman" w:cs="Times New Roman"/>
                  <w:kern w:val="2"/>
                  <w:szCs w:val="21"/>
                </w:rPr>
                <w:t>年度的合并及母公司经营成果和现金流量。</w:t>
              </w:r>
            </w:p>
            <w:p>
              <w:pPr>
                <w:widowControl w:val="0"/>
                <w:numPr>
                  <w:ilvl w:val="0"/>
                  <w:numId w:val="55"/>
                </w:numPr>
                <w:autoSpaceDE w:val="0"/>
                <w:snapToGrid w:val="0"/>
                <w:spacing w:line="420" w:lineRule="exact"/>
                <w:ind w:left="0" w:firstLine="422" w:firstLineChars="200"/>
                <w:jc w:val="both"/>
                <w:outlineLvl w:val="1"/>
                <w:rPr>
                  <w:rFonts w:ascii="Times New Roman" w:hAnsi="Times New Roman" w:cs="Times New Roman"/>
                  <w:b/>
                  <w:kern w:val="2"/>
                  <w:szCs w:val="21"/>
                </w:rPr>
              </w:pPr>
              <w:r>
                <w:rPr>
                  <w:rFonts w:ascii="Times New Roman" w:cs="Times New Roman"/>
                  <w:b/>
                  <w:kern w:val="2"/>
                  <w:szCs w:val="21"/>
                </w:rPr>
                <w:t>形成审计意见的基础</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我们按照中国注册会计师审计准则的规定执行了审计工作。审计报告的</w:t>
              </w:r>
              <w:r>
                <w:rPr>
                  <w:rFonts w:ascii="Times New Roman" w:hAnsi="Times New Roman" w:cs="Times New Roman"/>
                  <w:kern w:val="2"/>
                  <w:szCs w:val="21"/>
                </w:rPr>
                <w:t>“</w:t>
              </w:r>
              <w:r>
                <w:rPr>
                  <w:rFonts w:ascii="Times New Roman" w:cs="Times New Roman"/>
                  <w:kern w:val="2"/>
                  <w:szCs w:val="21"/>
                </w:rPr>
                <w:t>注册会计师对财务报表审计的责任</w:t>
              </w:r>
              <w:r>
                <w:rPr>
                  <w:rFonts w:ascii="Times New Roman" w:hAnsi="Times New Roman" w:cs="Times New Roman"/>
                  <w:kern w:val="2"/>
                  <w:szCs w:val="21"/>
                </w:rPr>
                <w:t>”</w:t>
              </w:r>
              <w:r>
                <w:rPr>
                  <w:rFonts w:ascii="Times New Roman" w:cs="Times New Roman"/>
                  <w:kern w:val="2"/>
                  <w:szCs w:val="21"/>
                </w:rPr>
                <w:t>部分进一步阐述了我们在这些准则下的责任。按照中国注册会计师职业道德守则，我们独立于贵公司，并履行了职业道德方面的其他责任。我们相信，我们获取的审计证据是充分、适当的，为发表审计意见提供了基础。</w:t>
              </w:r>
            </w:p>
            <w:p>
              <w:pPr>
                <w:widowControl w:val="0"/>
                <w:numPr>
                  <w:ilvl w:val="0"/>
                  <w:numId w:val="55"/>
                </w:numPr>
                <w:autoSpaceDE w:val="0"/>
                <w:snapToGrid w:val="0"/>
                <w:spacing w:line="420" w:lineRule="exact"/>
                <w:ind w:left="0" w:firstLine="422" w:firstLineChars="200"/>
                <w:jc w:val="both"/>
                <w:outlineLvl w:val="1"/>
                <w:rPr>
                  <w:rFonts w:ascii="Times New Roman" w:hAnsi="Times New Roman" w:cs="Times New Roman"/>
                  <w:b/>
                  <w:kern w:val="2"/>
                  <w:szCs w:val="21"/>
                </w:rPr>
              </w:pPr>
              <w:r>
                <w:rPr>
                  <w:rFonts w:ascii="Times New Roman" w:cs="Times New Roman"/>
                  <w:b/>
                  <w:kern w:val="2"/>
                  <w:szCs w:val="21"/>
                </w:rPr>
                <w:t>关键审计事项</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关键审计事项是我们根据职业判断，认为对本期财务报表审计最为重要的事项。这些事项的应对以对财务报表整体进行审计并形成审计意见为背景，我们不对这些事项单独发表意见。</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我们确定下列事项是需要在审计报告中沟通的关键审计事项。</w:t>
              </w:r>
            </w:p>
            <w:p>
              <w:pPr>
                <w:widowControl w:val="0"/>
                <w:numPr>
                  <w:ilvl w:val="0"/>
                  <w:numId w:val="56"/>
                </w:numPr>
                <w:autoSpaceDE w:val="0"/>
                <w:snapToGrid w:val="0"/>
                <w:spacing w:line="420" w:lineRule="exact"/>
                <w:ind w:left="0" w:firstLine="420" w:firstLineChars="200"/>
                <w:jc w:val="both"/>
                <w:rPr>
                  <w:rFonts w:ascii="Times New Roman" w:hAnsi="Times New Roman" w:cs="Times New Roman"/>
                  <w:kern w:val="2"/>
                  <w:szCs w:val="21"/>
                </w:rPr>
              </w:pPr>
              <w:r>
                <w:rPr>
                  <w:rFonts w:ascii="Times New Roman" w:cs="Times New Roman"/>
                  <w:kern w:val="2"/>
                  <w:szCs w:val="21"/>
                </w:rPr>
                <w:t>营业收入的确认</w:t>
              </w:r>
            </w:p>
            <w:p>
              <w:pPr>
                <w:widowControl w:val="0"/>
                <w:numPr>
                  <w:ilvl w:val="0"/>
                  <w:numId w:val="57"/>
                </w:numPr>
                <w:autoSpaceDE w:val="0"/>
                <w:snapToGrid w:val="0"/>
                <w:spacing w:line="420" w:lineRule="exact"/>
                <w:ind w:left="0" w:firstLine="420" w:firstLineChars="200"/>
                <w:jc w:val="both"/>
                <w:rPr>
                  <w:rFonts w:ascii="Times New Roman" w:hAnsi="Times New Roman" w:cs="Times New Roman"/>
                  <w:kern w:val="2"/>
                  <w:szCs w:val="21"/>
                </w:rPr>
              </w:pPr>
              <w:r>
                <w:rPr>
                  <w:rFonts w:ascii="Times New Roman" w:cs="Times New Roman"/>
                  <w:kern w:val="2"/>
                  <w:szCs w:val="21"/>
                </w:rPr>
                <w:t>事项描述</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贵公司</w:t>
              </w:r>
              <w:r>
                <w:rPr>
                  <w:rFonts w:ascii="Times New Roman" w:hAnsi="Times New Roman" w:cs="Times New Roman"/>
                  <w:kern w:val="2"/>
                  <w:szCs w:val="21"/>
                </w:rPr>
                <w:t>2021</w:t>
              </w:r>
              <w:r>
                <w:rPr>
                  <w:rFonts w:ascii="Times New Roman" w:cs="Times New Roman"/>
                  <w:kern w:val="2"/>
                  <w:szCs w:val="21"/>
                </w:rPr>
                <w:t>年度营业收入</w:t>
              </w:r>
              <w:r>
                <w:rPr>
                  <w:rFonts w:ascii="Times New Roman" w:hAnsi="Times New Roman" w:cs="Times New Roman"/>
                  <w:kern w:val="2"/>
                  <w:szCs w:val="21"/>
                </w:rPr>
                <w:t>71,752.61</w:t>
              </w:r>
              <w:r>
                <w:rPr>
                  <w:rFonts w:ascii="Times New Roman" w:cs="Times New Roman"/>
                  <w:kern w:val="2"/>
                  <w:szCs w:val="21"/>
                </w:rPr>
                <w:t>万元，由于收入是贵公司关键业绩指标之一，其收入是否在恰当的财务报表期间确认可能存在潜在错报，故我们将贵公司收入确认识别为关键审计事项。</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关于收入的会计政策详见本报告附注四、（二十六）；关于营业收入披露详见财务报表附注六、</w:t>
              </w:r>
              <w:r>
                <w:rPr>
                  <w:rFonts w:ascii="Times New Roman" w:hAnsi="Times New Roman" w:cs="Times New Roman"/>
                  <w:kern w:val="2"/>
                  <w:szCs w:val="21"/>
                </w:rPr>
                <w:t>40</w:t>
              </w:r>
              <w:r>
                <w:rPr>
                  <w:rFonts w:ascii="Times New Roman" w:cs="Times New Roman"/>
                  <w:kern w:val="2"/>
                  <w:szCs w:val="21"/>
                </w:rPr>
                <w:t>。</w:t>
              </w:r>
            </w:p>
            <w:p>
              <w:pPr>
                <w:widowControl w:val="0"/>
                <w:numPr>
                  <w:ilvl w:val="0"/>
                  <w:numId w:val="57"/>
                </w:numPr>
                <w:autoSpaceDE w:val="0"/>
                <w:snapToGrid w:val="0"/>
                <w:spacing w:line="420" w:lineRule="exact"/>
                <w:ind w:left="0" w:firstLine="420" w:firstLineChars="200"/>
                <w:jc w:val="both"/>
                <w:rPr>
                  <w:rFonts w:ascii="Times New Roman" w:hAnsi="Times New Roman" w:cs="Times New Roman"/>
                  <w:kern w:val="2"/>
                  <w:szCs w:val="21"/>
                </w:rPr>
              </w:pPr>
              <w:r>
                <w:rPr>
                  <w:rFonts w:ascii="Times New Roman" w:cs="Times New Roman"/>
                  <w:kern w:val="2"/>
                  <w:szCs w:val="21"/>
                </w:rPr>
                <w:t>审计应对</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我们对于营业收入所实施的重要审计程序包括：</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我们与贵公司管理层沟通，了解行业政策、市场环境以及公司营销政策变革对公司业绩的影响，评估销售业绩的合理性；我们了解及评价与收入确认事项有关的内部控制设计的有效性，并测试了关键控制执行的有效性；选取样本，执行交易详细测试，并检查销售合同，识别与商品控制权的转移相关的合同条款与条件，评价收入确认时点是否符合企业会计准则的要求；对销售收入和成本执行分析程序并与上期同类指标进行比较，识别和调查异常波动；对营业收入执行截止性测试，确认收入确认是否记录在正确的会计期间；结合应收账款函证程序，并抽查收入确认的相关单据，检查已确认收入的真实性。</w:t>
              </w:r>
            </w:p>
            <w:p>
              <w:pPr>
                <w:widowControl w:val="0"/>
                <w:numPr>
                  <w:ilvl w:val="0"/>
                  <w:numId w:val="55"/>
                </w:numPr>
                <w:autoSpaceDE w:val="0"/>
                <w:snapToGrid w:val="0"/>
                <w:spacing w:line="420" w:lineRule="exact"/>
                <w:ind w:left="0" w:firstLine="422" w:firstLineChars="200"/>
                <w:jc w:val="both"/>
                <w:outlineLvl w:val="1"/>
                <w:rPr>
                  <w:rFonts w:ascii="Times New Roman" w:hAnsi="Times New Roman" w:cs="Times New Roman"/>
                  <w:b/>
                  <w:kern w:val="2"/>
                  <w:szCs w:val="21"/>
                </w:rPr>
              </w:pPr>
              <w:r>
                <w:rPr>
                  <w:rFonts w:ascii="Times New Roman" w:cs="Times New Roman"/>
                  <w:b/>
                  <w:kern w:val="2"/>
                  <w:szCs w:val="21"/>
                </w:rPr>
                <w:t>其他信息</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贵公司管理层对其他信息负责。其他信息包括</w:t>
              </w:r>
              <w:r>
                <w:rPr>
                  <w:rFonts w:ascii="Times New Roman" w:hAnsi="Times New Roman" w:cs="Times New Roman"/>
                  <w:kern w:val="2"/>
                  <w:szCs w:val="21"/>
                </w:rPr>
                <w:t>2021</w:t>
              </w:r>
              <w:r>
                <w:rPr>
                  <w:rFonts w:ascii="Times New Roman" w:cs="Times New Roman"/>
                  <w:kern w:val="2"/>
                  <w:szCs w:val="21"/>
                </w:rPr>
                <w:t>年年度报告中涵盖的信息，但不包括财务报表和我们的审计报告。</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我们对财务报表发表的审计意见不涵盖其他信息，我们也不对其他信息发表任何形式的鉴证结论。</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结合我们对财务报表的审计，我们的责任是阅读其他信息，在此过程中，考虑其他信息是否与财务报表或我们在审计过程中了解的情况存在重大不一致或者似乎存在重大错报。</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基于我们已执行的工作，如果我们确定其他信息存在重大错报，我们应当报告该事实。在这方面，我们无任何事项需要报告。</w:t>
              </w:r>
            </w:p>
            <w:p>
              <w:pPr>
                <w:widowControl w:val="0"/>
                <w:numPr>
                  <w:ilvl w:val="0"/>
                  <w:numId w:val="55"/>
                </w:numPr>
                <w:autoSpaceDE w:val="0"/>
                <w:snapToGrid w:val="0"/>
                <w:spacing w:line="420" w:lineRule="exact"/>
                <w:ind w:left="0" w:firstLine="422" w:firstLineChars="200"/>
                <w:jc w:val="both"/>
                <w:outlineLvl w:val="1"/>
                <w:rPr>
                  <w:rFonts w:ascii="Times New Roman" w:hAnsi="Times New Roman" w:cs="Times New Roman"/>
                  <w:b/>
                  <w:kern w:val="2"/>
                  <w:szCs w:val="21"/>
                </w:rPr>
              </w:pPr>
              <w:r>
                <w:rPr>
                  <w:rFonts w:ascii="Times New Roman" w:cs="Times New Roman"/>
                  <w:b/>
                  <w:kern w:val="2"/>
                  <w:szCs w:val="21"/>
                </w:rPr>
                <w:t>管理层和治理层对财务报表的责任</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贵公司管理层负责按照企业会计准则的规定编制财务报表，使其实现公允反映，并设计、执行和维护必要的内部控制，以使财务报表不存在由于舞弊或错误导致的重大错报。</w:t>
              </w:r>
            </w:p>
            <w:p>
              <w:pPr>
                <w:widowControl w:val="0"/>
                <w:autoSpaceDE w:val="0"/>
                <w:snapToGrid w:val="0"/>
                <w:spacing w:line="420" w:lineRule="exact"/>
                <w:ind w:firstLine="420" w:firstLineChars="200"/>
                <w:jc w:val="both"/>
                <w:rPr>
                  <w:rFonts w:ascii="Times New Roman" w:cs="Times New Roman"/>
                  <w:kern w:val="2"/>
                  <w:szCs w:val="21"/>
                </w:rPr>
              </w:pPr>
              <w:r>
                <w:rPr>
                  <w:rFonts w:ascii="Times New Roman" w:cs="Times New Roman"/>
                  <w:kern w:val="2"/>
                  <w:szCs w:val="21"/>
                </w:rPr>
                <w:t>在编制财务报表时，贵公司管理层负责评估贵公司的持续经营能力，披露与持续经营相关的事项（如适用），并运用持续经营假设，除非管理层计划清算贵公司、终止运营或别无其他现实的选择。</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治理层负责监督贵公司的财务报告过程。</w:t>
              </w:r>
            </w:p>
            <w:p>
              <w:pPr>
                <w:widowControl w:val="0"/>
                <w:numPr>
                  <w:ilvl w:val="0"/>
                  <w:numId w:val="55"/>
                </w:numPr>
                <w:autoSpaceDE w:val="0"/>
                <w:snapToGrid w:val="0"/>
                <w:spacing w:line="420" w:lineRule="exact"/>
                <w:ind w:left="0" w:firstLine="422" w:firstLineChars="200"/>
                <w:jc w:val="both"/>
                <w:outlineLvl w:val="1"/>
                <w:rPr>
                  <w:rFonts w:ascii="Times New Roman" w:hAnsi="Times New Roman" w:cs="Times New Roman"/>
                  <w:b/>
                  <w:kern w:val="2"/>
                  <w:szCs w:val="21"/>
                </w:rPr>
              </w:pPr>
              <w:r>
                <w:rPr>
                  <w:rFonts w:ascii="Times New Roman" w:cs="Times New Roman"/>
                  <w:b/>
                  <w:kern w:val="2"/>
                  <w:szCs w:val="21"/>
                </w:rPr>
                <w:t>注册会计师对财务报表审计的责任</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在按照审计准则执行审计工作的过程中，我们运用职业判断，并保持职业怀疑。同时，我们也执行以下工作：</w:t>
              </w:r>
            </w:p>
            <w:p>
              <w:pPr>
                <w:widowControl w:val="0"/>
                <w:numPr>
                  <w:ilvl w:val="0"/>
                  <w:numId w:val="58"/>
                </w:numPr>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pPr>
                <w:widowControl w:val="0"/>
                <w:numPr>
                  <w:ilvl w:val="0"/>
                  <w:numId w:val="58"/>
                </w:numPr>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了解与审计相关的内部控制，以设计恰当的审计程序。</w:t>
              </w:r>
            </w:p>
            <w:p>
              <w:pPr>
                <w:widowControl w:val="0"/>
                <w:numPr>
                  <w:ilvl w:val="0"/>
                  <w:numId w:val="58"/>
                </w:numPr>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评价管理层选用会计政策的恰当性和作出会计估计及相关披露的合理性。</w:t>
              </w:r>
            </w:p>
            <w:p>
              <w:pPr>
                <w:widowControl w:val="0"/>
                <w:numPr>
                  <w:ilvl w:val="0"/>
                  <w:numId w:val="58"/>
                </w:numPr>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对管理层使用持续经营假设的恰当性得出结论。同时，根据获取的审计证据，就可能导致对贵公司持续经营能力产生重大疑虑的事项或情况是否存在重大不确定性得出结论。如果我们得出结论认为存在重大不确定性，审计准则要求我们在审计报告中提请报告使用者注意财务报表中的相关披露；如果披露不充分，我们应当发表非无保留意见。我们的结论基于截至审计报告日可获得的信息。然而，未来的事项或情况可能导致贵公司不能持续经营。</w:t>
              </w:r>
            </w:p>
            <w:p>
              <w:pPr>
                <w:widowControl w:val="0"/>
                <w:numPr>
                  <w:ilvl w:val="0"/>
                  <w:numId w:val="58"/>
                </w:numPr>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评价财务报表的总体列报、结构和内容，并评价财务报表是否公允反映相关交易和事项。</w:t>
              </w:r>
            </w:p>
            <w:p>
              <w:pPr>
                <w:widowControl w:val="0"/>
                <w:numPr>
                  <w:ilvl w:val="0"/>
                  <w:numId w:val="58"/>
                </w:numPr>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就贵公司中实体或业务活动的财务信息获取充分、适当的审计证据，以对财务报表发表意见。我们负责指导、监督和执行集团审计。我们对审计意见承担全部责任。</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我们与治理层就计划的审计范围、时间安排和重大审计发现等事项进行沟通，包括沟通我们在审计中识别出的值得关注的内部控制缺陷。</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我们还就已遵守与独立性相关的职业道德要求向治理层提供声明，并与治理层沟通可能被合理认为影响我们独立性的所有关系和其他事项，以及相关的防范措施（如适用）。</w:t>
              </w:r>
            </w:p>
            <w:p>
              <w:pPr>
                <w:widowControl w:val="0"/>
                <w:autoSpaceDE w:val="0"/>
                <w:snapToGrid w:val="0"/>
                <w:spacing w:line="420" w:lineRule="exact"/>
                <w:ind w:firstLine="420" w:firstLineChars="200"/>
                <w:jc w:val="both"/>
                <w:rPr>
                  <w:rFonts w:ascii="Times New Roman" w:hAnsi="Times New Roman" w:cs="Times New Roman"/>
                  <w:kern w:val="2"/>
                  <w:szCs w:val="21"/>
                </w:rPr>
              </w:pPr>
              <w:r>
                <w:rPr>
                  <w:rFonts w:ascii="Times New Roman" w:cs="Times New Roman"/>
                  <w:kern w:val="2"/>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pPr>
                <w:widowControl w:val="0"/>
                <w:autoSpaceDE w:val="0"/>
                <w:spacing w:line="420" w:lineRule="exact"/>
                <w:ind w:firstLine="420" w:firstLineChars="200"/>
                <w:jc w:val="both"/>
                <w:rPr>
                  <w:rFonts w:cs="仿宋_GB2312" w:asciiTheme="minorEastAsia" w:hAnsiTheme="minorEastAsia" w:eastAsiaTheme="minorEastAsia"/>
                  <w:szCs w:val="21"/>
                </w:rPr>
              </w:pPr>
            </w:p>
            <w:p>
              <w:pPr>
                <w:widowControl w:val="0"/>
                <w:autoSpaceDE w:val="0"/>
                <w:spacing w:line="420" w:lineRule="exact"/>
                <w:ind w:firstLine="420" w:firstLineChars="200"/>
                <w:jc w:val="both"/>
                <w:rPr>
                  <w:rFonts w:cs="仿宋_GB2312" w:asciiTheme="minorEastAsia" w:hAnsiTheme="minorEastAsia" w:eastAsiaTheme="minorEastAsia"/>
                  <w:szCs w:val="21"/>
                </w:rPr>
              </w:pPr>
            </w:p>
            <w:p>
              <w:pPr>
                <w:tabs>
                  <w:tab w:val="left" w:pos="5103"/>
                  <w:tab w:val="left" w:pos="5245"/>
                </w:tabs>
                <w:autoSpaceDE w:val="0"/>
                <w:autoSpaceDN w:val="0"/>
                <w:adjustRightInd w:val="0"/>
                <w:spacing w:line="420" w:lineRule="exact"/>
                <w:ind w:firstLine="420" w:firstLineChars="200"/>
                <w:rPr>
                  <w:szCs w:val="21"/>
                  <w:lang w:val="zh-CN"/>
                </w:rPr>
              </w:pPr>
              <w:r>
                <w:rPr>
                  <w:rFonts w:hint="eastAsia"/>
                  <w:szCs w:val="21"/>
                  <w:lang w:val="zh-CN"/>
                </w:rPr>
                <w:t>永拓会计师事务所（特殊普通合伙）        中国注册会计师:</w:t>
              </w:r>
              <w:r>
                <w:rPr>
                  <w:rFonts w:hint="eastAsia"/>
                  <w:szCs w:val="21"/>
                </w:rPr>
                <w:t>史绍禹</w:t>
              </w:r>
            </w:p>
            <w:p>
              <w:pPr>
                <w:autoSpaceDE w:val="0"/>
                <w:autoSpaceDN w:val="0"/>
                <w:adjustRightInd w:val="0"/>
                <w:spacing w:line="420" w:lineRule="exact"/>
                <w:ind w:firstLine="4620" w:firstLineChars="2200"/>
                <w:rPr>
                  <w:szCs w:val="21"/>
                  <w:lang w:val="zh-CN"/>
                </w:rPr>
              </w:pPr>
              <w:r>
                <w:rPr>
                  <w:rFonts w:hint="eastAsia" w:ascii="Arial" w:cs="Arial"/>
                  <w:szCs w:val="21"/>
                </w:rPr>
                <w:t>（项目合伙人）</w:t>
              </w:r>
            </w:p>
            <w:p>
              <w:pPr>
                <w:autoSpaceDE w:val="0"/>
                <w:autoSpaceDN w:val="0"/>
                <w:adjustRightInd w:val="0"/>
                <w:spacing w:line="420" w:lineRule="exact"/>
                <w:ind w:firstLine="420" w:firstLineChars="200"/>
                <w:rPr>
                  <w:szCs w:val="21"/>
                  <w:lang w:val="zh-CN"/>
                </w:rPr>
              </w:pPr>
              <w:r>
                <w:rPr>
                  <w:rFonts w:hint="eastAsia"/>
                  <w:szCs w:val="21"/>
                  <w:lang w:val="zh-CN"/>
                </w:rPr>
                <w:t xml:space="preserve">                       </w:t>
              </w:r>
            </w:p>
            <w:p>
              <w:pPr>
                <w:autoSpaceDE w:val="0"/>
                <w:autoSpaceDN w:val="0"/>
                <w:adjustRightInd w:val="0"/>
                <w:spacing w:line="420" w:lineRule="exact"/>
                <w:ind w:firstLine="420" w:firstLineChars="200"/>
                <w:rPr>
                  <w:szCs w:val="21"/>
                  <w:lang w:val="zh-CN"/>
                </w:rPr>
              </w:pPr>
            </w:p>
            <w:p>
              <w:pPr>
                <w:tabs>
                  <w:tab w:val="left" w:pos="5040"/>
                </w:tabs>
                <w:autoSpaceDE w:val="0"/>
                <w:autoSpaceDN w:val="0"/>
                <w:adjustRightInd w:val="0"/>
                <w:spacing w:line="420" w:lineRule="exact"/>
                <w:ind w:firstLine="1470" w:firstLineChars="700"/>
                <w:rPr>
                  <w:szCs w:val="21"/>
                  <w:lang w:val="zh-CN"/>
                </w:rPr>
              </w:pPr>
              <w:r>
                <w:rPr>
                  <w:rFonts w:hint="eastAsia"/>
                  <w:szCs w:val="21"/>
                  <w:lang w:val="zh-CN"/>
                </w:rPr>
                <w:t>中国·北京                    中国注册会计师:</w:t>
              </w:r>
              <w:r>
                <w:rPr>
                  <w:rFonts w:hint="eastAsia"/>
                  <w:szCs w:val="21"/>
                </w:rPr>
                <w:t>杜凤利</w:t>
              </w:r>
            </w:p>
            <w:p>
              <w:pPr>
                <w:autoSpaceDE w:val="0"/>
                <w:autoSpaceDN w:val="0"/>
                <w:adjustRightInd w:val="0"/>
                <w:spacing w:line="420" w:lineRule="exact"/>
                <w:ind w:firstLine="420" w:firstLineChars="200"/>
                <w:rPr>
                  <w:szCs w:val="21"/>
                  <w:lang w:val="zh-CN"/>
                </w:rPr>
              </w:pPr>
              <w:r>
                <w:rPr>
                  <w:rFonts w:hint="eastAsia"/>
                  <w:szCs w:val="21"/>
                  <w:lang w:val="zh-CN"/>
                </w:rPr>
                <w:t xml:space="preserve">                     </w:t>
              </w:r>
            </w:p>
            <w:p>
              <w:pPr>
                <w:autoSpaceDE w:val="0"/>
                <w:autoSpaceDN w:val="0"/>
                <w:adjustRightInd w:val="0"/>
                <w:spacing w:line="420" w:lineRule="exact"/>
                <w:ind w:firstLine="420" w:firstLineChars="200"/>
                <w:rPr>
                  <w:szCs w:val="21"/>
                  <w:lang w:val="zh-CN"/>
                </w:rPr>
              </w:pPr>
            </w:p>
            <w:p>
              <w:pPr>
                <w:autoSpaceDE w:val="0"/>
                <w:autoSpaceDN w:val="0"/>
                <w:adjustRightInd w:val="0"/>
                <w:spacing w:line="420" w:lineRule="exact"/>
                <w:ind w:firstLine="420" w:firstLineChars="200"/>
                <w:jc w:val="right"/>
                <w:rPr>
                  <w:rFonts w:cs="仿宋_GB2312" w:asciiTheme="minorEastAsia" w:hAnsiTheme="minorEastAsia" w:eastAsiaTheme="minorEastAsia"/>
                  <w:szCs w:val="21"/>
                </w:rPr>
              </w:pPr>
              <w:r>
                <w:rPr>
                  <w:rFonts w:hint="eastAsia"/>
                  <w:szCs w:val="21"/>
                </w:rPr>
                <w:t>二〇二二年三月二十九日</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sdtContent>
        </w:sdt>
      </w:sdtContent>
    </w:sdt>
    <w:p>
      <w:pPr>
        <w:pStyle w:val="3"/>
        <w:numPr>
          <w:ilvl w:val="0"/>
          <w:numId w:val="54"/>
        </w:numPr>
        <w:rPr>
          <w:rFonts w:ascii="宋体" w:hAnsi="宋体"/>
        </w:rPr>
      </w:pPr>
      <w:r>
        <w:rPr>
          <w:rFonts w:hint="eastAsia" w:ascii="宋体" w:hAnsi="宋体"/>
        </w:rPr>
        <w:t>财务报表</w:t>
      </w:r>
      <w:bookmarkStart w:id="110" w:name="_Hlk24034092"/>
    </w:p>
    <w:sdt>
      <w:sdtPr>
        <w:rPr>
          <w:rFonts w:hint="eastAsia" w:ascii="宋体" w:hAnsi="宋体" w:cs="宋体"/>
          <w:b w:val="0"/>
          <w:bCs w:val="0"/>
          <w:kern w:val="0"/>
          <w:szCs w:val="24"/>
        </w:rPr>
        <w:alias w:val="选项模块:需要编制合并报表"/>
        <w:tag w:val="_SEC_cc37a84cf19b441f93487bfd1de48f00"/>
        <w:id w:val="865723588"/>
        <w:lock w:val="sdtLocked"/>
        <w:placeholder>
          <w:docPart w:val="GBC22222222222222222222222222222"/>
        </w:placeholder>
      </w:sdtPr>
      <w:sdtEndPr>
        <w:rPr>
          <w:rFonts w:hint="default" w:ascii="宋体" w:hAnsi="宋体" w:cs="宋体"/>
          <w:b w:val="0"/>
          <w:bCs w:val="0"/>
          <w:kern w:val="0"/>
          <w:szCs w:val="24"/>
        </w:rPr>
      </w:sdtEndPr>
      <w:sdtContent>
        <w:sdt>
          <w:sdtPr>
            <w:rPr>
              <w:rFonts w:hint="eastAsia" w:ascii="宋体" w:hAnsi="宋体" w:cs="宋体"/>
              <w:b w:val="0"/>
              <w:bCs w:val="0"/>
              <w:kern w:val="0"/>
              <w:szCs w:val="24"/>
            </w:rPr>
            <w:tag w:val="_SEC_da8537716f844d348642866e2e19ed15"/>
            <w:id w:val="865723494"/>
            <w:lock w:val="sdtLocked"/>
            <w:placeholder>
              <w:docPart w:val="GBC22222222222222222222222222222"/>
            </w:placeholder>
          </w:sdtPr>
          <w:sdtEndPr>
            <w:rPr>
              <w:rFonts w:hint="default" w:ascii="宋体" w:hAnsi="宋体" w:cs="宋体"/>
              <w:b w:val="0"/>
              <w:bCs w:val="0"/>
              <w:color w:val="008000"/>
              <w:kern w:val="0"/>
              <w:szCs w:val="21"/>
              <w:u w:val="single"/>
            </w:rPr>
          </w:sdtEndPr>
          <w:sdtContent>
            <w:p>
              <w:pPr>
                <w:pStyle w:val="4"/>
                <w:jc w:val="center"/>
              </w:pPr>
              <w:bookmarkEnd w:id="110"/>
              <w:r>
                <w:rPr>
                  <w:rFonts w:hint="eastAsia"/>
                </w:rPr>
                <w:t>合并资产负债表</w:t>
              </w:r>
            </w:p>
            <w:p>
              <w:pPr>
                <w:snapToGrid w:val="0"/>
                <w:spacing w:line="240" w:lineRule="atLeast"/>
                <w:jc w:val="center"/>
                <w:rPr>
                  <w:rFonts w:ascii="Times New Roman" w:hAnsi="Times New Roman" w:cs="Times New Roman"/>
                  <w:b/>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12</w:t>
              </w:r>
              <w:r>
                <w:rPr>
                  <w:rFonts w:ascii="Times New Roman" w:cs="Times New Roman"/>
                  <w:szCs w:val="21"/>
                </w:rPr>
                <w:t>月</w:t>
              </w:r>
              <w:r>
                <w:rPr>
                  <w:rFonts w:ascii="Times New Roman" w:hAnsi="Times New Roman" w:cs="Times New Roman"/>
                  <w:szCs w:val="21"/>
                </w:rPr>
                <w:t>31</w:t>
              </w:r>
              <w:r>
                <w:rPr>
                  <w:rFonts w:ascii="Times New Roman" w:cs="Times New Roman"/>
                  <w:szCs w:val="21"/>
                </w:rPr>
                <w:t>日</w:t>
              </w:r>
            </w:p>
            <w:p>
              <w:pPr>
                <w:rPr>
                  <w:szCs w:val="21"/>
                </w:rPr>
              </w:pPr>
              <w:r>
                <w:rPr>
                  <w:szCs w:val="21"/>
                </w:rPr>
                <w:t xml:space="preserve">编制单位: </w:t>
              </w:r>
              <w:sdt>
                <w:sdtPr>
                  <w:rPr>
                    <w:szCs w:val="21"/>
                  </w:rPr>
                  <w:alias w:val="公司法定中文名称"/>
                  <w:tag w:val="_GBC_22071e1c4bb04578b94539b252cb1c67"/>
                  <w:id w:val="865723383"/>
                  <w:lock w:val="sdtLocked"/>
                  <w:placeholder>
                    <w:docPart w:val="GBC22222222222222222222222222222"/>
                  </w:placeholder>
                  <w15:dataBinding w:prefixMappings="xmlns:clcid-cgi='clcid-cgi'" w:xpath="/*/clcid-cgi:GongSiFaDingZhongWenMingCheng[not(@periodRef)]" w:storeItemID="{89EBAB94-44A0-46A2-B712-30D997D04A6D}"/>
                  <w:text/>
                </w:sdtPr>
                <w:sdtEndPr>
                  <w:rPr>
                    <w:szCs w:val="21"/>
                  </w:rPr>
                </w:sdtEndPr>
                <w:sdtContent>
                  <w:r>
                    <w:rPr>
                      <w:rFonts w:hint="eastAsia"/>
                      <w:szCs w:val="21"/>
                    </w:rPr>
                    <w:t>柳州两面针股份有限公司</w:t>
                  </w:r>
                </w:sdtContent>
              </w:sdt>
            </w:p>
            <w:p>
              <w:pPr>
                <w:jc w:val="right"/>
                <w:rPr>
                  <w:szCs w:val="21"/>
                </w:rPr>
              </w:pPr>
              <w:r>
                <w:rPr>
                  <w:szCs w:val="21"/>
                </w:rPr>
                <w:t>单位:</w:t>
              </w:r>
              <w:sdt>
                <w:sdtPr>
                  <w:rPr>
                    <w:szCs w:val="21"/>
                  </w:rPr>
                  <w:alias w:val="单位：合并资产负债表"/>
                  <w:tag w:val="_GBC_8c6918f285a44e0f8fb06fefffa27df4"/>
                  <w:id w:val="865723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合并资产负债表"/>
                  <w:tag w:val="_GBC_0953b26208a64010937af0b40efed509"/>
                  <w:id w:val="865723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7"/>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4c27050653a48c5a546a57ae8416994"/>
                    <w:id w:val="86572338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b/>
                            <w:szCs w:val="21"/>
                          </w:rPr>
                        </w:pPr>
                        <w:r>
                          <w:rPr>
                            <w:rFonts w:ascii="Times New Roman" w:cs="Times New Roman"/>
                            <w:b/>
                            <w:szCs w:val="21"/>
                          </w:rPr>
                          <w:t>项目</w:t>
                        </w:r>
                      </w:p>
                    </w:tc>
                  </w:sdtContent>
                </w:sdt>
                <w:sdt>
                  <w:sdtPr>
                    <w:rPr>
                      <w:rFonts w:ascii="Times New Roman" w:hAnsi="Times New Roman" w:cs="Times New Roman"/>
                    </w:rPr>
                    <w:tag w:val="_PLD_8ac07e922cfc49539af3e18b6fb1e9ef"/>
                    <w:id w:val="865723387"/>
                    <w:lock w:val="sdtLocked"/>
                  </w:sdtPr>
                  <w:sdtEndPr>
                    <w:rPr>
                      <w:rFonts w:ascii="Times New Roman" w:hAnsi="Times New Roman" w:cs="Times New Roman"/>
                    </w:rPr>
                  </w:sdtEnd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b/>
                            <w:szCs w:val="21"/>
                          </w:rPr>
                        </w:pPr>
                        <w:r>
                          <w:rPr>
                            <w:rFonts w:ascii="Times New Roman" w:cs="Times New Roman"/>
                            <w:b/>
                            <w:szCs w:val="21"/>
                          </w:rPr>
                          <w:t>附注</w:t>
                        </w:r>
                      </w:p>
                    </w:tc>
                  </w:sdtContent>
                </w:sdt>
                <w:sdt>
                  <w:sdtPr>
                    <w:rPr>
                      <w:rFonts w:ascii="Times New Roman" w:hAnsi="Times New Roman" w:cs="Times New Roman"/>
                    </w:rPr>
                    <w:tag w:val="_PLD_6a3e769a95b74706b81a9893b779573c"/>
                    <w:id w:val="865723388"/>
                    <w:lock w:val="sdtLocked"/>
                  </w:sdtPr>
                  <w:sdtEndPr>
                    <w:rPr>
                      <w:rFonts w:ascii="Times New Roman" w:hAnsi="Times New Roman" w:cs="Times New Roman"/>
                    </w:rPr>
                  </w:sdtEnd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b/>
                            <w:szCs w:val="21"/>
                          </w:rPr>
                        </w:pPr>
                        <w:r>
                          <w:rPr>
                            <w:rFonts w:ascii="Times New Roman" w:hAnsi="Times New Roman" w:cs="Times New Roman"/>
                            <w:b/>
                          </w:rPr>
                          <w:t>2021</w:t>
                        </w:r>
                        <w:r>
                          <w:rPr>
                            <w:rFonts w:ascii="Times New Roman" w:cs="Times New Roman"/>
                            <w:b/>
                          </w:rPr>
                          <w:t>年</w:t>
                        </w:r>
                        <w:r>
                          <w:rPr>
                            <w:rFonts w:ascii="Times New Roman" w:hAnsi="Times New Roman" w:cs="Times New Roman"/>
                            <w:b/>
                          </w:rPr>
                          <w:t>12</w:t>
                        </w:r>
                        <w:r>
                          <w:rPr>
                            <w:rFonts w:ascii="Times New Roman" w:cs="Times New Roman"/>
                            <w:b/>
                          </w:rPr>
                          <w:t>月</w:t>
                        </w:r>
                        <w:r>
                          <w:rPr>
                            <w:rFonts w:ascii="Times New Roman" w:hAnsi="Times New Roman" w:cs="Times New Roman"/>
                            <w:b/>
                          </w:rPr>
                          <w:t>31</w:t>
                        </w:r>
                        <w:r>
                          <w:rPr>
                            <w:rFonts w:ascii="Times New Roman" w:cs="Times New Roman"/>
                            <w:b/>
                          </w:rPr>
                          <w:t>日</w:t>
                        </w:r>
                      </w:p>
                    </w:tc>
                  </w:sdtContent>
                </w:sdt>
                <w:sdt>
                  <w:sdtPr>
                    <w:rPr>
                      <w:rFonts w:ascii="Times New Roman" w:hAnsi="Times New Roman" w:cs="Times New Roman"/>
                    </w:rPr>
                    <w:tag w:val="_PLD_3c9a89d7045e40ff9c0f81ac747711c4"/>
                    <w:id w:val="865723389"/>
                    <w:lock w:val="sdtLocked"/>
                  </w:sdtPr>
                  <w:sdtEndPr>
                    <w:rPr>
                      <w:rFonts w:ascii="Times New Roman" w:hAnsi="Times New Roman" w:cs="Times New Roman"/>
                    </w:rPr>
                  </w:sdtEnd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b/>
                            <w:szCs w:val="21"/>
                          </w:rPr>
                        </w:pPr>
                        <w:r>
                          <w:rPr>
                            <w:rFonts w:ascii="Times New Roman" w:hAnsi="Times New Roman" w:cs="Times New Roman"/>
                            <w:b/>
                            <w:szCs w:val="21"/>
                          </w:rPr>
                          <w:t>2020</w:t>
                        </w:r>
                        <w:r>
                          <w:rPr>
                            <w:rFonts w:ascii="Times New Roman" w:cs="Times New Roman"/>
                            <w:b/>
                            <w:szCs w:val="21"/>
                          </w:rPr>
                          <w:t>年</w:t>
                        </w:r>
                        <w:r>
                          <w:rPr>
                            <w:rFonts w:ascii="Times New Roman" w:hAnsi="Times New Roman" w:cs="Times New Roman"/>
                            <w:b/>
                            <w:szCs w:val="21"/>
                          </w:rPr>
                          <w:t>12</w:t>
                        </w:r>
                        <w:r>
                          <w:rPr>
                            <w:rFonts w:ascii="Times New Roman" w:cs="Times New Roman"/>
                            <w:b/>
                            <w:szCs w:val="21"/>
                          </w:rPr>
                          <w:t>月</w:t>
                        </w:r>
                        <w:r>
                          <w:rPr>
                            <w:rFonts w:ascii="Times New Roman" w:hAnsi="Times New Roman" w:cs="Times New Roman"/>
                            <w:b/>
                            <w:szCs w:val="21"/>
                          </w:rPr>
                          <w:t>31</w:t>
                        </w:r>
                        <w:r>
                          <w:rPr>
                            <w:rFonts w:ascii="Times New Roman" w:cs="Times New Roman"/>
                            <w:b/>
                            <w:szCs w:val="21"/>
                          </w:rPr>
                          <w:t>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defc78a30fc4d35a7bb6c1f0057e4ef"/>
                    <w:id w:val="865723390"/>
                    <w:lock w:val="sdtLocked"/>
                  </w:sdtPr>
                  <w:sdtEndPr>
                    <w:rPr>
                      <w:rFonts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imes New Roman" w:hAnsi="Times New Roman" w:cs="Times New Roman"/>
                            <w:b/>
                            <w:color w:val="FF00FF"/>
                            <w:szCs w:val="21"/>
                          </w:rPr>
                        </w:pPr>
                        <w:r>
                          <w:rPr>
                            <w:rFonts w:ascii="Times New Roman" w:cs="Times New Roman"/>
                            <w:b/>
                            <w:bCs/>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896ee318f0d4038ae7d704afdab1bd7"/>
                    <w:id w:val="86572339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货币资金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1,227,128,634.00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617,613,358.89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cea0ab1c8153445f881a8334334308f5"/>
                    <w:id w:val="86572339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结算备付金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4142e49bd264c85b9d257be7a4cf7d5"/>
                    <w:id w:val="86572339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拆出资金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17de5e55066e485e9c4e733d5eeeb780"/>
                      <w:id w:val="865723394"/>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交易性金融资产</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240,812,391.20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298,973,030.20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7a1b72788b14776a6795a95670dd650"/>
                    <w:id w:val="86572339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衍生金融资产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ff51ff009ab4484837b5ff89a017e65"/>
                    <w:id w:val="86572339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应收票据</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4</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800,000.00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224,923.44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71884d4e9e948fb8c0533cd93fe1e9f"/>
                    <w:id w:val="86572339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应收账款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64,240,449.42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68,153,050.86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ea080cf4bcca410697830ad61baec86c"/>
                      <w:id w:val="865723398"/>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应收款项融资</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23,502,581.94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27,881,226.11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f805e0e851d4c00be24a5e3bbd6c95d"/>
                    <w:id w:val="86572339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预付款项</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23,431,133.63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15,866,745.25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542db73e8564906821a35717d927557"/>
                    <w:id w:val="86572340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应收保费</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2b13377caf146288de0ec6e314609c7"/>
                    <w:id w:val="86572340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应收分保账款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024b71c59334c389728af3562121f63"/>
                    <w:id w:val="86572340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应收分保合同准备金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a6f42ed03fe4478931c2375abfef317"/>
                    <w:id w:val="86572340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其他应收款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11,073,306.21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630,520,969.93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ebf851212374bfea6002e6deefdaf53"/>
                    <w:id w:val="86572340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rPr>
                          <w:t>其中：</w:t>
                        </w:r>
                        <w:r>
                          <w:rPr>
                            <w:rFonts w:ascii="Times New Roman" w:cs="Times New Roman"/>
                            <w:szCs w:val="21"/>
                          </w:rPr>
                          <w:t>应收利息</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45dd8ebc7f745cf9b0dc2fae9fb0158"/>
                    <w:id w:val="86572340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Times New Roman" w:hAnsi="Times New Roman" w:cs="Times New Roman"/>
                            <w:szCs w:val="21"/>
                          </w:rPr>
                        </w:pPr>
                        <w:r>
                          <w:rPr>
                            <w:rFonts w:ascii="Times New Roman" w:cs="Times New Roman"/>
                            <w:szCs w:val="21"/>
                          </w:rPr>
                          <w:t>应收股利</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4a0a95ddc8442a48c518189dcb959dc"/>
                    <w:id w:val="86572340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买入返售金融资产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11eafce8a8b4b829bb5d9fd8763e8c0"/>
                    <w:id w:val="86572340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存货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186,225,908.25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148,432,611.28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bab381947fbb4918babee6db5ee7b18e"/>
                      <w:id w:val="865723408"/>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合同资产</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313d066ae15403fa9120cca0f9834f9"/>
                    <w:id w:val="86572340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持有待售资产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74cfb1063754a26824ba08212c450ee"/>
                    <w:id w:val="86572341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一年内到期的非流动资产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294,820.25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de37b7e55f94bcfa535282f9ed690f7"/>
                    <w:id w:val="86572341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其他流动资产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13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5,130,370.53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4,055,699.37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ee9bdf6fbde4c15ab4aeb06594e00fa"/>
                    <w:id w:val="86572341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imes New Roman" w:hAnsi="Times New Roman" w:cs="Times New Roman"/>
                            <w:szCs w:val="21"/>
                          </w:rPr>
                        </w:pPr>
                        <w:r>
                          <w:rPr>
                            <w:rFonts w:ascii="Times New Roman" w:cs="Times New Roman"/>
                            <w:szCs w:val="21"/>
                          </w:rPr>
                          <w:t>流动资产合计</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1,782,639,595.43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1,811,721,615.33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2b86b17371840d39acb38a5d1204c0e"/>
                    <w:id w:val="865723413"/>
                    <w:lock w:val="sdtLocked"/>
                  </w:sdtPr>
                  <w:sdtEndPr>
                    <w:rPr>
                      <w:rFonts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jc w:val="both"/>
                          <w:rPr>
                            <w:rFonts w:ascii="Times New Roman" w:hAnsi="Times New Roman" w:cs="Times New Roman"/>
                            <w:color w:val="008000"/>
                            <w:szCs w:val="21"/>
                          </w:rPr>
                        </w:pPr>
                        <w:r>
                          <w:rPr>
                            <w:rFonts w:ascii="Times New Roman" w:hAnsi="Times New Roman" w:cs="Times New Roman"/>
                            <w:b/>
                            <w:bCs/>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03823fe5df94baea2b32c06ca3fd3ee"/>
                    <w:id w:val="86572341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发放贷款和垫款</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53e471a8b231495cad329af79a8abf0e"/>
                      <w:id w:val="865723415"/>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债权投资</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6ac4fd74a98640089461de9144102db1"/>
                      <w:id w:val="865723416"/>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其他债权投资</w:t>
                        </w:r>
                      </w:p>
                    </w:sdtContent>
                  </w:sdt>
                </w:tc>
                <w:tc>
                  <w:tcPr>
                    <w:tcW w:w="627" w:type="pct"/>
                    <w:tcBorders>
                      <w:top w:val="outset" w:color="auto" w:sz="6" w:space="0"/>
                      <w:left w:val="outset" w:color="auto" w:sz="6" w:space="0"/>
                      <w:bottom w:val="outset" w:color="auto" w:sz="6" w:space="0"/>
                      <w:right w:val="outset" w:color="auto" w:sz="6" w:space="0"/>
                    </w:tcBorders>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9d50dd77da0481ca3a6bea1edfe08f7"/>
                    <w:id w:val="86572341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长期应收款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16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298,992.34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1ee7ad820fe484691c36312ab8423d4"/>
                    <w:id w:val="86572341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长期股权投资</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21711fe416a947d3bfd879f92bbd63c8"/>
                      <w:id w:val="865723419"/>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其他权益工具投资</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18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292,200,000.00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292,200,000.00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e2f5ad56f7bb44dfb66955044305356a"/>
                      <w:id w:val="865723420"/>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其他非流动金融资产</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0bd7aa2b0154484a176c52e8b28b68d"/>
                    <w:id w:val="86572342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投资性房地产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22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47,860,932.10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20,948,516.79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f3f81ffe95f4aafbf92d2255b6ceb8b"/>
                    <w:id w:val="86572342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固定资产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23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297,779,212.23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323,799,087.94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4f57e09faca14ec88f570987791d9bc3"/>
                    <w:id w:val="86572342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在建工程</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24</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3,550,183.25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9,598,428.18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f2c0518e5944c9cae26ded37fc4c317"/>
                    <w:id w:val="86572342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生产性生物资产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dc2e726f8684df994e2e9e06b8e47f9"/>
                    <w:id w:val="86572342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油气资产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38357770af874aa39f708eccd1120273"/>
                      <w:id w:val="865723426"/>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使用权资产</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25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2,131,551.96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2,454,860.59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5d0e187f70641cfae1f95a4311c1c6c"/>
                    <w:id w:val="86572342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无形资产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26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77,814,567.97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81,196,236.25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721b6b206fd44cbbc38762a87e52266"/>
                    <w:id w:val="86572342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开发支出</w:t>
                        </w:r>
                      </w:p>
                    </w:tc>
                  </w:sdtContent>
                </w:sdt>
                <w:tc>
                  <w:tcPr>
                    <w:tcW w:w="627" w:type="pct"/>
                    <w:tcBorders>
                      <w:top w:val="outset" w:color="auto" w:sz="6" w:space="0"/>
                      <w:left w:val="outset" w:color="auto" w:sz="6" w:space="0"/>
                      <w:bottom w:val="outset" w:color="auto" w:sz="6" w:space="0"/>
                      <w:right w:val="outset" w:color="auto" w:sz="6" w:space="0"/>
                    </w:tcBorders>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80d441c61174a0d96f987bb33257d18"/>
                    <w:id w:val="86572342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商誉</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28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3,405,975.91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3,405,975.91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33a8bc963354f7c92d84972b26f64ff"/>
                    <w:id w:val="86572343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长期待摊费用</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29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3,076,582.57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3,310,961.45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0757f16be09b442aaa2853538ad66ce0"/>
                    <w:id w:val="86572343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递延所得税资产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30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4,651,936.90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3,850,358.71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aa90a47424e143ca86166ef1bfa147b5"/>
                    <w:id w:val="86572343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其他非流动资产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31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9,292,483.16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4,804,613.53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69a2303c50c4d78bc913bf835a532ef"/>
                    <w:id w:val="86572343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imes New Roman" w:hAnsi="Times New Roman" w:cs="Times New Roman"/>
                            <w:szCs w:val="21"/>
                          </w:rPr>
                        </w:pPr>
                        <w:r>
                          <w:rPr>
                            <w:rFonts w:ascii="Times New Roman" w:cs="Times New Roman"/>
                            <w:szCs w:val="21"/>
                          </w:rPr>
                          <w:t>非流动资产合计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742,062,418.39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745,569,039.35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4f31bab6dcc43c08c35673e62eb53a0"/>
                    <w:id w:val="86572343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imes New Roman" w:hAnsi="Times New Roman" w:cs="Times New Roman"/>
                            <w:szCs w:val="21"/>
                          </w:rPr>
                        </w:pPr>
                        <w:r>
                          <w:rPr>
                            <w:rFonts w:ascii="Times New Roman" w:cs="Times New Roman"/>
                            <w:szCs w:val="21"/>
                          </w:rPr>
                          <w:t>资产总计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2,524,702,013.82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2,557,290,654.68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7e1ad068b5b418999e5a3a4eadcffca"/>
                    <w:id w:val="865723435"/>
                    <w:lock w:val="sdtLocked"/>
                  </w:sdtPr>
                  <w:sdtEndPr>
                    <w:rPr>
                      <w:rFonts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imes New Roman" w:hAnsi="Times New Roman" w:cs="Times New Roman"/>
                            <w:color w:val="FF00FF"/>
                            <w:szCs w:val="21"/>
                          </w:rPr>
                        </w:pPr>
                        <w:r>
                          <w:rPr>
                            <w:rFonts w:ascii="Times New Roman" w:cs="Times New Roman"/>
                            <w:b/>
                            <w:bCs/>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6e26682c9b646409d91170f7cb35694"/>
                    <w:id w:val="86572343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短期借款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32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75,000,000.00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73,000,000.00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184b698a36048568cf1ddb26e250164"/>
                    <w:id w:val="86572343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向中央银行借款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7cd02d10506c49b0bff1d5725e2c79f7"/>
                    <w:id w:val="86572343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拆入资金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20a99932412f404fb54f198985ac4eeb"/>
                      <w:id w:val="865723439"/>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交易性金融负债</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4df64d30d3f45b6815c11f83d4d1485"/>
                    <w:id w:val="86572344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衍生金融负债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e70d79d4c8f4492941ccbca05364315"/>
                    <w:id w:val="86572344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应付票据</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35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5,376,546.43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16,976,065.26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a406798c512441f8081bbc5adad15b0"/>
                    <w:id w:val="86572344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应付账款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36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146,118,716.66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142,840,687.27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0eebd4b997049a6a32891dffc3c7c07"/>
                    <w:id w:val="86572344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预收款项</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686f3caf0cdc420fadd0550fed1bf110"/>
                      <w:id w:val="865723444"/>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合同负债</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35,846,125.4</w:t>
                    </w:r>
                    <w:r>
                      <w:rPr>
                        <w:rFonts w:hint="eastAsia" w:ascii="Times New Roman" w:hAnsi="Times New Roman" w:cs="Times New Roman"/>
                      </w:rPr>
                      <w:t>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59,871,086.74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30f7262e17647e18922c2ca6ae4d4b6"/>
                    <w:id w:val="86572344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卖出回购金融资产款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ef5c7b7ee6d4982a8e1a17bf247159c"/>
                    <w:id w:val="86572344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吸收存款及同业存放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f5445e6b858401896f00dfa0d0ee279"/>
                    <w:id w:val="86572344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代理买卖证券款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1b4e780d2024bd989919bd0c556bc6f"/>
                    <w:id w:val="86572344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代理承销证券款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f0acb61949f46188cd1621250f66945"/>
                    <w:id w:val="86572344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应付职工薪酬</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39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3,396,936.19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3,403,908.87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4e2bb58eb4945e09a2838c05afaaea0"/>
                    <w:id w:val="86572345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应交税费</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40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6,252,821.29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7,354,668.33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5e34a66f4155477bb455beea16030cda"/>
                    <w:id w:val="86572345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其他应付款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41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38,635,378.79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36,284,458.31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b9b2e0555564f6fba15e4c6286edf1e"/>
                    <w:id w:val="86572345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rPr>
                          <w:t>其中：</w:t>
                        </w:r>
                        <w:r>
                          <w:rPr>
                            <w:rFonts w:ascii="Times New Roman" w:cs="Times New Roman"/>
                            <w:szCs w:val="21"/>
                          </w:rPr>
                          <w:t>应付利息</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77,695.86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68c8cb21a1b4f9b8b32504007df5028"/>
                    <w:id w:val="86572345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Times New Roman" w:hAnsi="Times New Roman" w:cs="Times New Roman"/>
                            <w:szCs w:val="21"/>
                          </w:rPr>
                        </w:pPr>
                        <w:r>
                          <w:rPr>
                            <w:rFonts w:ascii="Times New Roman" w:cs="Times New Roman"/>
                            <w:szCs w:val="21"/>
                          </w:rPr>
                          <w:t>应付股利</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41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8,537,790.48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16187b0647f473fb47a3666ea3cceed"/>
                    <w:id w:val="86572345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应付手续费及佣金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4129f1e37ca4c8fba74ea927ac0be87"/>
                    <w:id w:val="86572345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应付分保账款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a3c827f0b734d9bb4cf22b55d2fa362"/>
                    <w:id w:val="86572345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持有待售负债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1edba74aa12449390568ff78312313c"/>
                    <w:id w:val="86572345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一年内到期的非流动负债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43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1,118,011.71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sz w:val="24"/>
                      </w:rPr>
                      <w:t>809,875.55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965820ab631473aa5ebd82ec06257c0"/>
                    <w:id w:val="86572345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其他流动负债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44</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19,925,716.39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24,855,919.75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b4eda37946b43ed85cf4212e7323263"/>
                    <w:id w:val="86572345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imes New Roman" w:hAnsi="Times New Roman" w:cs="Times New Roman"/>
                            <w:szCs w:val="21"/>
                          </w:rPr>
                        </w:pPr>
                        <w:r>
                          <w:rPr>
                            <w:rFonts w:ascii="Times New Roman" w:cs="Times New Roman"/>
                            <w:szCs w:val="21"/>
                          </w:rPr>
                          <w:t>流动负债合计</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331,670,252.86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365,396,670.08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6615034b106405f8ae606a6fc253d93"/>
                    <w:id w:val="865723460"/>
                    <w:lock w:val="sdtLocked"/>
                  </w:sdtPr>
                  <w:sdtEndPr>
                    <w:rPr>
                      <w:rFonts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imes New Roman" w:hAnsi="Times New Roman" w:cs="Times New Roman"/>
                            <w:color w:val="008000"/>
                            <w:szCs w:val="21"/>
                          </w:rPr>
                        </w:pPr>
                        <w:r>
                          <w:rPr>
                            <w:rFonts w:ascii="Times New Roman" w:cs="Times New Roman"/>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1ff3fc4b5da447bba0ee3a9c4e3560b"/>
                    <w:id w:val="86572346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保险合同准备金</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9fa378cbe424d86963bfebfae6af7ca"/>
                    <w:id w:val="86572346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长期借款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97225c7adbb49c0ac27be01df233432"/>
                    <w:id w:val="86572346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应付债券</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ab0b7cc40a942d38f93daa9ab5bc182"/>
                    <w:id w:val="86572346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521ffa497d704199adb8dc4c9e440e22"/>
                    <w:id w:val="86572346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Times New Roman" w:hAnsi="Times New Roman" w:cs="Times New Roman"/>
                            <w:szCs w:val="21"/>
                          </w:rPr>
                        </w:pPr>
                        <w:r>
                          <w:rPr>
                            <w:rFonts w:ascii="Times New Roman" w:cs="Times New Roman"/>
                            <w:szCs w:val="21"/>
                          </w:rPr>
                          <w:t>永续债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804d1cd618b94a1b9e24038ab1bc669c"/>
                      <w:id w:val="865723466"/>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租赁负债</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47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1,009,770.48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1,314,619.89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17050e0f26449e482f6688bc943c3f1"/>
                    <w:id w:val="86572346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长期应付款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124e46dea5d4f478a438e4a50b00767"/>
                    <w:id w:val="86572346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长期应付职工薪酬</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49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2,272,949.00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3,357,936.00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418cd929c8c492ab70b2c45072b0f6e"/>
                    <w:id w:val="86572346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预计负债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0696c03164947ed9cac3e80943ab766"/>
                    <w:id w:val="86572347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递延收益</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51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8,810,546.57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9,078,524.99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32004d6f6064c92bff394ad8787dbfd"/>
                    <w:id w:val="86572347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递延所得税负债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50,721,841.54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57,193,366.63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1166d872951497f9caa395c32bf7eb8"/>
                    <w:id w:val="86572347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其他非流动负债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9b079937912479a979530804001242e"/>
                    <w:id w:val="86572347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imes New Roman" w:hAnsi="Times New Roman" w:cs="Times New Roman"/>
                            <w:szCs w:val="21"/>
                          </w:rPr>
                        </w:pPr>
                        <w:r>
                          <w:rPr>
                            <w:rFonts w:ascii="Times New Roman" w:cs="Times New Roman"/>
                            <w:szCs w:val="21"/>
                          </w:rPr>
                          <w:t>非流动负债合计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62,815,107.59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70,944,447.51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8f8805d82ba4d8295eec1868ee7ea4d"/>
                    <w:id w:val="86572347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imes New Roman" w:hAnsi="Times New Roman" w:cs="Times New Roman"/>
                            <w:szCs w:val="21"/>
                          </w:rPr>
                        </w:pPr>
                        <w:r>
                          <w:rPr>
                            <w:rFonts w:ascii="Times New Roman" w:cs="Times New Roman"/>
                            <w:szCs w:val="21"/>
                          </w:rPr>
                          <w:t>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394,485,360.45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436,341,117.59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6760bbd367544f58c1b02c0378c7818"/>
                    <w:id w:val="865723475"/>
                    <w:lock w:val="sdtLocked"/>
                  </w:sdtPr>
                  <w:sdtEndPr>
                    <w:rPr>
                      <w:rFonts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imes New Roman" w:hAnsi="Times New Roman" w:cs="Times New Roman"/>
                            <w:color w:val="008000"/>
                            <w:szCs w:val="21"/>
                          </w:rPr>
                        </w:pPr>
                        <w:r>
                          <w:rPr>
                            <w:rFonts w:ascii="Times New Roman" w:cs="Times New Roman"/>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864d8aed0f64d4f86a89d52037e9f90"/>
                    <w:id w:val="86572347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实收资本（或股本）</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53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550,000,000.00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550,000,000.00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bea5106a9194e56b318ec175b3ffa81"/>
                    <w:id w:val="86572347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其他权益工具</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23f84dc380a424a864dca18f54d376d"/>
                    <w:id w:val="86572347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fcce399a2f04273b1adcdb9adfc3ac2"/>
                    <w:id w:val="86572347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Times New Roman" w:hAnsi="Times New Roman" w:cs="Times New Roman"/>
                            <w:szCs w:val="21"/>
                          </w:rPr>
                        </w:pPr>
                        <w:r>
                          <w:rPr>
                            <w:rFonts w:ascii="Times New Roman" w:cs="Times New Roman"/>
                            <w:szCs w:val="21"/>
                          </w:rPr>
                          <w:t>永续债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7c95fc3a8334c3b99e1cea8075fac6a"/>
                    <w:id w:val="86572348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资本公积</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55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1,184,901,870.95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1,184,901,870.95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c1ec6f9a8ab4147876925f38a9aa154"/>
                    <w:id w:val="86572348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减：库存股</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db3c1f8f254401e890823dbfecc2193"/>
                    <w:id w:val="86572348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其他综合收益</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57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-8,825,807.26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-8,825,807.26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50c68fc035f04bdc964e307d4ded9891"/>
                    <w:id w:val="86572348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专项储备</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29a3c29a76c4bb28120a6a552e95d8b"/>
                    <w:id w:val="86572348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盈余公积</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59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245,621,848.75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245,621,848.75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afeabff60a94a3f8bf81f38a8368859"/>
                    <w:id w:val="86572348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一般风险准备</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35823a69c154c548986e00c21128b2a"/>
                    <w:id w:val="86572348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未分配利润</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163,935,703.23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155,277,445.08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cce8f227af34a1dbfda2fb5d802d679"/>
                    <w:id w:val="86572348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rPr>
                          <w:t>归属于母公司所有者权益（或股东权益）合计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2,135,633,615.67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2,126,975,357.52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7002072897b4c9991009038e6641e82"/>
                    <w:id w:val="86572348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少数股东权益</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-5,416,962.30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-6,025,820.43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79f3a612002400ea0211dd732c431ae"/>
                    <w:id w:val="86572348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imes New Roman" w:hAnsi="Times New Roman" w:cs="Times New Roman"/>
                            <w:szCs w:val="21"/>
                          </w:rPr>
                        </w:pPr>
                        <w:r>
                          <w:rPr>
                            <w:rFonts w:ascii="Times New Roman" w:cs="Times New Roman"/>
                          </w:rPr>
                          <w:t>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2,130,216,653.37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2,120,949,537.09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9c0771cf74a4fb888931e0603390c8a"/>
                    <w:id w:val="86572349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imes New Roman" w:hAnsi="Times New Roman" w:cs="Times New Roman"/>
                            <w:szCs w:val="21"/>
                          </w:rPr>
                        </w:pPr>
                        <w:r>
                          <w:rPr>
                            <w:rFonts w:ascii="Times New Roman" w:cs="Times New Roman"/>
                            <w:szCs w:val="21"/>
                          </w:rPr>
                          <w:t>负债和所有者权益（或股东权益）总计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2,524,702,013.82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2,557,290,654.68</w:t>
                    </w:r>
                  </w:p>
                </w:tc>
              </w:tr>
            </w:tbl>
            <w:p/>
            <w:p>
              <w:pPr>
                <w:ind w:right="-153" w:rightChars="-7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865723491"/>
                  <w:lock w:val="sdtLocked"/>
                  <w:placeholder>
                    <w:docPart w:val="GBC22222222222222222222222222222"/>
                  </w:placeholder>
                  <w15:dataBinding w:prefixMappings="xmlns:clcid-mr='clcid-mr'" w:xpath="/*/clcid-mr:GongSiFuZeRenXingMing[not(@periodRef)]" w:storeItemID="{89EBAB94-44A0-46A2-B712-30D997D04A6D}"/>
                  <w:text/>
                </w:sdtPr>
                <w:sdtEndPr>
                  <w:rPr>
                    <w:rFonts w:hint="eastAsia"/>
                    <w:szCs w:val="21"/>
                  </w:rPr>
                </w:sdtEndPr>
                <w:sdtContent>
                  <w:r>
                    <w:rPr>
                      <w:rFonts w:hint="eastAsia"/>
                      <w:szCs w:val="21"/>
                    </w:rPr>
                    <w:t xml:space="preserve">林钻煌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865723492"/>
                  <w:lock w:val="sdtLocked"/>
                  <w:placeholder>
                    <w:docPart w:val="GBC22222222222222222222222222222"/>
                  </w:placeholder>
                  <w15: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王为民</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865723493"/>
                  <w:lock w:val="sdtLocked"/>
                  <w:placeholder>
                    <w:docPart w:val="GBC22222222222222222222222222222"/>
                  </w:placeholder>
                  <w15: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 xml:space="preserve">游发禄 </w:t>
                  </w:r>
                </w:sdtContent>
              </w:sdt>
            </w:p>
            <w:p/>
          </w:sdtContent>
        </w:sdt>
        <w:p/>
        <w:sdt>
          <w:sdtPr>
            <w:rPr>
              <w:rFonts w:hint="eastAsia" w:ascii="宋体" w:hAnsi="宋体" w:cs="宋体"/>
              <w:b w:val="0"/>
              <w:bCs w:val="0"/>
              <w:kern w:val="0"/>
              <w:szCs w:val="24"/>
            </w:rPr>
            <w:tag w:val="_SEC_d76935fe25d141cfbe5d3c4ac87a2e6b"/>
            <w:id w:val="865723587"/>
            <w:lock w:val="sdtLocked"/>
            <w:placeholder>
              <w:docPart w:val="GBC22222222222222222222222222222"/>
            </w:placeholder>
          </w:sdtPr>
          <w:sdtEndPr>
            <w:rPr>
              <w:rFonts w:hint="eastAsia" w:ascii="宋体" w:hAnsi="宋体" w:cs="宋体"/>
              <w:b w:val="0"/>
              <w:bCs w:val="0"/>
              <w:kern w:val="0"/>
              <w:szCs w:val="21"/>
            </w:rPr>
          </w:sdtEndPr>
          <w:sdtContent>
            <w:p>
              <w:pPr>
                <w:pStyle w:val="4"/>
                <w:jc w:val="center"/>
              </w:pPr>
              <w:bookmarkStart w:id="111" w:name="_Hlk24034197"/>
              <w:r>
                <w:rPr>
                  <w:rFonts w:hint="eastAsia"/>
                </w:rPr>
                <w:t>母公司</w:t>
              </w:r>
              <w:r>
                <w:t>资产负债表</w:t>
              </w:r>
            </w:p>
            <w:p>
              <w:pPr>
                <w:jc w:val="center"/>
                <w:rPr>
                  <w:rFonts w:ascii="Times New Roman" w:hAnsi="Times New Roman" w:cs="Times New Roman"/>
                  <w:b/>
                  <w:bCs/>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12</w:t>
              </w:r>
              <w:r>
                <w:rPr>
                  <w:rFonts w:ascii="Times New Roman" w:cs="Times New Roman"/>
                  <w:szCs w:val="21"/>
                </w:rPr>
                <w:t>月</w:t>
              </w:r>
              <w:r>
                <w:rPr>
                  <w:rFonts w:ascii="Times New Roman" w:hAnsi="Times New Roman" w:cs="Times New Roman"/>
                  <w:szCs w:val="21"/>
                </w:rPr>
                <w:t>31</w:t>
              </w:r>
              <w:r>
                <w:rPr>
                  <w:rFonts w:ascii="Times New Roman" w:cs="Times New Roman"/>
                  <w:szCs w:val="21"/>
                </w:rPr>
                <w:t>日</w:t>
              </w:r>
            </w:p>
            <w:p>
              <w:pPr>
                <w:rPr>
                  <w:szCs w:val="21"/>
                </w:rPr>
              </w:pPr>
              <w:r>
                <w:rPr>
                  <w:szCs w:val="21"/>
                </w:rPr>
                <w:t>编制单位:</w:t>
              </w:r>
              <w:sdt>
                <w:sdtPr>
                  <w:rPr>
                    <w:szCs w:val="21"/>
                  </w:rPr>
                  <w:alias w:val="公司法定中文名称"/>
                  <w:tag w:val="_GBC_476f9df1cf8d4d36868d3058a4da7d15"/>
                  <w:id w:val="865723495"/>
                  <w:lock w:val="sdtLocked"/>
                  <w:placeholder>
                    <w:docPart w:val="GBC22222222222222222222222222222"/>
                  </w:placeholder>
                  <w15:dataBinding w:prefixMappings="xmlns:clcid-cgi='clcid-cgi'" w:xpath="/*/clcid-cgi:GongSiFaDingZhongWenMingCheng[not(@periodRef)]" w:storeItemID="{89EBAB94-44A0-46A2-B712-30D997D04A6D}"/>
                  <w:text/>
                </w:sdtPr>
                <w:sdtEndPr>
                  <w:rPr>
                    <w:szCs w:val="21"/>
                  </w:rPr>
                </w:sdtEndPr>
                <w:sdtContent>
                  <w:r>
                    <w:rPr>
                      <w:rFonts w:hint="eastAsia"/>
                      <w:szCs w:val="21"/>
                    </w:rPr>
                    <w:t>柳州两面针股份有限公司</w:t>
                  </w:r>
                </w:sdtContent>
              </w:sdt>
              <w:r>
                <w:rPr>
                  <w:szCs w:val="21"/>
                </w:rPr>
                <w:t> </w:t>
              </w:r>
            </w:p>
            <w:p>
              <w:pPr>
                <w:jc w:val="right"/>
                <w:rPr>
                  <w:szCs w:val="21"/>
                </w:rPr>
              </w:pPr>
              <w:r>
                <w:rPr>
                  <w:szCs w:val="21"/>
                </w:rPr>
                <w:t>单位:</w:t>
              </w:r>
              <w:sdt>
                <w:sdtPr>
                  <w:rPr>
                    <w:szCs w:val="21"/>
                  </w:rPr>
                  <w:alias w:val="单位：母公司资产负债表"/>
                  <w:tag w:val="_GBC_e3e6bb2b9b89482085daf4528af32780"/>
                  <w:id w:val="865723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865723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7"/>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723b67ceca442958b85c16ecbcde6c4"/>
                    <w:id w:val="86572349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b/>
                            <w:szCs w:val="21"/>
                          </w:rPr>
                        </w:pPr>
                        <w:r>
                          <w:rPr>
                            <w:rFonts w:ascii="Times New Roman" w:cs="Times New Roman"/>
                            <w:b/>
                            <w:szCs w:val="21"/>
                          </w:rPr>
                          <w:t>项目</w:t>
                        </w:r>
                      </w:p>
                    </w:tc>
                  </w:sdtContent>
                </w:sdt>
                <w:sdt>
                  <w:sdtPr>
                    <w:rPr>
                      <w:rFonts w:ascii="Times New Roman" w:hAnsi="Times New Roman" w:cs="Times New Roman"/>
                    </w:rPr>
                    <w:tag w:val="_PLD_b4b39e4179664db3908076caa97ec93e"/>
                    <w:id w:val="865723499"/>
                    <w:lock w:val="sdtLocked"/>
                  </w:sdtPr>
                  <w:sdtEndPr>
                    <w:rPr>
                      <w:rFonts w:ascii="Times New Roman" w:hAnsi="Times New Roman" w:cs="Times New Roman"/>
                    </w:rPr>
                  </w:sdtEnd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b/>
                            <w:szCs w:val="21"/>
                          </w:rPr>
                        </w:pPr>
                        <w:r>
                          <w:rPr>
                            <w:rFonts w:ascii="Times New Roman" w:cs="Times New Roman"/>
                            <w:b/>
                            <w:szCs w:val="21"/>
                          </w:rPr>
                          <w:t>附注</w:t>
                        </w:r>
                      </w:p>
                    </w:tc>
                  </w:sdtContent>
                </w:sdt>
                <w:sdt>
                  <w:sdtPr>
                    <w:rPr>
                      <w:rFonts w:ascii="Times New Roman" w:hAnsi="Times New Roman" w:cs="Times New Roman"/>
                    </w:rPr>
                    <w:tag w:val="_PLD_5c114924d291471984aab4fc4a2ab196"/>
                    <w:id w:val="865723500"/>
                    <w:lock w:val="sdtLocked"/>
                  </w:sdtPr>
                  <w:sdtEndPr>
                    <w:rPr>
                      <w:rFonts w:ascii="Times New Roman" w:hAnsi="Times New Roman" w:cs="Times New Roman"/>
                    </w:rPr>
                  </w:sdtEnd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b/>
                            <w:szCs w:val="21"/>
                          </w:rPr>
                        </w:pPr>
                        <w:r>
                          <w:rPr>
                            <w:rFonts w:ascii="Times New Roman" w:hAnsi="Times New Roman" w:cs="Times New Roman"/>
                            <w:b/>
                          </w:rPr>
                          <w:t>2021</w:t>
                        </w:r>
                        <w:r>
                          <w:rPr>
                            <w:rFonts w:ascii="Times New Roman" w:cs="Times New Roman"/>
                            <w:b/>
                          </w:rPr>
                          <w:t>年</w:t>
                        </w:r>
                        <w:r>
                          <w:rPr>
                            <w:rFonts w:ascii="Times New Roman" w:hAnsi="Times New Roman" w:cs="Times New Roman"/>
                            <w:b/>
                          </w:rPr>
                          <w:t>12</w:t>
                        </w:r>
                        <w:r>
                          <w:rPr>
                            <w:rFonts w:ascii="Times New Roman" w:cs="Times New Roman"/>
                            <w:b/>
                          </w:rPr>
                          <w:t>月</w:t>
                        </w:r>
                        <w:r>
                          <w:rPr>
                            <w:rFonts w:ascii="Times New Roman" w:hAnsi="Times New Roman" w:cs="Times New Roman"/>
                            <w:b/>
                          </w:rPr>
                          <w:t>31</w:t>
                        </w:r>
                        <w:r>
                          <w:rPr>
                            <w:rFonts w:ascii="Times New Roman" w:cs="Times New Roman"/>
                            <w:b/>
                          </w:rPr>
                          <w:t>日</w:t>
                        </w:r>
                      </w:p>
                    </w:tc>
                  </w:sdtContent>
                </w:sdt>
                <w:sdt>
                  <w:sdtPr>
                    <w:rPr>
                      <w:rFonts w:ascii="Times New Roman" w:hAnsi="Times New Roman" w:cs="Times New Roman"/>
                    </w:rPr>
                    <w:tag w:val="_PLD_09aa0ba5dd484fa6ad7dfbe2d2221c60"/>
                    <w:id w:val="865723501"/>
                    <w:lock w:val="sdtLocked"/>
                  </w:sdtPr>
                  <w:sdtEndPr>
                    <w:rPr>
                      <w:rFonts w:ascii="Times New Roman" w:hAnsi="Times New Roman" w:cs="Times New Roman"/>
                    </w:rPr>
                  </w:sdtEnd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b/>
                            <w:szCs w:val="21"/>
                          </w:rPr>
                        </w:pPr>
                        <w:r>
                          <w:rPr>
                            <w:rFonts w:ascii="Times New Roman" w:hAnsi="Times New Roman" w:cs="Times New Roman"/>
                            <w:b/>
                            <w:szCs w:val="21"/>
                          </w:rPr>
                          <w:t>2020</w:t>
                        </w:r>
                        <w:r>
                          <w:rPr>
                            <w:rFonts w:ascii="Times New Roman" w:cs="Times New Roman"/>
                            <w:b/>
                            <w:szCs w:val="21"/>
                          </w:rPr>
                          <w:t>年</w:t>
                        </w:r>
                        <w:r>
                          <w:rPr>
                            <w:rFonts w:ascii="Times New Roman" w:hAnsi="Times New Roman" w:cs="Times New Roman"/>
                            <w:b/>
                            <w:szCs w:val="21"/>
                          </w:rPr>
                          <w:t>12</w:t>
                        </w:r>
                        <w:r>
                          <w:rPr>
                            <w:rFonts w:ascii="Times New Roman" w:cs="Times New Roman"/>
                            <w:b/>
                            <w:szCs w:val="21"/>
                          </w:rPr>
                          <w:t>月</w:t>
                        </w:r>
                        <w:r>
                          <w:rPr>
                            <w:rFonts w:ascii="Times New Roman" w:hAnsi="Times New Roman" w:cs="Times New Roman"/>
                            <w:b/>
                            <w:szCs w:val="21"/>
                          </w:rPr>
                          <w:t>31</w:t>
                        </w:r>
                        <w:r>
                          <w:rPr>
                            <w:rFonts w:ascii="Times New Roman" w:cs="Times New Roman"/>
                            <w:b/>
                            <w:szCs w:val="21"/>
                          </w:rPr>
                          <w:t>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5b96d9020f14b08bb8885e10bb72ed3"/>
                    <w:id w:val="865723502"/>
                    <w:lock w:val="sdtLocked"/>
                  </w:sdtPr>
                  <w:sdtEndPr>
                    <w:rPr>
                      <w:rFonts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imes New Roman" w:hAnsi="Times New Roman" w:cs="Times New Roman"/>
                            <w:b/>
                            <w:color w:val="FF00FF"/>
                            <w:szCs w:val="21"/>
                          </w:rPr>
                        </w:pPr>
                        <w:r>
                          <w:rPr>
                            <w:rFonts w:ascii="Times New Roman" w:cs="Times New Roman"/>
                            <w:b/>
                            <w:bCs/>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a2d3b22bc414e5aa3168d03f964313b"/>
                    <w:id w:val="86572350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货币资金</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1,117,310,356.94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515,500,578.48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e396e14b78524efaa6a999f696519f83"/>
                      <w:id w:val="865723504"/>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交易性金融资产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240,812,391.20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263,115,087.03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e137d4e0adc4e3697b2d09190f3ab73"/>
                    <w:id w:val="86572350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衍生金融资产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93466e4d94b44ce81a421424c7f275a"/>
                    <w:id w:val="86572350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应收票据</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f32df805adf4616846732ca3ab55857"/>
                    <w:id w:val="86572350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应收账款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43,969,955.32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35,354,398.58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108c302c0c87401490d6a538c95fd1a1"/>
                      <w:id w:val="865723508"/>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应收款项融资</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十七、</w:t>
                    </w:r>
                    <w:r>
                      <w:rPr>
                        <w:rFonts w:ascii="Times New Roman" w:hAnsi="Times New Roman" w:cs="Times New Roman"/>
                      </w:rPr>
                      <w:t>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1,197,289.59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3,877,619.93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d9f5a2379754663b27f59fa522781c5"/>
                    <w:id w:val="86572350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预付款项</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426,111.69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356,159.35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712416308ec74e87af342bbe7b61f9f7"/>
                    <w:id w:val="86572351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其他应收款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88,286,992.13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702,248,512.35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417cd601cec4818871f1bae4ce8ab2a"/>
                    <w:id w:val="86572351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rPr>
                          <w:t>其中：</w:t>
                        </w:r>
                        <w:r>
                          <w:rPr>
                            <w:rFonts w:ascii="Times New Roman" w:cs="Times New Roman"/>
                            <w:szCs w:val="21"/>
                          </w:rPr>
                          <w:t>应收利息</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imes New Roman" w:hAnsi="Times New Roman" w:cs="Times New Roman"/>
                        <w:sz w:val="24"/>
                      </w:rPr>
                    </w:pPr>
                    <w:r>
                      <w:rPr>
                        <w:rFonts w:ascii="Times New Roman" w:cs="Times New Roman"/>
                      </w:rPr>
                      <w:t>十七、</w:t>
                    </w:r>
                    <w:r>
                      <w:rPr>
                        <w:rFonts w:ascii="Times New Roman" w:hAnsi="Times New Roman" w:cs="Times New Roman"/>
                      </w:rPr>
                      <w:t>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dd2d67c108d4d6f84148a7c9b977191"/>
                    <w:id w:val="86572351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Times New Roman" w:hAnsi="Times New Roman" w:cs="Times New Roman"/>
                            <w:szCs w:val="21"/>
                          </w:rPr>
                        </w:pPr>
                        <w:r>
                          <w:rPr>
                            <w:rFonts w:ascii="Times New Roman" w:cs="Times New Roman"/>
                            <w:szCs w:val="21"/>
                          </w:rPr>
                          <w:t>应收股利</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sz w:val="24"/>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5c72fe3c0dc4747a0ad2956d0e2ff56"/>
                    <w:id w:val="86572351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存货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35,085,146.61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33,488,303.52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de1dbab46a4f4d898796d4205cd2edea"/>
                      <w:id w:val="865723514"/>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合同资产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61f45b512d24fd98c826adfe2607133"/>
                    <w:id w:val="86572351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持有待售资产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0f4a972facf45f681479dac2f1111c1"/>
                    <w:id w:val="86572351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一年内到期的非流动资产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8ca2e98b68644c7b1619c966283c7a4"/>
                    <w:id w:val="86572351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4,004,623.21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2,902,145.30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54ff058e01a49fb81526e388eaae403"/>
                    <w:id w:val="86572351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imes New Roman" w:hAnsi="Times New Roman" w:cs="Times New Roman"/>
                            <w:szCs w:val="21"/>
                          </w:rPr>
                        </w:pPr>
                        <w:r>
                          <w:rPr>
                            <w:rFonts w:ascii="Times New Roman" w:cs="Times New Roman"/>
                            <w:szCs w:val="21"/>
                          </w:rPr>
                          <w:t>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1,531,092,866.69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1,556,842,804.54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f64afc7e223416b92b823e4e8fb4a3a"/>
                    <w:id w:val="865723519"/>
                    <w:lock w:val="sdtLocked"/>
                  </w:sdtPr>
                  <w:sdtEndPr>
                    <w:rPr>
                      <w:rFonts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imes New Roman" w:hAnsi="Times New Roman" w:cs="Times New Roman"/>
                            <w:color w:val="008000"/>
                            <w:szCs w:val="21"/>
                          </w:rPr>
                        </w:pPr>
                        <w:r>
                          <w:rPr>
                            <w:rFonts w:ascii="Times New Roman" w:cs="Times New Roman"/>
                            <w:b/>
                            <w:bCs/>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48d1f4ececef49b0b5eb57f96dda5740"/>
                      <w:id w:val="865723520"/>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债权投资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2f81a2e768044b89a75bafd1bfa7fa70"/>
                      <w:id w:val="865723521"/>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其他债权投资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9456ec11fd14b1490b664a8bab1c706"/>
                    <w:id w:val="86572352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长期应收款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99c3bd39fae4eecab2782cc666699c4"/>
                    <w:id w:val="86572352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长期股权投资</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r>
                      <w:rPr>
                        <w:rFonts w:hint="eastAsia" w:ascii="Times New Roman" w:hAnsi="Times New Roman" w:cs="Times New Roman"/>
                        <w:szCs w:val="21"/>
                      </w:rPr>
                      <w:t>十七、</w:t>
                    </w:r>
                    <w:r>
                      <w:rPr>
                        <w:rFonts w:ascii="Times New Roman" w:hAnsi="Times New Roman" w:cs="Times New Roman"/>
                        <w:szCs w:val="21"/>
                      </w:rPr>
                      <w:t>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160,894,417.59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160,894,417.59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7d415046e66b466a890bb89efca5709d"/>
                      <w:id w:val="865723524"/>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其他权益工具投资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292,200,000.00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292,200,000.00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b5fccc8867984b57bf71dfe293f645cf"/>
                      <w:id w:val="865723525"/>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其他非流动金融资产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9a93324886f428384542f5b1fb9f42b"/>
                    <w:id w:val="86572352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投资性房地产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27,756,023.27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28,444,551.95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0ecd86ac7804fbe89c1f06aa6ad3650"/>
                    <w:id w:val="86572352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固定资产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137,546,410.45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146,513,977.22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800871977ec4bd980307a1f4d2c4c76"/>
                    <w:id w:val="86572352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在建工程</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1,900,757.33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78ac5c17f214712ae812a0d6398de1e"/>
                    <w:id w:val="86572352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生产性生物资产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0cce78df6a94836ab636bf546ff9a26"/>
                    <w:id w:val="86572353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油气资产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02711909a0534ae9abd4cdb79ab0feb6"/>
                      <w:id w:val="865723531"/>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使用权资产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22b1a68b152411392f45bdce00cb9f5"/>
                    <w:id w:val="86572353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无形资产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50,186,184.33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51,940,026.81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afdada774c94d8d8f09873b3adfe0ca"/>
                    <w:id w:val="86572353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开发支出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1515ff062cd47e0abd7368705cd4e5f"/>
                    <w:id w:val="86572353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商誉</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e06c7979eb504045a9de6cf80551e28f"/>
                    <w:id w:val="86572353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长期待摊费用</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845,857.98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1,077,552.42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ed42050d97a41358aec7c92332e0b26"/>
                    <w:id w:val="86572353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递延所得税资产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9649f7fead6487685f7f530a335f38e"/>
                    <w:id w:val="86572353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其他非流动资产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3,331,652.74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1,502,978.80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609696f96f44c829ada367c21c56583"/>
                    <w:id w:val="86572353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imes New Roman" w:hAnsi="Times New Roman" w:cs="Times New Roman"/>
                            <w:szCs w:val="21"/>
                          </w:rPr>
                        </w:pPr>
                        <w:r>
                          <w:rPr>
                            <w:rFonts w:ascii="Times New Roman" w:cs="Times New Roman"/>
                            <w:szCs w:val="21"/>
                          </w:rPr>
                          <w:t>非流动资产合计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674,661,303.69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682,573,504.79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d49c826430d4b61bb4d5c2bd47f3a37"/>
                    <w:id w:val="86572353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imes New Roman" w:hAnsi="Times New Roman" w:cs="Times New Roman"/>
                            <w:szCs w:val="21"/>
                          </w:rPr>
                        </w:pPr>
                        <w:r>
                          <w:rPr>
                            <w:rFonts w:ascii="Times New Roman" w:cs="Times New Roman"/>
                            <w:szCs w:val="21"/>
                          </w:rPr>
                          <w:t>资产总计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2,205,754,170.38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2,239,416,309.33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97e7abf0b344d7ba64ab9a99dd2d2fa"/>
                    <w:id w:val="865723540"/>
                    <w:lock w:val="sdtLocked"/>
                  </w:sdtPr>
                  <w:sdtEndPr>
                    <w:rPr>
                      <w:rFonts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imes New Roman" w:hAnsi="Times New Roman" w:cs="Times New Roman"/>
                            <w:color w:val="FF00FF"/>
                            <w:szCs w:val="21"/>
                          </w:rPr>
                        </w:pPr>
                        <w:r>
                          <w:rPr>
                            <w:rFonts w:ascii="Times New Roman" w:cs="Times New Roman"/>
                            <w:b/>
                            <w:bCs/>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25369d6a02a4d4d926f505ded3e9571"/>
                    <w:id w:val="86572354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短期借款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50,000,000.00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ce7b169d869d401d8a4e9b46531a77b5"/>
                      <w:id w:val="865723542"/>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交易性金融负债</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db08aeff5c0473db180983bf445f8c3"/>
                    <w:id w:val="86572354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衍生金融负债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fc7538e58b94ec598bb72c938cadc08"/>
                    <w:id w:val="86572354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应付票据</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629096442414226b3292060f7ee2433"/>
                    <w:id w:val="86572354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应付账款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21,624,706.58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31,171,111.14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c7b2a6b03734aeb84333dd1ad179ade"/>
                    <w:id w:val="86572354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预收款项</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ascii="Times New Roman" w:hAnsi="Times New Roman" w:cs="Times New Roman"/>
                      </w:rPr>
                      <w:tag w:val="_PLD_97fe5e81907c458186d615ca1a16da59"/>
                      <w:id w:val="865723547"/>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合同负债</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3,191,868.67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6,241,595.42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72d8e738b714bc89cfda0d9fc6f176e"/>
                    <w:id w:val="86572354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1,515,288.18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1,866,195.56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35c922a466d49bca2588a3df657e4ff"/>
                    <w:id w:val="86572354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应交税费</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1,255,278.40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1,184,231.95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02f4efe981d4cc7a199248496ef0cfc"/>
                    <w:id w:val="86572355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其他应付款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19,160,372.18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18,880,998.86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0161dbb22db14f948442be20a9cb7560"/>
                    <w:id w:val="86572355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rPr>
                          <w:t>其中：</w:t>
                        </w:r>
                        <w:r>
                          <w:rPr>
                            <w:rFonts w:ascii="Times New Roman" w:cs="Times New Roman"/>
                            <w:szCs w:val="21"/>
                          </w:rPr>
                          <w:t>应付利息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r>
                      <w:rPr>
                        <w:rFonts w:ascii="Times New Roman" w:hAnsi="Times New Roman" w:cs="Times New Roman"/>
                        <w:szCs w:val="21"/>
                      </w:rPr>
                      <w:t>60,416.69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a53dd1ad6c9442495ce7ffefa6805ff"/>
                    <w:id w:val="86572355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Times New Roman" w:hAnsi="Times New Roman" w:cs="Times New Roman"/>
                            <w:szCs w:val="21"/>
                          </w:rPr>
                        </w:pPr>
                        <w:r>
                          <w:rPr>
                            <w:rFonts w:ascii="Times New Roman" w:cs="Times New Roman"/>
                            <w:szCs w:val="21"/>
                          </w:rPr>
                          <w:t>应付股利</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8,537,790.48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677b14d5dfb4f49b913d8e108884c19"/>
                    <w:id w:val="86572355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持有待售负债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675d199fe0e492aaf40ec75faaad4e1"/>
                    <w:id w:val="86572355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一年内到期的非流动负债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3a0b24f045240e2923ed4160e9fa33a"/>
                    <w:id w:val="86572355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13,561,175.34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16,172,728.75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fd7f65c982a4798ab78c4c96bca259b"/>
                    <w:id w:val="86572355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imes New Roman" w:hAnsi="Times New Roman" w:cs="Times New Roman"/>
                            <w:szCs w:val="21"/>
                          </w:rPr>
                        </w:pPr>
                        <w:r>
                          <w:rPr>
                            <w:rFonts w:ascii="Times New Roman" w:cs="Times New Roman"/>
                            <w:szCs w:val="21"/>
                          </w:rPr>
                          <w:t>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110,308,689.35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135,516,861.68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a8813ff8c984fc28cd8ddc8db922fd5"/>
                    <w:id w:val="865723557"/>
                    <w:lock w:val="sdtLocked"/>
                  </w:sdtPr>
                  <w:sdtEndPr>
                    <w:rPr>
                      <w:rFonts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imes New Roman" w:hAnsi="Times New Roman" w:cs="Times New Roman"/>
                            <w:color w:val="008000"/>
                            <w:szCs w:val="21"/>
                          </w:rPr>
                        </w:pPr>
                        <w:r>
                          <w:rPr>
                            <w:rFonts w:ascii="Times New Roman" w:cs="Times New Roman"/>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e0282c784d54804a2dfa4e9925d9afe"/>
                    <w:id w:val="86572355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长期借款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ae799b0dff445c3a478e783ee4f3f9e"/>
                    <w:id w:val="86572355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应付债券</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b4a6077b70544e7a4e39bfdf816276d"/>
                    <w:id w:val="86572356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ceecad9adf14214acac7ec3ed737706"/>
                    <w:id w:val="86572356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Times New Roman" w:hAnsi="Times New Roman" w:cs="Times New Roman"/>
                            <w:szCs w:val="21"/>
                          </w:rPr>
                        </w:pPr>
                        <w:r>
                          <w:rPr>
                            <w:rFonts w:ascii="Times New Roman" w:cs="Times New Roman"/>
                            <w:szCs w:val="21"/>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01068eac65e44ee9de601b753837ef7"/>
                    <w:id w:val="86572356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rPr>
                        </w:pPr>
                        <w:r>
                          <w:rPr>
                            <w:rFonts w:ascii="Times New Roman" w:cs="Times New Roman"/>
                          </w:rPr>
                          <w:t>租赁负债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6a145958be247a08fdc6e7f0f63b273"/>
                    <w:id w:val="86572356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长期应付款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20963e088d2245618d3ffc26fa9883f9"/>
                    <w:id w:val="86572356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长期应付职工薪酬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2,272,949.00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3,357,936.00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10dc5a4f7b24db5ad8af5cfde236424"/>
                    <w:id w:val="86572356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预计负债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07466d2bbac46bab85228947866f5cd"/>
                    <w:id w:val="86572356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递延收益</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1,057,999.96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1,044,000.00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51ba055bf4b48cbbc6b2d3529dff76a"/>
                    <w:id w:val="86572356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递延所得税负债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50,721,841.54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57,193,366.63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9c66d05b874491c8299e3ff5fdd1849"/>
                    <w:id w:val="86572356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其他非流动负债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ff50edaca4a433a80d841b668c2b903"/>
                    <w:id w:val="86572356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imes New Roman" w:hAnsi="Times New Roman" w:cs="Times New Roman"/>
                            <w:szCs w:val="21"/>
                          </w:rPr>
                        </w:pPr>
                        <w:r>
                          <w:rPr>
                            <w:rFonts w:ascii="Times New Roman" w:cs="Times New Roman"/>
                            <w:szCs w:val="21"/>
                          </w:rPr>
                          <w:t>非流动负债合计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54,052,790.50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61,595,302.63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6978d2b345644869dabfa9f7bb25d9b"/>
                    <w:id w:val="86572357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imes New Roman" w:hAnsi="Times New Roman" w:cs="Times New Roman"/>
                            <w:szCs w:val="21"/>
                          </w:rPr>
                        </w:pPr>
                        <w:r>
                          <w:rPr>
                            <w:rFonts w:ascii="Times New Roman" w:cs="Times New Roman"/>
                            <w:szCs w:val="21"/>
                          </w:rPr>
                          <w:t>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164,361,479.85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197,112,164.31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ccfdb4b1195457b8de4211feea2cac2"/>
                    <w:id w:val="865723571"/>
                    <w:lock w:val="sdtLocked"/>
                  </w:sdtPr>
                  <w:sdtEndPr>
                    <w:rPr>
                      <w:rFonts w:ascii="Times New Roman" w:hAnsi="Times New Roman"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imes New Roman" w:hAnsi="Times New Roman" w:cs="Times New Roman"/>
                            <w:color w:val="008000"/>
                            <w:szCs w:val="21"/>
                          </w:rPr>
                        </w:pPr>
                        <w:r>
                          <w:rPr>
                            <w:rFonts w:ascii="Times New Roman" w:cs="Times New Roman"/>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544e3178d134ee6949062f2fc4fe109"/>
                    <w:id w:val="86572357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实收资本（或股本）</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550,000,000.00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550,000,000.00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f06d5e3f1514521a81034bd8123884c"/>
                    <w:id w:val="86572357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其他权益工具</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39fa27f5e6146e7ab45ef5a6bd5257e"/>
                    <w:id w:val="865723574"/>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877c2ca757d46e088f56a241ee2d167"/>
                    <w:id w:val="865723575"/>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Times New Roman" w:hAnsi="Times New Roman" w:cs="Times New Roman"/>
                            <w:szCs w:val="21"/>
                          </w:rPr>
                        </w:pPr>
                        <w:r>
                          <w:rPr>
                            <w:rFonts w:ascii="Times New Roman" w:cs="Times New Roman"/>
                            <w:szCs w:val="21"/>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8913b2bfe2646b991164f4e3e225215"/>
                    <w:id w:val="865723576"/>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资本公积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579,271,389.07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579,271,389.07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24c6408c1424a728eccacf3b0ef657d"/>
                    <w:id w:val="865723577"/>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减：库存股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209deee7bd643ac909c51619677313b"/>
                    <w:id w:val="865723578"/>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其他综合收益</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eaf8035733844da94bc6736f62d97ba"/>
                    <w:id w:val="865723579"/>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专项储备</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de370b85d5b4fff8dc4cd59144b8445"/>
                    <w:id w:val="865723580"/>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盈余公积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217,325,819.43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217,325,819.43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7bd5bb93fa840679abdabdef85d0712"/>
                    <w:id w:val="865723581"/>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imes New Roman" w:hAnsi="Times New Roman" w:cs="Times New Roman"/>
                            <w:szCs w:val="21"/>
                          </w:rPr>
                        </w:pPr>
                        <w:r>
                          <w:rPr>
                            <w:rFonts w:ascii="Times New Roman" w:cs="Times New Roman"/>
                            <w:szCs w:val="21"/>
                          </w:rPr>
                          <w:t>未分配利润</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694,795,482.03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695,706,936.52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eb45ece49e540bfa6e86de65ae33e4b"/>
                    <w:id w:val="865723582"/>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imes New Roman" w:hAnsi="Times New Roman" w:cs="Times New Roman"/>
                            <w:szCs w:val="21"/>
                          </w:rPr>
                        </w:pPr>
                        <w:r>
                          <w:rPr>
                            <w:rFonts w:ascii="Times New Roman" w:cs="Times New Roman"/>
                          </w:rPr>
                          <w:t>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2,041,392,690.53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2,042,304,145.02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0ef69cc41f3488e9f1fd1456e8640f4"/>
                    <w:id w:val="865723583"/>
                    <w:lock w:val="sdtLocked"/>
                  </w:sdtPr>
                  <w:sdtEndPr>
                    <w:rPr>
                      <w:rFonts w:ascii="Times New Roman" w:hAnsi="Times New Roman" w:cs="Times New Roman"/>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imes New Roman" w:hAnsi="Times New Roman" w:cs="Times New Roman"/>
                            <w:szCs w:val="21"/>
                          </w:rPr>
                        </w:pPr>
                        <w:r>
                          <w:rPr>
                            <w:rFonts w:ascii="Times New Roman" w:cs="Times New Roman"/>
                            <w:szCs w:val="21"/>
                          </w:rPr>
                          <w:t>负债和所有者权益（或股东权益）总计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imes New Roman" w:hAnsi="Times New Roman" w:cs="Times New Roman"/>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2,205,754,170.38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Times New Roman" w:hAnsi="Times New Roman" w:cs="Times New Roman"/>
                        <w:sz w:val="24"/>
                      </w:rPr>
                    </w:pPr>
                    <w:r>
                      <w:rPr>
                        <w:rFonts w:ascii="Times New Roman" w:hAnsi="Times New Roman" w:cs="Times New Roman"/>
                      </w:rPr>
                      <w:t>2,239,416,309.33</w:t>
                    </w:r>
                  </w:p>
                </w:tc>
              </w:tr>
            </w:tbl>
            <w:p>
              <w:pPr>
                <w:ind w:right="-153" w:rightChars="-7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865723584"/>
                  <w:lock w:val="sdtLocked"/>
                  <w:placeholder>
                    <w:docPart w:val="GBC22222222222222222222222222222"/>
                  </w:placeholder>
                  <w15:dataBinding w:prefixMappings="xmlns:clcid-mr='clcid-mr'" w:xpath="/*/clcid-mr:GongSiFuZeRenXingMing[not(@periodRef)]" w:storeItemID="{89EBAB94-44A0-46A2-B712-30D997D04A6D}"/>
                  <w:text/>
                </w:sdtPr>
                <w:sdtEndPr>
                  <w:rPr>
                    <w:rFonts w:hint="eastAsia"/>
                    <w:szCs w:val="21"/>
                  </w:rPr>
                </w:sdtEndPr>
                <w:sdtContent>
                  <w:r>
                    <w:rPr>
                      <w:rFonts w:hint="eastAsia"/>
                      <w:szCs w:val="21"/>
                    </w:rPr>
                    <w:t xml:space="preserve">林钻煌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865723585"/>
                  <w:lock w:val="sdtLocked"/>
                  <w:placeholder>
                    <w:docPart w:val="GBC22222222222222222222222222222"/>
                  </w:placeholder>
                  <w15: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王为民</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865723586"/>
                  <w:lock w:val="sdtLocked"/>
                  <w:placeholder>
                    <w:docPart w:val="GBC22222222222222222222222222222"/>
                  </w:placeholder>
                  <w15: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 xml:space="preserve">游发禄 </w:t>
                  </w:r>
                </w:sdtContent>
              </w:sdt>
            </w:p>
          </w:sdtContent>
        </w:sdt>
        <w:p/>
      </w:sdtContent>
    </w:sdt>
    <w:bookmarkEnd w:id="111"/>
    <w:p>
      <w:pPr>
        <w:rPr>
          <w:color w:val="FF0000"/>
          <w:szCs w:val="21"/>
        </w:rPr>
      </w:pPr>
    </w:p>
    <w:sdt>
      <w:sdtPr>
        <w:rPr>
          <w:rFonts w:hint="eastAsia" w:ascii="宋体" w:hAnsi="宋体" w:cs="宋体"/>
          <w:b w:val="0"/>
          <w:bCs w:val="0"/>
          <w:kern w:val="0"/>
          <w:szCs w:val="24"/>
        </w:rPr>
        <w:alias w:val="选项模块:需要编制合并报表"/>
        <w:tag w:val="_SEC_38812834cfb34e9393dcbecc309c8615"/>
        <w:id w:val="865723720"/>
        <w:lock w:val="sdtLocked"/>
        <w:placeholder>
          <w:docPart w:val="GBC22222222222222222222222222222"/>
        </w:placeholder>
      </w:sdtPr>
      <w:sdtEndPr>
        <w:rPr>
          <w:rFonts w:hint="default" w:ascii="宋体" w:hAnsi="宋体" w:cs="宋体"/>
          <w:b w:val="0"/>
          <w:bCs w:val="0"/>
          <w:color w:val="FF0000"/>
          <w:kern w:val="0"/>
          <w:szCs w:val="21"/>
        </w:rPr>
      </w:sdtEndPr>
      <w:sdtContent>
        <w:sdt>
          <w:sdtPr>
            <w:rPr>
              <w:rFonts w:hint="eastAsia" w:ascii="宋体" w:hAnsi="宋体" w:cs="宋体"/>
              <w:b w:val="0"/>
              <w:bCs w:val="0"/>
              <w:kern w:val="0"/>
              <w:szCs w:val="24"/>
            </w:rPr>
            <w:tag w:val="_SEC_38d2275e2dcd4f8eb0870715a2a226c7"/>
            <w:id w:val="865723665"/>
            <w:lock w:val="sdtLocked"/>
            <w:placeholder>
              <w:docPart w:val="GBC22222222222222222222222222222"/>
            </w:placeholder>
          </w:sdtPr>
          <w:sdtEndPr>
            <w:rPr>
              <w:rFonts w:hint="eastAsia" w:ascii="宋体" w:hAnsi="宋体" w:cs="宋体"/>
              <w:b w:val="0"/>
              <w:bCs w:val="0"/>
              <w:kern w:val="0"/>
              <w:szCs w:val="21"/>
            </w:rPr>
          </w:sdtEndPr>
          <w:sdtContent>
            <w:p>
              <w:pPr>
                <w:pStyle w:val="4"/>
                <w:jc w:val="center"/>
              </w:pPr>
              <w:bookmarkStart w:id="112" w:name="_Hlk24038378"/>
              <w:r>
                <w:rPr>
                  <w:rFonts w:hint="eastAsia"/>
                </w:rPr>
                <w:t>合并</w:t>
              </w:r>
              <w:r>
                <w:t>利润表</w:t>
              </w:r>
            </w:p>
            <w:p>
              <w:pPr>
                <w:jc w:val="center"/>
                <w:rPr>
                  <w:rFonts w:ascii="Times New Roman" w:hAnsi="Times New Roman" w:cs="Times New Roman"/>
                  <w:b/>
                  <w:bCs/>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1—12</w:t>
              </w:r>
              <w:r>
                <w:rPr>
                  <w:rFonts w:ascii="Times New Roman" w:cs="Times New Roman"/>
                  <w:szCs w:val="21"/>
                </w:rPr>
                <w:t>月</w:t>
              </w:r>
            </w:p>
            <w:p>
              <w:pPr>
                <w:jc w:val="right"/>
                <w:rPr>
                  <w:szCs w:val="21"/>
                </w:rPr>
              </w:pPr>
              <w:r>
                <w:rPr>
                  <w:szCs w:val="21"/>
                </w:rPr>
                <w:t>单位:</w:t>
              </w:r>
              <w:sdt>
                <w:sdtPr>
                  <w:rPr>
                    <w:szCs w:val="21"/>
                  </w:rPr>
                  <w:alias w:val="单位：合并利润表"/>
                  <w:tag w:val="_GBC_95830fead96c480388a2e386c3331383"/>
                  <w:id w:val="8657235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合并利润表"/>
                  <w:tag w:val="_GBC_4902a1798447427ba99922213b04b39b"/>
                  <w:id w:val="865723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rPr>
                      <w:rFonts w:ascii="Times New Roman" w:hAnsi="Times New Roman" w:cs="Times New Roman"/>
                    </w:rPr>
                    <w:tag w:val="_PLD_2e3f33fcce354b339a86add10899a6c5"/>
                    <w:id w:val="865723591"/>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jc w:val="center"/>
                          <w:rPr>
                            <w:rFonts w:ascii="Times New Roman" w:hAnsi="Times New Roman" w:cs="Times New Roman"/>
                            <w:b/>
                            <w:szCs w:val="21"/>
                          </w:rPr>
                        </w:pPr>
                        <w:r>
                          <w:rPr>
                            <w:rFonts w:ascii="Times New Roman" w:cs="Times New Roman"/>
                            <w:b/>
                            <w:szCs w:val="21"/>
                          </w:rPr>
                          <w:t>项目</w:t>
                        </w:r>
                      </w:p>
                    </w:tc>
                  </w:sdtContent>
                </w:sdt>
                <w:sdt>
                  <w:sdtPr>
                    <w:rPr>
                      <w:rFonts w:ascii="Times New Roman" w:hAnsi="Times New Roman" w:cs="Times New Roman"/>
                    </w:rPr>
                    <w:tag w:val="_PLD_93edd7a3846d4cd58b14d043e9b33f2c"/>
                    <w:id w:val="865723592"/>
                    <w:lock w:val="sdtLocked"/>
                  </w:sdtPr>
                  <w:sdtEndPr>
                    <w:rPr>
                      <w:rFonts w:ascii="Times New Roman" w:hAnsi="Times New Roman" w:cs="Times New Roman"/>
                    </w:rPr>
                  </w:sdtEndPr>
                  <w:sdtConten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b/>
                            <w:szCs w:val="21"/>
                          </w:rPr>
                        </w:pPr>
                        <w:r>
                          <w:rPr>
                            <w:rFonts w:ascii="Times New Roman" w:cs="Times New Roman"/>
                            <w:b/>
                            <w:szCs w:val="21"/>
                          </w:rPr>
                          <w:t>附注</w:t>
                        </w:r>
                      </w:p>
                    </w:tc>
                  </w:sdtContent>
                </w:sdt>
                <w:sdt>
                  <w:sdtPr>
                    <w:rPr>
                      <w:rFonts w:ascii="Times New Roman" w:hAnsi="Times New Roman" w:cs="Times New Roman"/>
                    </w:rPr>
                    <w:tag w:val="_PLD_49f84cca199c45e7bc0f9fea5b73078c"/>
                    <w:id w:val="865723593"/>
                    <w:lock w:val="sdtLocked"/>
                  </w:sdtPr>
                  <w:sdtEndPr>
                    <w:rPr>
                      <w:rFonts w:ascii="Times New Roman" w:hAnsi="Times New Roman" w:cs="Times New Roman"/>
                    </w:rPr>
                  </w:sdtEndPr>
                  <w:sdtContent>
                    <w:tc>
                      <w:tcPr>
                        <w:tcW w:w="1110"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b/>
                            <w:szCs w:val="21"/>
                          </w:rPr>
                        </w:pPr>
                        <w:r>
                          <w:rPr>
                            <w:rFonts w:ascii="Times New Roman" w:hAnsi="Times New Roman" w:cs="Times New Roman"/>
                            <w:b/>
                            <w:szCs w:val="21"/>
                          </w:rPr>
                          <w:t>2021</w:t>
                        </w:r>
                        <w:r>
                          <w:rPr>
                            <w:rFonts w:ascii="Times New Roman" w:cs="Times New Roman"/>
                            <w:b/>
                            <w:szCs w:val="21"/>
                          </w:rPr>
                          <w:t>年度</w:t>
                        </w:r>
                      </w:p>
                    </w:tc>
                  </w:sdtContent>
                </w:sdt>
                <w:sdt>
                  <w:sdtPr>
                    <w:rPr>
                      <w:rFonts w:ascii="Times New Roman" w:hAnsi="Times New Roman" w:cs="Times New Roman"/>
                    </w:rPr>
                    <w:tag w:val="_PLD_8b5fde21bc974404b892a88906dec352"/>
                    <w:id w:val="865723594"/>
                    <w:lock w:val="sdtLocked"/>
                  </w:sdtPr>
                  <w:sdtEndPr>
                    <w:rPr>
                      <w:rFonts w:ascii="Times New Roman" w:hAnsi="Times New Roman" w:cs="Times New Roman"/>
                    </w:rPr>
                  </w:sdtEndPr>
                  <w:sdtContent>
                    <w:tc>
                      <w:tcPr>
                        <w:tcW w:w="1114"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b/>
                            <w:szCs w:val="21"/>
                          </w:rPr>
                        </w:pPr>
                        <w:r>
                          <w:rPr>
                            <w:rFonts w:ascii="Times New Roman" w:hAnsi="Times New Roman" w:cs="Times New Roman"/>
                            <w:b/>
                            <w:szCs w:val="21"/>
                          </w:rPr>
                          <w:t>2020</w:t>
                        </w:r>
                        <w:r>
                          <w:rPr>
                            <w:rFonts w:ascii="Times New Roman" w:cs="Times New Roman"/>
                            <w:b/>
                            <w:szCs w:val="21"/>
                          </w:rPr>
                          <w:t>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380654d35f848cfb950d682c7a7e226"/>
                    <w:id w:val="865723595"/>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color w:val="000000"/>
                            <w:szCs w:val="21"/>
                          </w:rPr>
                        </w:pPr>
                        <w:r>
                          <w:rPr>
                            <w:rFonts w:ascii="Times New Roman" w:cs="Times New Roman"/>
                            <w:szCs w:val="21"/>
                          </w:rPr>
                          <w:t>一、营业总收入</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717,526,128.25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685,431,238.99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9008c1152f2457c85b84fdb8bd94302"/>
                    <w:id w:val="865723596"/>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color w:val="000000"/>
                            <w:szCs w:val="21"/>
                          </w:rPr>
                        </w:pPr>
                        <w:r>
                          <w:rPr>
                            <w:rFonts w:ascii="Times New Roman" w:cs="Times New Roman"/>
                            <w:szCs w:val="21"/>
                          </w:rPr>
                          <w:t>其中：营业收入</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717,526,128.25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685,431,238.99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2b5ee31e3a04fd686ce6a770a4bf7f8"/>
                    <w:id w:val="865723597"/>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color w:val="000000"/>
                            <w:szCs w:val="21"/>
                          </w:rPr>
                        </w:pPr>
                        <w:r>
                          <w:rPr>
                            <w:rFonts w:ascii="Times New Roman" w:cs="Times New Roman"/>
                            <w:szCs w:val="21"/>
                          </w:rPr>
                          <w:t>利息收入</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b4b4e07fd124105920ebc7fd41981e3"/>
                    <w:id w:val="865723598"/>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已赚保费</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0807caa85b74b3ba05d867a5d0c221a"/>
                    <w:id w:val="865723599"/>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手续费及佣金收入</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6f3ec17fb0b4d11b9c07106540a4ab0"/>
                    <w:id w:val="865723600"/>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color w:val="000000"/>
                            <w:szCs w:val="21"/>
                          </w:rPr>
                        </w:pPr>
                        <w:r>
                          <w:rPr>
                            <w:rFonts w:ascii="Times New Roman" w:cs="Times New Roman"/>
                            <w:szCs w:val="21"/>
                          </w:rPr>
                          <w:t>二、营业总成本</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704,870,888.67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660,202,558.61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bdd986d7efa4149a9f572f9b2a74150"/>
                    <w:id w:val="865723601"/>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color w:val="000000"/>
                            <w:szCs w:val="21"/>
                          </w:rPr>
                        </w:pPr>
                        <w:r>
                          <w:rPr>
                            <w:rFonts w:ascii="Times New Roman" w:cs="Times New Roman"/>
                            <w:szCs w:val="21"/>
                          </w:rPr>
                          <w:t>其中：营业成本</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572,906,370.02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535,590,923.83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ed1502b72c34d6098b091412f46ed9d"/>
                    <w:id w:val="865723602"/>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利息支出</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cfa1a49c93048668179af2ead80c356"/>
                    <w:id w:val="865723603"/>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手续费及佣金支出</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c1309799af844b5b157719c070c5247"/>
                    <w:id w:val="865723604"/>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退保金</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c699312a14243589e13d1662232ea40"/>
                    <w:id w:val="865723605"/>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赔付支出净额</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cb9f866e4114aaca5c32d5ffde6a025"/>
                    <w:id w:val="865723606"/>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提取保险责任准备金净额</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150448f2b374fb5b092356dd35f581f"/>
                    <w:id w:val="865723607"/>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保单红利支出</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a59332484d64aaa97873c9ce8cd2fb3"/>
                    <w:id w:val="865723608"/>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分保费用</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rPr>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5aa701a04e74c3681ea0f45ee50b8d7"/>
                    <w:id w:val="865723609"/>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税金及附加</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62</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8,320,337.90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7,434,517.17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e31130c4729428dbfe379dfced40dc5"/>
                    <w:id w:val="865723610"/>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销售费用</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63</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87,805,080.22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84,655,234.27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7a7b505b88c4f87bc0ba854f37b118f"/>
                    <w:id w:val="865723611"/>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管理费用</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64,284,572.78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61,712,998.52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e87af4732c764d16b9a62ce062c27abc"/>
                      <w:id w:val="865723612"/>
                      <w:lock w:val="sdtLocked"/>
                    </w:sdtPr>
                    <w:sdtEndPr>
                      <w:rPr>
                        <w:rFonts w:ascii="Times New Roman" w:hAnsi="Times New Roman" w:cs="Times New Roman"/>
                      </w:rPr>
                    </w:sdtEndPr>
                    <w:sdtContent>
                      <w:p>
                        <w:pPr>
                          <w:ind w:firstLine="630" w:firstLineChars="300"/>
                          <w:rPr>
                            <w:rFonts w:ascii="Times New Roman" w:hAnsi="Times New Roman" w:cs="Times New Roman"/>
                          </w:rPr>
                        </w:pPr>
                        <w:r>
                          <w:rPr>
                            <w:rFonts w:ascii="Times New Roman" w:cs="Times New Roman"/>
                          </w:rPr>
                          <w:t>研发费用</w:t>
                        </w:r>
                      </w:p>
                    </w:sdtContent>
                  </w:sdt>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11,743,940.54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11,464,324.32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9025fd6688d468db2dff127aaf8d9b7"/>
                    <w:id w:val="865723613"/>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财务费用</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-40,189,412.79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-40,655,439.50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5783a44ff7e84d5f9faf4e4523265fa2"/>
                      <w:id w:val="865723614"/>
                      <w:lock w:val="sdtLocked"/>
                    </w:sdtPr>
                    <w:sdtEndPr>
                      <w:rPr>
                        <w:rFonts w:ascii="Times New Roman" w:hAnsi="Times New Roman" w:cs="Times New Roman"/>
                      </w:rPr>
                    </w:sdtEndPr>
                    <w:sdtContent>
                      <w:p>
                        <w:pPr>
                          <w:ind w:firstLine="630" w:firstLineChars="300"/>
                          <w:rPr>
                            <w:rFonts w:ascii="Times New Roman" w:hAnsi="Times New Roman" w:cs="Times New Roman"/>
                          </w:rPr>
                        </w:pPr>
                        <w:r>
                          <w:rPr>
                            <w:rFonts w:ascii="Times New Roman" w:cs="Times New Roman"/>
                          </w:rPr>
                          <w:t>其中：利息费用</w:t>
                        </w:r>
                      </w:p>
                    </w:sdtContent>
                  </w:sdt>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1,316,169.68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1,366,129.65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181356a829f44a2eb68d58db992fd5b3"/>
                      <w:id w:val="865723615"/>
                      <w:lock w:val="sdtLocked"/>
                    </w:sdtPr>
                    <w:sdtEndPr>
                      <w:rPr>
                        <w:rFonts w:ascii="Times New Roman" w:hAnsi="Times New Roman" w:cs="Times New Roman"/>
                      </w:rPr>
                    </w:sdtEndPr>
                    <w:sdtContent>
                      <w:p>
                        <w:pPr>
                          <w:ind w:firstLine="1260" w:firstLineChars="600"/>
                          <w:rPr>
                            <w:rFonts w:ascii="Times New Roman" w:hAnsi="Times New Roman" w:cs="Times New Roman"/>
                          </w:rPr>
                        </w:pPr>
                        <w:r>
                          <w:rPr>
                            <w:rFonts w:ascii="Times New Roman" w:cs="Times New Roman"/>
                          </w:rPr>
                          <w:t>利息收入</w:t>
                        </w:r>
                      </w:p>
                    </w:sdtContent>
                  </w:sdt>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42,217,583.91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43,908,417.49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cd7b53a4f864f25801036fcf0042187"/>
                    <w:id w:val="865723616"/>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rPr>
                          <w:t>加：</w:t>
                        </w:r>
                        <w:r>
                          <w:rPr>
                            <w:rFonts w:ascii="Times New Roman" w:cs="Times New Roman"/>
                            <w:szCs w:val="21"/>
                          </w:rPr>
                          <w:t>其他收益</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5,631,668.35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3,511,030.01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d4d0b257ac449a1a1f9cd43ea8c6d6f"/>
                    <w:id w:val="865723617"/>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投资收益（损失以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68</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20,182,290.36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19,987,195.14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b617292f3d24ae484f3b8b3331ef37e"/>
                    <w:id w:val="865723618"/>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其中：对联营企业和合营企业的投资收益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 w:val="24"/>
                      </w:rPr>
                    </w:pPr>
                  </w:p>
                </w:tc>
                <w:tc>
                  <w:tcPr>
                    <w:tcW w:w="1114"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de6764e1bab4ab3b3f25a31e4c7c20a"/>
                    <w:id w:val="865723619"/>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tcPr>
                      <w:p>
                        <w:pPr>
                          <w:ind w:firstLine="1155" w:firstLineChars="550"/>
                          <w:rPr>
                            <w:rFonts w:ascii="Times New Roman" w:hAnsi="Times New Roman" w:cs="Times New Roman"/>
                          </w:rPr>
                        </w:pPr>
                        <w:r>
                          <w:rPr>
                            <w:rFonts w:ascii="Times New Roman" w:cs="Times New Roman"/>
                          </w:rPr>
                          <w:t>以摊余成本计量的金融资产终止确认收益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 w:val="24"/>
                      </w:rPr>
                    </w:pPr>
                  </w:p>
                </w:tc>
                <w:tc>
                  <w:tcPr>
                    <w:tcW w:w="1114"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6c6fba18c924bffb49d4725b87ecb13"/>
                    <w:id w:val="865723620"/>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汇兑收益（损失以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 w:val="24"/>
                      </w:rPr>
                    </w:pPr>
                  </w:p>
                </w:tc>
                <w:tc>
                  <w:tcPr>
                    <w:tcW w:w="1114"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d520128fec714da98227f31d25ce7796"/>
                      <w:id w:val="865723621"/>
                      <w:lock w:val="sdtLocked"/>
                    </w:sdtPr>
                    <w:sdtEndPr>
                      <w:rPr>
                        <w:rFonts w:ascii="Times New Roman" w:hAnsi="Times New Roman" w:cs="Times New Roman"/>
                      </w:rPr>
                    </w:sdtEndPr>
                    <w:sdtContent>
                      <w:p>
                        <w:pPr>
                          <w:ind w:firstLine="630" w:firstLineChars="300"/>
                          <w:rPr>
                            <w:rFonts w:ascii="Times New Roman" w:hAnsi="Times New Roman" w:cs="Times New Roman"/>
                          </w:rPr>
                        </w:pPr>
                        <w:r>
                          <w:rPr>
                            <w:rFonts w:ascii="Times New Roman" w:cs="Times New Roman"/>
                          </w:rPr>
                          <w:t>净敞口套期收益（损失以</w:t>
                        </w:r>
                        <w:r>
                          <w:rPr>
                            <w:rFonts w:ascii="Times New Roman" w:hAnsi="Times New Roman" w:cs="Times New Roman"/>
                          </w:rPr>
                          <w:t>“-”</w:t>
                        </w:r>
                        <w:r>
                          <w:rPr>
                            <w:rFonts w:ascii="Times New Roman" w:cs="Times New Roman"/>
                          </w:rP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 w:val="24"/>
                      </w:rPr>
                    </w:pPr>
                  </w:p>
                </w:tc>
                <w:tc>
                  <w:tcPr>
                    <w:tcW w:w="1114"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cf113d3dfde4191bb9677475e364e2c"/>
                    <w:id w:val="865723622"/>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color w:val="000000"/>
                            <w:szCs w:val="21"/>
                          </w:rPr>
                        </w:pPr>
                        <w:r>
                          <w:rPr>
                            <w:rFonts w:ascii="Times New Roman" w:cs="Times New Roman"/>
                            <w:szCs w:val="21"/>
                          </w:rPr>
                          <w:t>公允价值变动收益（损失以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70</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-26,145,255.54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35,705,051.52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d5729b4f71874df0b1658e78402fbd3a"/>
                      <w:id w:val="865723623"/>
                      <w:lock w:val="sdtLocked"/>
                    </w:sdtPr>
                    <w:sdtEndPr>
                      <w:rPr>
                        <w:rFonts w:ascii="Times New Roman" w:hAnsi="Times New Roman" w:cs="Times New Roman"/>
                      </w:rPr>
                    </w:sdtEndPr>
                    <w:sdtContent>
                      <w:p>
                        <w:pPr>
                          <w:ind w:firstLine="630" w:firstLineChars="300"/>
                          <w:rPr>
                            <w:rFonts w:ascii="Times New Roman" w:hAnsi="Times New Roman" w:cs="Times New Roman"/>
                          </w:rPr>
                        </w:pPr>
                        <w:r>
                          <w:rPr>
                            <w:rFonts w:ascii="Times New Roman" w:cs="Times New Roman"/>
                          </w:rPr>
                          <w:t>信用减值损失（损失以</w:t>
                        </w:r>
                        <w:r>
                          <w:rPr>
                            <w:rFonts w:ascii="Times New Roman" w:hAnsi="Times New Roman" w:cs="Times New Roman"/>
                          </w:rPr>
                          <w:t>“-”</w:t>
                        </w:r>
                        <w:r>
                          <w:rPr>
                            <w:rFonts w:ascii="Times New Roman" w:cs="Times New Roman"/>
                          </w:rPr>
                          <w:t>号填列）</w:t>
                        </w:r>
                      </w:p>
                    </w:sdtContent>
                  </w:sdt>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71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-2,101,571.43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-8,118,247.66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4560210ee614ffca1cd838fcb26e64f"/>
                    <w:id w:val="865723624"/>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资产减值损失</w:t>
                        </w:r>
                        <w:r>
                          <w:rPr>
                            <w:rFonts w:ascii="Times New Roman" w:cs="Times New Roman"/>
                          </w:rPr>
                          <w:t>（损失以</w:t>
                        </w:r>
                        <w:r>
                          <w:rPr>
                            <w:rFonts w:ascii="Times New Roman" w:hAnsi="Times New Roman" w:cs="Times New Roman"/>
                          </w:rPr>
                          <w:t>“-”</w:t>
                        </w:r>
                        <w:r>
                          <w:rPr>
                            <w:rFonts w:ascii="Times New Roman" w:cs="Times New Roman"/>
                          </w:rPr>
                          <w:t>号填列）</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72</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-2,330,460.16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-1,295,880.31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b82d580df4545299b03340ea44f0a61"/>
                    <w:id w:val="865723625"/>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rPr>
                        </w:pPr>
                        <w:r>
                          <w:rPr>
                            <w:rFonts w:ascii="Times New Roman" w:cs="Times New Roman"/>
                          </w:rPr>
                          <w:t>资产处置收益（损失以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73</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141,797.74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581,665.24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8efa9e2f2584a45bb21e4160a756a9a"/>
                    <w:id w:val="865723626"/>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color w:val="000000"/>
                            <w:szCs w:val="21"/>
                          </w:rPr>
                        </w:pPr>
                        <w:r>
                          <w:rPr>
                            <w:rFonts w:ascii="Times New Roman" w:cs="Times New Roman"/>
                            <w:szCs w:val="21"/>
                          </w:rPr>
                          <w:t>三、营业利润（亏损以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8,033,708.90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75,599,494.32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3abf7e9472541358784576e4b39b209"/>
                    <w:id w:val="865723627"/>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szCs w:val="21"/>
                          </w:rPr>
                          <w:t>加：营业外收入</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74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739,171.11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3,074,987.87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0f16771bc2748abb5464842a6f86784"/>
                    <w:id w:val="865723628"/>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szCs w:val="21"/>
                          </w:rPr>
                          <w:t>减：营业外支出</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75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2,847,855.11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7,338,913.64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9fa70992bac48dda5e83847596b19d6"/>
                    <w:id w:val="865723629"/>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color w:val="000000"/>
                            <w:szCs w:val="21"/>
                          </w:rPr>
                        </w:pPr>
                        <w:r>
                          <w:rPr>
                            <w:rFonts w:ascii="Times New Roman" w:cs="Times New Roman"/>
                            <w:szCs w:val="21"/>
                          </w:rPr>
                          <w:t>四、利润总额（亏损总额以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5,925,024.90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71,335,568.55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842e863bf634368965bd15f33e3ae38"/>
                    <w:id w:val="865723630"/>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color w:val="000000"/>
                            <w:szCs w:val="21"/>
                          </w:rPr>
                        </w:pPr>
                        <w:r>
                          <w:rPr>
                            <w:rFonts w:ascii="Times New Roman" w:cs="Times New Roman"/>
                            <w:szCs w:val="21"/>
                          </w:rPr>
                          <w:t>减：所得税费用</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七、</w:t>
                    </w:r>
                    <w:r>
                      <w:rPr>
                        <w:rFonts w:ascii="Times New Roman" w:hAnsi="Times New Roman" w:cs="Times New Roman"/>
                      </w:rPr>
                      <w:t>76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-3,342,091.38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13,103,102.15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7bb5e90013347b59c739cd0098f77d5"/>
                    <w:id w:val="865723631"/>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color w:val="000000"/>
                            <w:szCs w:val="21"/>
                          </w:rPr>
                        </w:pPr>
                        <w:r>
                          <w:rPr>
                            <w:rFonts w:ascii="Times New Roman" w:cs="Times New Roman"/>
                            <w:szCs w:val="21"/>
                          </w:rPr>
                          <w:t>五、净利润（净亏损以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jc w:val="cente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9,267,116.28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58,232,466.40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445f61075384ccaafee7a9aff738d9c"/>
                    <w:id w:val="865723632"/>
                    <w:lock w:val="sdtLocked"/>
                  </w:sdtPr>
                  <w:sdtEndPr>
                    <w:rPr>
                      <w:rFonts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Cs w:val="21"/>
                          </w:rPr>
                        </w:pPr>
                        <w:r>
                          <w:rPr>
                            <w:rFonts w:ascii="Times New Roman" w:cs="Times New Roman"/>
                            <w:szCs w:val="21"/>
                          </w:rPr>
                          <w:t>（一）</w:t>
                        </w:r>
                        <w:r>
                          <w:rPr>
                            <w:rFonts w:ascii="Times New Roman" w:cs="Times New Roman"/>
                          </w:rP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f62d6e525ac4c78b10d50cab69e4427"/>
                    <w:id w:val="865723633"/>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cs="Times New Roman"/>
                          </w:rPr>
                        </w:pPr>
                        <w:r>
                          <w:rPr>
                            <w:rFonts w:ascii="Times New Roman" w:hAnsi="Times New Roman" w:cs="Times New Roman"/>
                          </w:rPr>
                          <w:t>1.</w:t>
                        </w:r>
                        <w:r>
                          <w:rPr>
                            <w:rFonts w:ascii="Times New Roman" w:cs="Times New Roman"/>
                          </w:rPr>
                          <w:t>持续经营净利润（净亏损以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9,267,116.28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58,232,466.40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ecbd4e5679f46edb5746af7622b21b6"/>
                    <w:id w:val="865723634"/>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cs="Times New Roman"/>
                          </w:rPr>
                        </w:pPr>
                        <w:r>
                          <w:rPr>
                            <w:rFonts w:ascii="Times New Roman" w:hAnsi="Times New Roman" w:cs="Times New Roman"/>
                          </w:rPr>
                          <w:t>2.</w:t>
                        </w:r>
                        <w:r>
                          <w:rPr>
                            <w:rFonts w:ascii="Times New Roman" w:cs="Times New Roman"/>
                          </w:rPr>
                          <w:t>终止经营净利润（净亏损以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703d86636cb476dab82350c9f6475fc"/>
                    <w:id w:val="865723635"/>
                    <w:lock w:val="sdtLocked"/>
                  </w:sdtPr>
                  <w:sdtEndPr>
                    <w:rPr>
                      <w:rFonts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Cs w:val="21"/>
                          </w:rPr>
                        </w:pPr>
                        <w:r>
                          <w:rPr>
                            <w:rFonts w:ascii="Times New Roman" w:cs="Times New Roman"/>
                            <w:szCs w:val="21"/>
                          </w:rPr>
                          <w:t>（二）</w:t>
                        </w:r>
                        <w:r>
                          <w:rPr>
                            <w:rFonts w:ascii="Times New Roman" w:cs="Times New Roman"/>
                          </w:rP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9befe54bea74d81b274f1de7b1e879c"/>
                    <w:id w:val="865723636"/>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cs="Times New Roman"/>
                            <w:szCs w:val="21"/>
                          </w:rPr>
                        </w:pPr>
                        <w:r>
                          <w:rPr>
                            <w:rFonts w:ascii="Times New Roman" w:hAnsi="Times New Roman" w:cs="Times New Roman"/>
                          </w:rPr>
                          <w:t>1.</w:t>
                        </w:r>
                        <w:r>
                          <w:rPr>
                            <w:rFonts w:ascii="Times New Roman" w:cs="Times New Roman"/>
                            <w:szCs w:val="21"/>
                          </w:rPr>
                          <w:t>归属于母</w:t>
                        </w:r>
                        <w:r>
                          <w:rPr>
                            <w:rFonts w:ascii="Times New Roman" w:cs="Times New Roman"/>
                          </w:rPr>
                          <w:t>公司</w:t>
                        </w:r>
                        <w:r>
                          <w:rPr>
                            <w:rFonts w:ascii="Times New Roman" w:cs="Times New Roman"/>
                            <w:szCs w:val="21"/>
                          </w:rPr>
                          <w:t>股东的净利润（净亏损以</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8,658,258.15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58,049,318.45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f126035711b4c5abd41d75affabef51"/>
                    <w:id w:val="865723637"/>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cs="Times New Roman"/>
                            <w:szCs w:val="21"/>
                          </w:rPr>
                        </w:pPr>
                        <w:r>
                          <w:rPr>
                            <w:rFonts w:ascii="Times New Roman" w:hAnsi="Times New Roman" w:cs="Times New Roman"/>
                          </w:rPr>
                          <w:t>2.</w:t>
                        </w:r>
                        <w:r>
                          <w:rPr>
                            <w:rFonts w:ascii="Times New Roman" w:cs="Times New Roman"/>
                            <w:szCs w:val="21"/>
                          </w:rPr>
                          <w:t>少数股东损益（净亏损以</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608,858.13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183,147.95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a13bc6fa8a4437cbc2fe6d7f95e57ad"/>
                    <w:id w:val="865723638"/>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Cs w:val="21"/>
                          </w:rPr>
                        </w:pPr>
                        <w:r>
                          <w:rPr>
                            <w:rFonts w:ascii="Times New Roman" w:cs="Times New Roman"/>
                            <w:szCs w:val="21"/>
                          </w:rPr>
                          <w:t>六、其他综合收益的税后净额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f2f5c8a639d471fa8ec35cb21cfadb4"/>
                    <w:id w:val="865723639"/>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szCs w:val="21"/>
                          </w:rPr>
                          <w:t>（一）归属母公司所有者的其他综合收益的税后净额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6b7d483d93a4a54b7ab8c3263c798ed"/>
                    <w:id w:val="865723640"/>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．不能重分类进损益的其他综合收益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35a1ea789084db6ab270a67392ce36a"/>
                    <w:id w:val="865723641"/>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rPr>
                          <w:t>（</w:t>
                        </w:r>
                        <w:r>
                          <w:rPr>
                            <w:rFonts w:ascii="Times New Roman" w:hAnsi="Times New Roman" w:cs="Times New Roman"/>
                          </w:rPr>
                          <w:t>1</w:t>
                        </w:r>
                        <w:r>
                          <w:rPr>
                            <w:rFonts w:ascii="Times New Roman" w:cs="Times New Roman"/>
                          </w:rPr>
                          <w:t>）</w:t>
                        </w:r>
                        <w:r>
                          <w:rPr>
                            <w:rFonts w:ascii="Times New Roman" w:cs="Times New Roman"/>
                            <w:szCs w:val="21"/>
                          </w:rPr>
                          <w:t>重新计量设定受益计划变动额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c017c2ac9f646e4a1cdf7a7204c480c"/>
                    <w:id w:val="865723642"/>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rPr>
                          <w:t>（</w:t>
                        </w:r>
                        <w:r>
                          <w:rPr>
                            <w:rFonts w:ascii="Times New Roman" w:hAnsi="Times New Roman" w:cs="Times New Roman"/>
                          </w:rPr>
                          <w:t>2</w:t>
                        </w:r>
                        <w:r>
                          <w:rPr>
                            <w:rFonts w:ascii="Times New Roman" w:cs="Times New Roman"/>
                          </w:rPr>
                          <w:t>）权益法下不能转损益的其他综合收益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e4a31bfd680046b99a1b3d34eb9576f4"/>
                      <w:id w:val="865723643"/>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w:t>
                        </w:r>
                        <w:r>
                          <w:rPr>
                            <w:rFonts w:ascii="Times New Roman" w:hAnsi="Times New Roman" w:cs="Times New Roman"/>
                          </w:rPr>
                          <w:t>3</w:t>
                        </w:r>
                        <w:r>
                          <w:rPr>
                            <w:rFonts w:ascii="Times New Roman" w:cs="Times New Roman"/>
                          </w:rPr>
                          <w:t>）其他权益工具投资公允价值变动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c48ff6a604db4d18a1d1dc7c0a221692"/>
                      <w:id w:val="865723644"/>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w:t>
                        </w:r>
                        <w:r>
                          <w:rPr>
                            <w:rFonts w:ascii="Times New Roman" w:hAnsi="Times New Roman" w:cs="Times New Roman"/>
                          </w:rPr>
                          <w:t>4</w:t>
                        </w:r>
                        <w:r>
                          <w:rPr>
                            <w:rFonts w:ascii="Times New Roman" w:cs="Times New Roman"/>
                          </w:rPr>
                          <w:t>）企业自身信用风险公允价值变动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be4aeb39ba149bd8b72f60b4c8a1d22"/>
                    <w:id w:val="865723645"/>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．将重分类进损益的其他综合收益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3cee83b27dc4e60b3f7b7333c0c55d9"/>
                    <w:id w:val="865723646"/>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rPr>
                          <w:t>（</w:t>
                        </w:r>
                        <w:r>
                          <w:rPr>
                            <w:rFonts w:ascii="Times New Roman" w:hAnsi="Times New Roman" w:cs="Times New Roman"/>
                          </w:rPr>
                          <w:t>1</w:t>
                        </w:r>
                        <w:r>
                          <w:rPr>
                            <w:rFonts w:ascii="Times New Roman" w:cs="Times New Roman"/>
                          </w:rPr>
                          <w:t>）权益法下可转损益的其他综合收益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0964bdc875cb41acbcc556550f4e03d4"/>
                      <w:id w:val="865723647"/>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w:t>
                        </w:r>
                        <w:r>
                          <w:rPr>
                            <w:rFonts w:ascii="Times New Roman" w:hAnsi="Times New Roman" w:cs="Times New Roman"/>
                          </w:rPr>
                          <w:t>2</w:t>
                        </w:r>
                        <w:r>
                          <w:rPr>
                            <w:rFonts w:ascii="Times New Roman" w:cs="Times New Roman"/>
                          </w:rPr>
                          <w:t>）其他债权投资公允价值变动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d5623d5f9fa0430da4eccee5c001a530"/>
                      <w:id w:val="865723648"/>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w:t>
                        </w:r>
                        <w:r>
                          <w:rPr>
                            <w:rFonts w:ascii="Times New Roman" w:hAnsi="Times New Roman" w:cs="Times New Roman"/>
                          </w:rPr>
                          <w:t>3</w:t>
                        </w:r>
                        <w:r>
                          <w:rPr>
                            <w:rFonts w:ascii="Times New Roman" w:cs="Times New Roman"/>
                          </w:rPr>
                          <w:t>）金融资产重分类计入其他综合收益的金额</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9ae9a687385c431d96ae9c14b04e7551"/>
                      <w:id w:val="865723649"/>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w:t>
                        </w:r>
                        <w:r>
                          <w:rPr>
                            <w:rFonts w:ascii="Times New Roman" w:hAnsi="Times New Roman" w:cs="Times New Roman"/>
                          </w:rPr>
                          <w:t>4</w:t>
                        </w:r>
                        <w:r>
                          <w:rPr>
                            <w:rFonts w:ascii="Times New Roman" w:cs="Times New Roman"/>
                          </w:rPr>
                          <w:t>）其他债权投资信用减值准备</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23b423edc2274c72b51ddde91025ffea"/>
                      <w:id w:val="865723650"/>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w:t>
                        </w:r>
                        <w:r>
                          <w:rPr>
                            <w:rFonts w:ascii="Times New Roman" w:hAnsi="Times New Roman" w:cs="Times New Roman"/>
                          </w:rPr>
                          <w:t>5</w:t>
                        </w:r>
                        <w:r>
                          <w:rPr>
                            <w:rFonts w:ascii="Times New Roman" w:cs="Times New Roman"/>
                          </w:rPr>
                          <w:t>）现金流量套期储备</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4acecfbf1f234ce3af0ec16acd7e3e6d"/>
                      <w:id w:val="865723651"/>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w:t>
                        </w:r>
                        <w:r>
                          <w:rPr>
                            <w:rFonts w:ascii="Times New Roman" w:hAnsi="Times New Roman" w:cs="Times New Roman"/>
                          </w:rPr>
                          <w:t>6</w:t>
                        </w:r>
                        <w:r>
                          <w:rPr>
                            <w:rFonts w:ascii="Times New Roman" w:cs="Times New Roman"/>
                          </w:rPr>
                          <w:t>）外币财务报表折算差额</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7d43aa1b36164af4b8726e2c1f760cfd"/>
                      <w:id w:val="865723652"/>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w:t>
                        </w:r>
                        <w:r>
                          <w:rPr>
                            <w:rFonts w:ascii="Times New Roman" w:hAnsi="Times New Roman" w:cs="Times New Roman"/>
                          </w:rPr>
                          <w:t>7</w:t>
                        </w:r>
                        <w:r>
                          <w:rPr>
                            <w:rFonts w:ascii="Times New Roman" w:cs="Times New Roman"/>
                          </w:rPr>
                          <w:t>）其他</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3569bc5ede84869b3447cee447eab7d"/>
                    <w:id w:val="865723653"/>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szCs w:val="21"/>
                          </w:rPr>
                          <w:t>（二）归属于少数股东的其他综合收益的税后净额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0601b6a47ff4441b448abf6db3fa4ed"/>
                    <w:id w:val="865723654"/>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Cs w:val="21"/>
                          </w:rPr>
                        </w:pPr>
                        <w:r>
                          <w:rPr>
                            <w:rFonts w:ascii="Times New Roman" w:cs="Times New Roman"/>
                            <w:szCs w:val="21"/>
                          </w:rPr>
                          <w:t>七、综合收益总额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9,267,116.28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58,232,466.40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127ab5720a345679e0e938f71becb4c"/>
                    <w:id w:val="865723655"/>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szCs w:val="21"/>
                          </w:rPr>
                          <w:t>（一）归属于母公司所有者的综合收益总额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8,658,258.15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58,049,318.45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3f01925f64b436a9fbc95d8e02da99b"/>
                    <w:id w:val="865723656"/>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szCs w:val="21"/>
                          </w:rPr>
                          <w:t>（二）归属于少数股东的综合收益总额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608,858.13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183,147.95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e9655fe2b7c48e3964f7a74f9c6deea"/>
                    <w:id w:val="865723657"/>
                    <w:lock w:val="sdtLocked"/>
                  </w:sdtPr>
                  <w:sdtEndPr>
                    <w:rPr>
                      <w:rFonts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color w:val="008000"/>
                            <w:szCs w:val="21"/>
                          </w:rPr>
                        </w:pPr>
                        <w:r>
                          <w:rPr>
                            <w:rFonts w:ascii="Times New Roman" w:cs="Times New Roman"/>
                            <w:szCs w:val="21"/>
                          </w:rPr>
                          <w:t>八、每股收益：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6a58df2d1eb403f98fbe0cb93ab4bd8"/>
                    <w:id w:val="865723658"/>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szCs w:val="21"/>
                          </w:rPr>
                          <w:t>（一）基本每股收益</w:t>
                        </w:r>
                        <w:r>
                          <w:rPr>
                            <w:rFonts w:ascii="Times New Roman" w:hAnsi="Times New Roman" w:cs="Times New Roman"/>
                            <w:szCs w:val="21"/>
                          </w:rPr>
                          <w:t>(</w:t>
                        </w:r>
                        <w:r>
                          <w:rPr>
                            <w:rFonts w:ascii="Times New Roman" w:cs="Times New Roman"/>
                            <w:szCs w:val="21"/>
                          </w:rPr>
                          <w:t>元</w:t>
                        </w:r>
                        <w:r>
                          <w:rPr>
                            <w:rFonts w:ascii="Times New Roman" w:hAnsi="Times New Roman" w:cs="Times New Roman"/>
                            <w:szCs w:val="21"/>
                          </w:rPr>
                          <w:t>/</w:t>
                        </w:r>
                        <w:r>
                          <w:rPr>
                            <w:rFonts w:ascii="Times New Roman" w:cs="Times New Roman"/>
                            <w:szCs w:val="21"/>
                          </w:rPr>
                          <w:t>股</w:t>
                        </w:r>
                        <w:r>
                          <w:rPr>
                            <w:rFonts w:ascii="Times New Roman" w:hAnsi="Times New Roman" w:cs="Times New Roman"/>
                            <w:szCs w:val="21"/>
                          </w:rPr>
                          <w:t>)</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r>
                      <w:rPr>
                        <w:rFonts w:ascii="Times New Roman" w:hAnsi="Times New Roman" w:cs="Times New Roman"/>
                      </w:rPr>
                      <w:t>0.0157</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r>
                      <w:rPr>
                        <w:rFonts w:ascii="Times New Roman" w:hAnsi="Times New Roman" w:cs="Times New Roman"/>
                      </w:rPr>
                      <w:t>0.1055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5a1ef2646bf41069628628a311e1402"/>
                    <w:id w:val="865723659"/>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szCs w:val="21"/>
                          </w:rPr>
                          <w:t>（二）稀释每股收益</w:t>
                        </w:r>
                        <w:r>
                          <w:rPr>
                            <w:rFonts w:ascii="Times New Roman" w:hAnsi="Times New Roman" w:cs="Times New Roman"/>
                            <w:szCs w:val="21"/>
                          </w:rPr>
                          <w:t>(</w:t>
                        </w:r>
                        <w:r>
                          <w:rPr>
                            <w:rFonts w:ascii="Times New Roman" w:cs="Times New Roman"/>
                            <w:szCs w:val="21"/>
                          </w:rPr>
                          <w:t>元</w:t>
                        </w:r>
                        <w:r>
                          <w:rPr>
                            <w:rFonts w:ascii="Times New Roman" w:hAnsi="Times New Roman" w:cs="Times New Roman"/>
                            <w:szCs w:val="21"/>
                          </w:rPr>
                          <w:t>/</w:t>
                        </w:r>
                        <w:r>
                          <w:rPr>
                            <w:rFonts w:ascii="Times New Roman" w:cs="Times New Roman"/>
                            <w:szCs w:val="21"/>
                          </w:rPr>
                          <w:t>股</w:t>
                        </w:r>
                        <w:r>
                          <w:rPr>
                            <w:rFonts w:ascii="Times New Roman" w:hAnsi="Times New Roman" w:cs="Times New Roman"/>
                            <w:szCs w:val="21"/>
                          </w:rPr>
                          <w:t>)</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bl>
            <w:p/>
            <w:p>
              <w:pPr>
                <w:rPr>
                  <w:szCs w:val="21"/>
                </w:rPr>
              </w:pPr>
              <w:r>
                <w:rPr>
                  <w:rFonts w:hint="eastAsia"/>
                  <w:szCs w:val="21"/>
                </w:rPr>
                <w:t>司负责</w:t>
              </w:r>
              <w:r>
                <w:rPr>
                  <w:szCs w:val="21"/>
                </w:rPr>
                <w:t>人</w:t>
              </w:r>
              <w:r>
                <w:rPr>
                  <w:rFonts w:hint="eastAsia"/>
                  <w:szCs w:val="21"/>
                </w:rPr>
                <w:t>：</w:t>
              </w:r>
              <w:sdt>
                <w:sdtPr>
                  <w:rPr>
                    <w:rFonts w:hint="eastAsia"/>
                    <w:szCs w:val="21"/>
                  </w:rPr>
                  <w:alias w:val="公司负责人姓名"/>
                  <w:tag w:val="_GBC_85589cdf09ed4055b8d177524f5a0df0"/>
                  <w:id w:val="865723662"/>
                  <w:lock w:val="sdtLocked"/>
                  <w:placeholder>
                    <w:docPart w:val="GBC22222222222222222222222222222"/>
                  </w:placeholder>
                  <w15:dataBinding w:prefixMappings="xmlns:clcid-mr='clcid-mr'" w:xpath="/*/clcid-mr:GongSiFuZeRenXingMing[not(@periodRef)]" w:storeItemID="{89EBAB94-44A0-46A2-B712-30D997D04A6D}"/>
                  <w:text/>
                </w:sdtPr>
                <w:sdtEndPr>
                  <w:rPr>
                    <w:rFonts w:hint="eastAsia"/>
                    <w:szCs w:val="21"/>
                  </w:rPr>
                </w:sdtEndPr>
                <w:sdtContent>
                  <w:r>
                    <w:rPr>
                      <w:rFonts w:hint="eastAsia"/>
                      <w:szCs w:val="21"/>
                    </w:rPr>
                    <w:t xml:space="preserve">林钻煌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865723663"/>
                  <w:lock w:val="sdtLocked"/>
                  <w:placeholder>
                    <w:docPart w:val="GBC22222222222222222222222222222"/>
                  </w:placeholder>
                  <w15: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王为民</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865723664"/>
                  <w:lock w:val="sdtLocked"/>
                  <w:placeholder>
                    <w:docPart w:val="GBC22222222222222222222222222222"/>
                  </w:placeholder>
                  <w15: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 xml:space="preserve">游发禄 </w:t>
                  </w:r>
                </w:sdtContent>
              </w:sdt>
            </w:p>
          </w:sdtContent>
        </w:sdt>
        <w:bookmarkEnd w:id="112"/>
        <w:p>
          <w:pPr>
            <w:rPr>
              <w:color w:val="FF0000"/>
              <w:szCs w:val="21"/>
            </w:rPr>
          </w:pPr>
        </w:p>
        <w:sdt>
          <w:sdtPr>
            <w:rPr>
              <w:rFonts w:hint="eastAsia" w:ascii="宋体" w:hAnsi="宋体" w:cs="宋体"/>
              <w:b w:val="0"/>
              <w:bCs w:val="0"/>
              <w:kern w:val="0"/>
              <w:szCs w:val="24"/>
            </w:rPr>
            <w:tag w:val="_SEC_7398696337e643be900ea0fa28731754"/>
            <w:id w:val="865723719"/>
            <w:lock w:val="sdtLocked"/>
            <w:placeholder>
              <w:docPart w:val="GBC22222222222222222222222222222"/>
            </w:placeholder>
          </w:sdtPr>
          <w:sdtEndPr>
            <w:rPr>
              <w:rFonts w:hint="eastAsia" w:ascii="宋体" w:hAnsi="宋体" w:cs="宋体-方正超大字符集"/>
              <w:b w:val="0"/>
              <w:bCs w:val="0"/>
              <w:kern w:val="0"/>
              <w:szCs w:val="21"/>
            </w:rPr>
          </w:sdtEndPr>
          <w:sdtContent>
            <w:p>
              <w:pPr>
                <w:pStyle w:val="4"/>
                <w:jc w:val="center"/>
              </w:pPr>
              <w:bookmarkStart w:id="113" w:name="_Hlk24038476"/>
              <w:r>
                <w:rPr>
                  <w:rFonts w:hint="eastAsia"/>
                </w:rPr>
                <w:t>母公司</w:t>
              </w:r>
              <w:r>
                <w:t>利润表</w:t>
              </w:r>
            </w:p>
            <w:p>
              <w:pPr>
                <w:jc w:val="center"/>
                <w:rPr>
                  <w:rFonts w:ascii="Times New Roman" w:hAnsi="Times New Roman" w:cs="Times New Roman"/>
                  <w:b/>
                  <w:bCs/>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1—12</w:t>
              </w:r>
              <w:r>
                <w:rPr>
                  <w:rFonts w:ascii="Times New Roman" w:cs="Times New Roman"/>
                  <w:szCs w:val="21"/>
                </w:rPr>
                <w:t>月</w:t>
              </w:r>
            </w:p>
            <w:p>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8657236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利润表"/>
                  <w:tag w:val="_GBC_514289adafbe4fe995f8f3791e23e392"/>
                  <w:id w:val="8657236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b/>
                      </w:rPr>
                      <w:tag w:val="_PLD_a25f325e0afe4d279180290df7e1dd6d"/>
                      <w:id w:val="865723668"/>
                      <w:lock w:val="sdtLocked"/>
                    </w:sdtPr>
                    <w:sdtEndPr>
                      <w:rPr>
                        <w:rFonts w:ascii="Times New Roman" w:hAnsi="Times New Roman" w:cs="Times New Roman"/>
                        <w:b/>
                      </w:rPr>
                    </w:sdtEndPr>
                    <w:sdtContent>
                      <w:p>
                        <w:pPr>
                          <w:ind w:leftChars="-19" w:hanging="40" w:hangingChars="19"/>
                          <w:jc w:val="center"/>
                          <w:rPr>
                            <w:rFonts w:ascii="Times New Roman" w:hAnsi="Times New Roman" w:cs="Times New Roman"/>
                            <w:b/>
                          </w:rPr>
                        </w:pPr>
                        <w:r>
                          <w:rPr>
                            <w:rFonts w:ascii="Times New Roman" w:cs="Times New Roman"/>
                            <w:b/>
                          </w:rPr>
                          <w:t>项目</w:t>
                        </w:r>
                      </w:p>
                    </w:sdtContent>
                  </w:sdt>
                </w:tc>
                <w:tc>
                  <w:tcPr>
                    <w:tcW w:w="838"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b/>
                      </w:rPr>
                      <w:tag w:val="_PLD_4bea71a35f204b56bca2b7ea223d4b71"/>
                      <w:id w:val="865723669"/>
                      <w:lock w:val="sdtLocked"/>
                    </w:sdtPr>
                    <w:sdtEndPr>
                      <w:rPr>
                        <w:rFonts w:ascii="Times New Roman" w:hAnsi="Times New Roman" w:cs="Times New Roman"/>
                        <w:b/>
                      </w:rPr>
                    </w:sdtEndPr>
                    <w:sdtContent>
                      <w:p>
                        <w:pPr>
                          <w:jc w:val="center"/>
                          <w:rPr>
                            <w:rFonts w:ascii="Times New Roman" w:hAnsi="Times New Roman" w:cs="Times New Roman"/>
                            <w:b/>
                          </w:rPr>
                        </w:pPr>
                        <w:r>
                          <w:rPr>
                            <w:rFonts w:ascii="Times New Roman" w:cs="Times New Roman"/>
                            <w:b/>
                          </w:rPr>
                          <w:t>附注</w:t>
                        </w:r>
                      </w:p>
                    </w:sdtContent>
                  </w:sdt>
                </w:tc>
                <w:tc>
                  <w:tcPr>
                    <w:tcW w:w="1110"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b/>
                      </w:rPr>
                      <w:tag w:val="_PLD_a2bf02ec3f0b4ce2b9d25f751262d2b0"/>
                      <w:id w:val="865723670"/>
                      <w:lock w:val="sdtLocked"/>
                    </w:sdtPr>
                    <w:sdtEndPr>
                      <w:rPr>
                        <w:rFonts w:ascii="Times New Roman" w:hAnsi="Times New Roman" w:cs="Times New Roman"/>
                        <w:b/>
                      </w:rPr>
                    </w:sdtEndPr>
                    <w:sdtContent>
                      <w:p>
                        <w:pPr>
                          <w:jc w:val="center"/>
                          <w:rPr>
                            <w:rFonts w:ascii="Times New Roman" w:hAnsi="Times New Roman" w:cs="Times New Roman"/>
                            <w:b/>
                          </w:rPr>
                        </w:pPr>
                        <w:r>
                          <w:rPr>
                            <w:rFonts w:ascii="Times New Roman" w:hAnsi="Times New Roman" w:cs="Times New Roman"/>
                            <w:b/>
                          </w:rPr>
                          <w:t>2021</w:t>
                        </w:r>
                        <w:r>
                          <w:rPr>
                            <w:rFonts w:ascii="Times New Roman" w:cs="Times New Roman"/>
                            <w:b/>
                          </w:rPr>
                          <w:t>年度</w:t>
                        </w:r>
                      </w:p>
                    </w:sdtContent>
                  </w:sdt>
                </w:tc>
                <w:tc>
                  <w:tcPr>
                    <w:tcW w:w="1114"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b/>
                      </w:rPr>
                      <w:tag w:val="_PLD_7a01f378d3e3492c9571d4400832431f"/>
                      <w:id w:val="865723671"/>
                      <w:lock w:val="sdtLocked"/>
                    </w:sdtPr>
                    <w:sdtEndPr>
                      <w:rPr>
                        <w:rFonts w:ascii="Times New Roman" w:hAnsi="Times New Roman" w:cs="Times New Roman"/>
                        <w:b/>
                      </w:rPr>
                    </w:sdtEndPr>
                    <w:sdtContent>
                      <w:p>
                        <w:pPr>
                          <w:jc w:val="center"/>
                          <w:rPr>
                            <w:rFonts w:ascii="Times New Roman" w:hAnsi="Times New Roman" w:cs="Times New Roman"/>
                            <w:b/>
                          </w:rPr>
                        </w:pPr>
                        <w:r>
                          <w:rPr>
                            <w:rFonts w:ascii="Times New Roman" w:hAnsi="Times New Roman" w:cs="Times New Roman"/>
                            <w:b/>
                          </w:rPr>
                          <w:t>2020</w:t>
                        </w:r>
                        <w:r>
                          <w:rPr>
                            <w:rFonts w:ascii="Times New Roman" w:cs="Times New Roman"/>
                            <w:b/>
                          </w:rPr>
                          <w:t>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983f1e346c74eaf97cc01750d6f544f"/>
                    <w:id w:val="865723672"/>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Times New Roman" w:hAnsi="Times New Roman" w:cs="Times New Roman"/>
                            <w:color w:val="000000"/>
                            <w:szCs w:val="21"/>
                          </w:rPr>
                        </w:pPr>
                        <w:r>
                          <w:rPr>
                            <w:rFonts w:ascii="Times New Roman" w:cs="Times New Roman"/>
                            <w:szCs w:val="21"/>
                          </w:rPr>
                          <w:t>一、营业收入</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十七、</w:t>
                    </w:r>
                    <w:r>
                      <w:rPr>
                        <w:rFonts w:ascii="Times New Roman" w:hAnsi="Times New Roman" w:cs="Times New Roman"/>
                      </w:rPr>
                      <w:t>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142,077,784.99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158,681,336.66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aae73bf620f42a7bdc990ac3ac4e380"/>
                    <w:id w:val="865723673"/>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color w:val="000000"/>
                            <w:szCs w:val="21"/>
                          </w:rPr>
                        </w:pPr>
                        <w:r>
                          <w:rPr>
                            <w:rFonts w:ascii="Times New Roman" w:cs="Times New Roman"/>
                            <w:szCs w:val="21"/>
                          </w:rPr>
                          <w:t>减：营业成本</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十七、</w:t>
                    </w:r>
                    <w:r>
                      <w:rPr>
                        <w:rFonts w:ascii="Times New Roman" w:hAnsi="Times New Roman" w:cs="Times New Roman"/>
                      </w:rPr>
                      <w:t>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90,546,067.55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103,087,965.93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6bfa762e13b4edc866d71e43a41b567"/>
                    <w:id w:val="865723674"/>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税金及附加</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3,842,464.57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3,691,655.17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09be0e833b94a8cbb0a2b2ca0fd2c46"/>
                    <w:id w:val="865723675"/>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销售费用</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53,124,436.99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47,873,752</w:t>
                    </w:r>
                    <w:r>
                      <w:rPr>
                        <w:rFonts w:hint="eastAsia" w:ascii="Times New Roman" w:hAnsi="Times New Roman" w:cs="Times New Roman"/>
                      </w:rPr>
                      <w:t>.14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8db3c07f2524451a8e448eb4105c32c"/>
                    <w:id w:val="865723676"/>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管理费用</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30,333,379.68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33,667,522.58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d2525d1291b74497b0a64b222316f4ee"/>
                      <w:id w:val="865723677"/>
                      <w:lock w:val="sdtLocked"/>
                    </w:sdtPr>
                    <w:sdtEndPr>
                      <w:rPr>
                        <w:rFonts w:ascii="Times New Roman" w:hAnsi="Times New Roman" w:cs="Times New Roman"/>
                      </w:rPr>
                    </w:sdtEndPr>
                    <w:sdtContent>
                      <w:p>
                        <w:pPr>
                          <w:ind w:firstLine="630" w:firstLineChars="300"/>
                          <w:rPr>
                            <w:rFonts w:ascii="Times New Roman" w:hAnsi="Times New Roman" w:cs="Times New Roman"/>
                          </w:rPr>
                        </w:pPr>
                        <w:r>
                          <w:rPr>
                            <w:rFonts w:ascii="Times New Roman" w:cs="Times New Roman"/>
                          </w:rPr>
                          <w:t>研发费用</w:t>
                        </w:r>
                      </w:p>
                    </w:sdtContent>
                  </w:sdt>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7,387,181.79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7,348,961.58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a7b57edb7744817a28718e086ddd05b"/>
                    <w:id w:val="865723678"/>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财务费用</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-41,395,404.22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-42,892,001.58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6df774b7facf4e3db743c473152d3f19"/>
                      <w:id w:val="865723679"/>
                      <w:lock w:val="sdtLocked"/>
                    </w:sdtPr>
                    <w:sdtEndPr>
                      <w:rPr>
                        <w:rFonts w:ascii="Times New Roman" w:hAnsi="Times New Roman" w:cs="Times New Roman"/>
                      </w:rPr>
                    </w:sdtEndPr>
                    <w:sdtContent>
                      <w:p>
                        <w:pPr>
                          <w:ind w:firstLine="630" w:firstLineChars="300"/>
                          <w:rPr>
                            <w:rFonts w:ascii="Times New Roman" w:hAnsi="Times New Roman" w:cs="Times New Roman"/>
                          </w:rPr>
                        </w:pPr>
                        <w:r>
                          <w:rPr>
                            <w:rFonts w:ascii="Times New Roman" w:cs="Times New Roman"/>
                          </w:rPr>
                          <w:t>其中：利息费用</w:t>
                        </w:r>
                      </w:p>
                    </w:sdtContent>
                  </w:sdt>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893,087.02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956,739.68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385e3c40e2654a888890a63c535854b4"/>
                      <w:id w:val="865723680"/>
                      <w:lock w:val="sdtLocked"/>
                    </w:sdtPr>
                    <w:sdtEndPr>
                      <w:rPr>
                        <w:rFonts w:ascii="Times New Roman" w:hAnsi="Times New Roman" w:cs="Times New Roman"/>
                      </w:rPr>
                    </w:sdtEndPr>
                    <w:sdtContent>
                      <w:p>
                        <w:pPr>
                          <w:ind w:firstLine="1260" w:firstLineChars="600"/>
                          <w:rPr>
                            <w:rFonts w:ascii="Times New Roman" w:hAnsi="Times New Roman" w:cs="Times New Roman"/>
                          </w:rPr>
                        </w:pPr>
                        <w:r>
                          <w:rPr>
                            <w:rFonts w:ascii="Times New Roman" w:cs="Times New Roman"/>
                          </w:rPr>
                          <w:t>利息收入</w:t>
                        </w:r>
                      </w:p>
                    </w:sdtContent>
                  </w:sdt>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42,320,091.78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43,988,725.85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20ea8bbcc3d47c49fdc9c7aa944a8d8"/>
                    <w:id w:val="865723681"/>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rPr>
                          <w:t>加：</w:t>
                        </w:r>
                        <w:r>
                          <w:rPr>
                            <w:rFonts w:ascii="Times New Roman" w:cs="Times New Roman"/>
                            <w:szCs w:val="21"/>
                          </w:rPr>
                          <w:t>其他收益</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3,097,521.70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3,024,488.74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8c83cecc9614724b2b7311ca4c938a9"/>
                    <w:id w:val="865723682"/>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投资收益（损失以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 w:val="24"/>
                      </w:rPr>
                    </w:pPr>
                    <w:r>
                      <w:rPr>
                        <w:rFonts w:ascii="Times New Roman" w:cs="Times New Roman"/>
                      </w:rPr>
                      <w:t>十七、</w:t>
                    </w:r>
                    <w:r>
                      <w:rPr>
                        <w:rFonts w:ascii="Times New Roman" w:hAnsi="Times New Roman" w:cs="Times New Roman"/>
                      </w:rPr>
                      <w:t>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18,643,302.99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18,943,079.99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fc53b9893f340329463bf2fd9fcf9fd"/>
                    <w:id w:val="865723683"/>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其中：对联营企业和合营企业的投资收益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7b8cf553aa74a7e995b5814703664af"/>
                    <w:id w:val="865723684"/>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tcPr>
                      <w:p>
                        <w:pPr>
                          <w:ind w:firstLine="1155" w:firstLineChars="550"/>
                          <w:rPr>
                            <w:rFonts w:ascii="Times New Roman" w:hAnsi="Times New Roman" w:cs="Times New Roman"/>
                          </w:rPr>
                        </w:pPr>
                        <w:r>
                          <w:rPr>
                            <w:rFonts w:ascii="Times New Roman" w:cs="Times New Roman"/>
                          </w:rPr>
                          <w:t>以摊余成本计量的金融资产终止确认收益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cb4beedada004366a28dc6c0054f1d37"/>
                      <w:id w:val="865723685"/>
                      <w:lock w:val="sdtLocked"/>
                    </w:sdtPr>
                    <w:sdtEndPr>
                      <w:rPr>
                        <w:rFonts w:ascii="Times New Roman" w:hAnsi="Times New Roman" w:cs="Times New Roman"/>
                      </w:rPr>
                    </w:sdtEndPr>
                    <w:sdtContent>
                      <w:p>
                        <w:pPr>
                          <w:ind w:firstLine="630" w:firstLineChars="300"/>
                          <w:rPr>
                            <w:rFonts w:ascii="Times New Roman" w:hAnsi="Times New Roman" w:cs="Times New Roman"/>
                          </w:rPr>
                        </w:pPr>
                        <w:r>
                          <w:rPr>
                            <w:rFonts w:ascii="Times New Roman" w:cs="Times New Roman"/>
                          </w:rPr>
                          <w:t>净敞口套期收益（损失以</w:t>
                        </w:r>
                        <w:r>
                          <w:rPr>
                            <w:rFonts w:ascii="Times New Roman" w:hAnsi="Times New Roman" w:cs="Times New Roman"/>
                          </w:rPr>
                          <w:t>“-”</w:t>
                        </w:r>
                        <w:r>
                          <w:rPr>
                            <w:rFonts w:ascii="Times New Roman" w:cs="Times New Roman"/>
                          </w:rP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36981e5e1384f23b8bcad1fe3feb8fd"/>
                    <w:id w:val="865723686"/>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color w:val="000000"/>
                            <w:szCs w:val="21"/>
                          </w:rPr>
                        </w:pPr>
                        <w:r>
                          <w:rPr>
                            <w:rFonts w:ascii="Times New Roman" w:cs="Times New Roman"/>
                            <w:szCs w:val="21"/>
                          </w:rPr>
                          <w:t>公允价值变动收益（损失以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-25,886,100.37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35,445,896.35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ae3a70990d514b87aee42bc81307f291"/>
                      <w:id w:val="865723687"/>
                      <w:lock w:val="sdtLocked"/>
                    </w:sdtPr>
                    <w:sdtEndPr>
                      <w:rPr>
                        <w:rFonts w:ascii="Times New Roman" w:hAnsi="Times New Roman" w:cs="Times New Roman"/>
                      </w:rPr>
                    </w:sdtEndPr>
                    <w:sdtContent>
                      <w:p>
                        <w:pPr>
                          <w:ind w:firstLine="630" w:firstLineChars="300"/>
                          <w:rPr>
                            <w:rFonts w:ascii="Times New Roman" w:hAnsi="Times New Roman" w:cs="Times New Roman"/>
                          </w:rPr>
                        </w:pPr>
                        <w:r>
                          <w:rPr>
                            <w:rFonts w:ascii="Times New Roman" w:cs="Times New Roman"/>
                          </w:rPr>
                          <w:t>信用减值损失（损失以</w:t>
                        </w:r>
                        <w:r>
                          <w:rPr>
                            <w:rFonts w:ascii="Times New Roman" w:hAnsi="Times New Roman" w:cs="Times New Roman"/>
                          </w:rPr>
                          <w:t>“-”</w:t>
                        </w:r>
                        <w:r>
                          <w:rPr>
                            <w:rFonts w:ascii="Times New Roman" w:cs="Times New Roman"/>
                          </w:rP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-874,510.20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-895,427.99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c8b602b86da4d9e89eb4a71d0ffebfb"/>
                    <w:id w:val="865723688"/>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szCs w:val="21"/>
                          </w:rPr>
                        </w:pPr>
                        <w:r>
                          <w:rPr>
                            <w:rFonts w:ascii="Times New Roman" w:cs="Times New Roman"/>
                            <w:szCs w:val="21"/>
                          </w:rPr>
                          <w:t>资产减值损失（损失以</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-1,058,699.80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-1,007,632.60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df2ac52069843e19488477137a61306"/>
                    <w:id w:val="865723689"/>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imes New Roman" w:hAnsi="Times New Roman" w:cs="Times New Roman"/>
                          </w:rPr>
                        </w:pPr>
                        <w:r>
                          <w:rPr>
                            <w:rFonts w:ascii="Times New Roman" w:cs="Times New Roman"/>
                          </w:rPr>
                          <w:t>资产处置收益（损失以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5,398.37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588,890.69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3f7b971fb944459960c2fb805e59445"/>
                    <w:id w:val="865723690"/>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Times New Roman" w:hAnsi="Times New Roman" w:cs="Times New Roman"/>
                            <w:color w:val="000000"/>
                            <w:szCs w:val="21"/>
                          </w:rPr>
                        </w:pPr>
                        <w:r>
                          <w:rPr>
                            <w:rFonts w:ascii="Times New Roman" w:cs="Times New Roman"/>
                            <w:szCs w:val="21"/>
                          </w:rPr>
                          <w:t>二、营业利润（亏损以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-7,833,428.68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62,002,776.02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0661784543f452b848c0b9d529adade"/>
                    <w:id w:val="865723691"/>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color w:val="000000"/>
                            <w:szCs w:val="21"/>
                          </w:rPr>
                        </w:pPr>
                        <w:r>
                          <w:rPr>
                            <w:rFonts w:ascii="Times New Roman" w:cs="Times New Roman"/>
                            <w:szCs w:val="21"/>
                          </w:rPr>
                          <w:t>加：营业外收入</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615,435.24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687,442.99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fdb803ff73e4cb3a7327f20fbf392c4"/>
                    <w:id w:val="865723692"/>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color w:val="000000"/>
                            <w:szCs w:val="21"/>
                          </w:rPr>
                        </w:pPr>
                        <w:r>
                          <w:rPr>
                            <w:rFonts w:ascii="Times New Roman" w:cs="Times New Roman"/>
                            <w:szCs w:val="21"/>
                          </w:rPr>
                          <w:t>减：营业外支出</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164,986.14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1,336,696.28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2748ed96a49412f8c1d796e288dfd66"/>
                    <w:id w:val="865723693"/>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Times New Roman" w:hAnsi="Times New Roman" w:cs="Times New Roman"/>
                            <w:color w:val="000000"/>
                            <w:szCs w:val="21"/>
                          </w:rPr>
                        </w:pPr>
                        <w:r>
                          <w:rPr>
                            <w:rFonts w:ascii="Times New Roman" w:cs="Times New Roman"/>
                            <w:szCs w:val="21"/>
                          </w:rPr>
                          <w:t>三、利润总额（亏损总额以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-7,382,979.58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61,353,522.73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f95f22f00bd49debae1612500281454"/>
                    <w:id w:val="865723694"/>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Times New Roman" w:hAnsi="Times New Roman" w:cs="Times New Roman"/>
                            <w:color w:val="000000"/>
                            <w:szCs w:val="21"/>
                          </w:rPr>
                        </w:pPr>
                        <w:r>
                          <w:rPr>
                            <w:rFonts w:ascii="Times New Roman" w:cs="Times New Roman"/>
                            <w:szCs w:val="21"/>
                          </w:rPr>
                          <w:t>减：所得税费用</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-6,471,525.09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8,861,474.09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imes New Roman" w:hAnsi="Times New Roman" w:cs="Times New Roman"/>
                    </w:rPr>
                    <w:tag w:val="_PLD_081dfbfb287344a7a297df1ef46d4b28"/>
                    <w:id w:val="865723695"/>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Times New Roman" w:hAnsi="Times New Roman" w:cs="Times New Roman"/>
                            <w:color w:val="000000"/>
                            <w:szCs w:val="21"/>
                          </w:rPr>
                        </w:pPr>
                        <w:r>
                          <w:rPr>
                            <w:rFonts w:ascii="Times New Roman" w:cs="Times New Roman"/>
                            <w:szCs w:val="21"/>
                          </w:rPr>
                          <w:t>四、净利润（净亏损以</w:t>
                        </w:r>
                        <w:r>
                          <w:rPr>
                            <w:rFonts w:ascii="Times New Roman" w:hAnsi="Times New Roman" w:cs="Times New Roman"/>
                            <w:szCs w:val="21"/>
                          </w:rPr>
                          <w:t>“</w:t>
                        </w:r>
                        <w:r>
                          <w:rPr>
                            <w:rFonts w:ascii="Times New Roman" w:cs="Times New Roman"/>
                            <w:szCs w:val="21"/>
                          </w:rPr>
                          <w:t>－</w:t>
                        </w:r>
                        <w:r>
                          <w:rPr>
                            <w:rFonts w:ascii="Times New Roman" w:hAnsi="Times New Roman" w:cs="Times New Roman"/>
                            <w:szCs w:val="21"/>
                          </w:rPr>
                          <w:t>”</w:t>
                        </w:r>
                        <w:r>
                          <w:rPr>
                            <w:rFonts w:ascii="Times New Roman" w:cs="Times New Roman"/>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-911,454.49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52,492,048.64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4c8130acf934eae8cbf12d79a6f1849"/>
                    <w:id w:val="865723696"/>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Times New Roman" w:hAnsi="Times New Roman" w:cs="Times New Roman"/>
                          </w:rPr>
                        </w:pPr>
                        <w:r>
                          <w:rPr>
                            <w:rFonts w:ascii="Times New Roman" w:cs="Times New Roman"/>
                            <w:szCs w:val="21"/>
                          </w:rPr>
                          <w:t>（一）</w:t>
                        </w:r>
                        <w:r>
                          <w:rPr>
                            <w:rFonts w:ascii="Times New Roman" w:cs="Times New Roman"/>
                          </w:rPr>
                          <w:t>持续经营净利润（净亏损以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-911,454.49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52,492,048.64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21798e8f64a4d18a4ff3dcbcdca3010"/>
                    <w:id w:val="865723697"/>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Times New Roman" w:hAnsi="Times New Roman" w:cs="Times New Roman"/>
                          </w:rPr>
                        </w:pPr>
                        <w:r>
                          <w:rPr>
                            <w:rFonts w:ascii="Times New Roman" w:cs="Times New Roman"/>
                          </w:rPr>
                          <w:t>（二）终止经营净利润（净亏损以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ef7206cc31b415e9336bbf8771bf079"/>
                    <w:id w:val="865723698"/>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rPr>
                            <w:rFonts w:ascii="Times New Roman" w:hAnsi="Times New Roman" w:cs="Times New Roman"/>
                            <w:szCs w:val="21"/>
                          </w:rPr>
                        </w:pPr>
                        <w:r>
                          <w:rPr>
                            <w:rFonts w:ascii="Times New Roman" w:cs="Times New Roman"/>
                            <w:szCs w:val="21"/>
                          </w:rPr>
                          <w:t>五、其他综合收益的税后净额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78d78cb79b143eda21d77b8b82eb405"/>
                    <w:id w:val="865723699"/>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szCs w:val="21"/>
                          </w:rPr>
                          <w:t>（一）不能重分类进损益的其他综合收益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4507744845347d5a7ddb6cb1d271871"/>
                    <w:id w:val="865723700"/>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重新计量设定受益计划变动额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d4afbe307044420b1bee0e63190ef5e"/>
                    <w:id w:val="865723701"/>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权益法下不能转损益的其他综合收益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1ab23fe3f5fb4d2e99bba5f949df64c9"/>
                      <w:id w:val="865723702"/>
                      <w:lock w:val="sdtLocked"/>
                    </w:sdtPr>
                    <w:sdtEndPr>
                      <w:rPr>
                        <w:rFonts w:ascii="Times New Roman" w:hAnsi="Times New Roman" w:cs="Times New Roman"/>
                      </w:rPr>
                    </w:sdtEndPr>
                    <w:sdtContent>
                      <w:p>
                        <w:pPr>
                          <w:ind w:firstLine="420" w:firstLineChars="200"/>
                          <w:rPr>
                            <w:rFonts w:ascii="Times New Roman" w:hAnsi="Times New Roman" w:cs="Times New Roman"/>
                          </w:rPr>
                        </w:pPr>
                        <w:r>
                          <w:rPr>
                            <w:rFonts w:ascii="Times New Roman" w:hAnsi="Times New Roman" w:cs="Times New Roman"/>
                          </w:rPr>
                          <w:t>3.</w:t>
                        </w:r>
                        <w:r>
                          <w:rPr>
                            <w:rFonts w:ascii="Times New Roman" w:cs="Times New Roman"/>
                          </w:rPr>
                          <w:t>其他权益工具投资公允价值变动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abea2d90d8ff45378fbf0448a4edfb34"/>
                      <w:id w:val="865723703"/>
                      <w:lock w:val="sdtLocked"/>
                    </w:sdtPr>
                    <w:sdtEndPr>
                      <w:rPr>
                        <w:rFonts w:ascii="Times New Roman" w:hAnsi="Times New Roman" w:cs="Times New Roman"/>
                      </w:rPr>
                    </w:sdtEndPr>
                    <w:sdtContent>
                      <w:p>
                        <w:pPr>
                          <w:ind w:firstLine="420" w:firstLineChars="200"/>
                          <w:rPr>
                            <w:rFonts w:ascii="Times New Roman" w:hAnsi="Times New Roman" w:cs="Times New Roman"/>
                          </w:rPr>
                        </w:pPr>
                        <w:r>
                          <w:rPr>
                            <w:rFonts w:ascii="Times New Roman" w:hAnsi="Times New Roman" w:cs="Times New Roman"/>
                          </w:rPr>
                          <w:t>4.</w:t>
                        </w:r>
                        <w:r>
                          <w:rPr>
                            <w:rFonts w:ascii="Times New Roman" w:cs="Times New Roman"/>
                          </w:rPr>
                          <w:t>企业自身信用风险公允价值变动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00e44a13bef4fa0a457e81da4156f5c"/>
                    <w:id w:val="865723704"/>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imes New Roman" w:hAnsi="Times New Roman" w:cs="Times New Roman"/>
                            <w:szCs w:val="21"/>
                          </w:rPr>
                        </w:pPr>
                        <w:r>
                          <w:rPr>
                            <w:rFonts w:ascii="Times New Roman" w:cs="Times New Roman"/>
                            <w:szCs w:val="21"/>
                          </w:rPr>
                          <w:t>（二）将重分类进损益的其他综合收益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e0457608e334038bbea3ead8c7f6e4e"/>
                    <w:id w:val="865723705"/>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权益法下可转损益的其他综合收益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szCs w:val="21"/>
                      </w:rPr>
                      <w:tag w:val="_PLD_49768ae1f6844b65b5a0f506fe62dcae"/>
                      <w:id w:val="865723706"/>
                      <w:lock w:val="sdtLocked"/>
                    </w:sdtPr>
                    <w:sdtEndPr>
                      <w:rPr>
                        <w:rFonts w:ascii="Times New Roman" w:hAnsi="Times New Roman" w:cs="Times New Roman"/>
                        <w:szCs w:val="24"/>
                      </w:rPr>
                    </w:sdtEndPr>
                    <w:sdtContent>
                      <w:p>
                        <w:pPr>
                          <w:ind w:firstLine="420" w:firstLineChars="200"/>
                          <w:rPr>
                            <w:rFonts w:ascii="Times New Roman" w:hAnsi="Times New Roman" w:cs="Times New Roman"/>
                          </w:rPr>
                        </w:pPr>
                        <w:r>
                          <w:rPr>
                            <w:rFonts w:ascii="Times New Roman" w:hAnsi="Times New Roman" w:cs="Times New Roman"/>
                            <w:szCs w:val="21"/>
                          </w:rPr>
                          <w:t>2.</w:t>
                        </w:r>
                        <w:r>
                          <w:rPr>
                            <w:rFonts w:ascii="Times New Roman" w:cs="Times New Roman"/>
                          </w:rPr>
                          <w:t>其他债权投资公允价值变动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bb13f12adaea41d7a1dc99b71aea9b5b"/>
                      <w:id w:val="865723707"/>
                      <w:lock w:val="sdtLocked"/>
                    </w:sdtPr>
                    <w:sdtEndPr>
                      <w:rPr>
                        <w:rFonts w:ascii="Times New Roman" w:hAnsi="Times New Roman" w:cs="Times New Roman"/>
                      </w:rPr>
                    </w:sdtEndPr>
                    <w:sdtContent>
                      <w:p>
                        <w:pPr>
                          <w:ind w:firstLine="420" w:firstLineChars="200"/>
                          <w:rPr>
                            <w:rFonts w:ascii="Times New Roman" w:hAnsi="Times New Roman" w:cs="Times New Roman"/>
                          </w:rPr>
                        </w:pPr>
                        <w:r>
                          <w:rPr>
                            <w:rFonts w:ascii="Times New Roman" w:hAnsi="Times New Roman" w:cs="Times New Roman"/>
                          </w:rPr>
                          <w:t>3.</w:t>
                        </w:r>
                        <w:r>
                          <w:rPr>
                            <w:rFonts w:ascii="Times New Roman" w:cs="Times New Roman"/>
                          </w:rPr>
                          <w:t>金融资产重分类计入其他综合收益的金额</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fe94406153bf40de8d9b744461e28099"/>
                      <w:id w:val="865723708"/>
                      <w:lock w:val="sdtLocked"/>
                    </w:sdtPr>
                    <w:sdtEndPr>
                      <w:rPr>
                        <w:rFonts w:ascii="Times New Roman" w:hAnsi="Times New Roman" w:cs="Times New Roman"/>
                      </w:rPr>
                    </w:sdtEndPr>
                    <w:sdtContent>
                      <w:p>
                        <w:pPr>
                          <w:ind w:firstLine="420" w:firstLineChars="200"/>
                          <w:rPr>
                            <w:rFonts w:ascii="Times New Roman" w:hAnsi="Times New Roman" w:cs="Times New Roman"/>
                          </w:rPr>
                        </w:pPr>
                        <w:r>
                          <w:rPr>
                            <w:rFonts w:ascii="Times New Roman" w:hAnsi="Times New Roman" w:cs="Times New Roman"/>
                          </w:rPr>
                          <w:t>4.</w:t>
                        </w:r>
                        <w:r>
                          <w:rPr>
                            <w:rFonts w:ascii="Times New Roman" w:cs="Times New Roman"/>
                          </w:rPr>
                          <w:t>其他债权投资信用减值准备</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38a56d130a464815ad321892534e8d2b"/>
                      <w:id w:val="865723709"/>
                      <w:lock w:val="sdtLocked"/>
                    </w:sdtPr>
                    <w:sdtEndPr>
                      <w:rPr>
                        <w:rFonts w:ascii="Times New Roman" w:hAnsi="Times New Roman" w:cs="Times New Roman"/>
                      </w:rPr>
                    </w:sdtEndPr>
                    <w:sdtContent>
                      <w:p>
                        <w:pPr>
                          <w:ind w:firstLine="420" w:firstLineChars="200"/>
                          <w:rPr>
                            <w:rFonts w:ascii="Times New Roman" w:hAnsi="Times New Roman" w:cs="Times New Roman"/>
                          </w:rPr>
                        </w:pPr>
                        <w:r>
                          <w:rPr>
                            <w:rFonts w:ascii="Times New Roman" w:hAnsi="Times New Roman" w:cs="Times New Roman"/>
                          </w:rPr>
                          <w:t>5.</w:t>
                        </w:r>
                        <w:r>
                          <w:rPr>
                            <w:rFonts w:ascii="Times New Roman" w:cs="Times New Roman"/>
                          </w:rPr>
                          <w:t>现金流量套期储备</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dd6ccaef27ea479f9a8ae916e09fc2bd"/>
                      <w:id w:val="865723710"/>
                      <w:lock w:val="sdtLocked"/>
                    </w:sdtPr>
                    <w:sdtEndPr>
                      <w:rPr>
                        <w:rFonts w:ascii="Times New Roman" w:hAnsi="Times New Roman" w:cs="Times New Roman"/>
                      </w:rPr>
                    </w:sdtEndPr>
                    <w:sdtContent>
                      <w:p>
                        <w:pPr>
                          <w:ind w:firstLine="420" w:firstLineChars="200"/>
                          <w:rPr>
                            <w:rFonts w:ascii="Times New Roman" w:hAnsi="Times New Roman" w:cs="Times New Roman"/>
                          </w:rPr>
                        </w:pPr>
                        <w:r>
                          <w:rPr>
                            <w:rFonts w:ascii="Times New Roman" w:hAnsi="Times New Roman" w:cs="Times New Roman"/>
                          </w:rPr>
                          <w:t>6.</w:t>
                        </w:r>
                        <w:r>
                          <w:rPr>
                            <w:rFonts w:ascii="Times New Roman" w:cs="Times New Roman"/>
                          </w:rPr>
                          <w:t>外币财务报表折算差额</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imes New Roman" w:hAnsi="Times New Roman" w:cs="Times New Roman"/>
                      </w:rPr>
                      <w:tag w:val="_PLD_dd832ab85f5b4f9a89fd7c302f167e62"/>
                      <w:id w:val="865723711"/>
                      <w:lock w:val="sdtLocked"/>
                    </w:sdtPr>
                    <w:sdtEndPr>
                      <w:rPr>
                        <w:rFonts w:ascii="Times New Roman" w:hAnsi="Times New Roman" w:cs="Times New Roman"/>
                      </w:rPr>
                    </w:sdtEndPr>
                    <w:sdtContent>
                      <w:p>
                        <w:pPr>
                          <w:ind w:firstLine="420" w:firstLineChars="200"/>
                          <w:rPr>
                            <w:rFonts w:ascii="Times New Roman" w:hAnsi="Times New Roman" w:cs="Times New Roman"/>
                          </w:rPr>
                        </w:pPr>
                        <w:r>
                          <w:rPr>
                            <w:rFonts w:ascii="Times New Roman" w:hAnsi="Times New Roman" w:cs="Times New Roman"/>
                          </w:rPr>
                          <w:t>7.</w:t>
                        </w:r>
                        <w:r>
                          <w:rPr>
                            <w:rFonts w:ascii="Times New Roman" w:cs="Times New Roman"/>
                          </w:rPr>
                          <w:t>其他</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28c0f44a99b412d91d1d2a8552832c4"/>
                    <w:id w:val="865723712"/>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Times New Roman" w:hAnsi="Times New Roman" w:cs="Times New Roman"/>
                            <w:szCs w:val="21"/>
                          </w:rPr>
                        </w:pPr>
                        <w:r>
                          <w:rPr>
                            <w:rFonts w:ascii="Times New Roman" w:cs="Times New Roman"/>
                            <w:szCs w:val="21"/>
                          </w:rPr>
                          <w:t>六、综合收益总额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-911,454.49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52,492,048.64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b0447fd122e4105bde5cc49acaea414"/>
                    <w:id w:val="865723713"/>
                    <w:lock w:val="sdtLocked"/>
                  </w:sdtPr>
                  <w:sdtEndPr>
                    <w:rPr>
                      <w:rFonts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Cs w:val="21"/>
                          </w:rPr>
                        </w:pPr>
                        <w:r>
                          <w:rPr>
                            <w:rFonts w:ascii="Times New Roman" w:cs="Times New Roman"/>
                            <w:szCs w:val="21"/>
                          </w:rPr>
                          <w:t>七、每股收益：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a13c63375064e638db61d3d0d1116f4"/>
                    <w:id w:val="865723714"/>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Times New Roman" w:hAnsi="Times New Roman" w:cs="Times New Roman"/>
                            <w:szCs w:val="21"/>
                          </w:rPr>
                        </w:pPr>
                        <w:r>
                          <w:rPr>
                            <w:rFonts w:ascii="Times New Roman" w:cs="Times New Roman"/>
                            <w:szCs w:val="21"/>
                          </w:rPr>
                          <w:t>（一）基本每股收益</w:t>
                        </w:r>
                        <w:r>
                          <w:rPr>
                            <w:rFonts w:ascii="Times New Roman" w:hAnsi="Times New Roman" w:cs="Times New Roman"/>
                            <w:szCs w:val="21"/>
                          </w:rPr>
                          <w:t>(</w:t>
                        </w:r>
                        <w:r>
                          <w:rPr>
                            <w:rFonts w:ascii="Times New Roman" w:cs="Times New Roman"/>
                            <w:szCs w:val="21"/>
                          </w:rPr>
                          <w:t>元</w:t>
                        </w:r>
                        <w:r>
                          <w:rPr>
                            <w:rFonts w:ascii="Times New Roman" w:hAnsi="Times New Roman" w:cs="Times New Roman"/>
                            <w:szCs w:val="21"/>
                          </w:rPr>
                          <w:t>/</w:t>
                        </w:r>
                        <w:r>
                          <w:rPr>
                            <w:rFonts w:ascii="Times New Roman" w:cs="Times New Roman"/>
                            <w:szCs w:val="21"/>
                          </w:rPr>
                          <w:t>股</w:t>
                        </w:r>
                        <w:r>
                          <w:rPr>
                            <w:rFonts w:ascii="Times New Roman" w:hAnsi="Times New Roman" w:cs="Times New Roman"/>
                            <w:szCs w:val="21"/>
                          </w:rPr>
                          <w:t>)</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ee1b0c33eb3461690321c1ead900c77"/>
                    <w:id w:val="865723715"/>
                    <w:lock w:val="sdtLocked"/>
                  </w:sdtPr>
                  <w:sdtEndPr>
                    <w:rPr>
                      <w:rFonts w:ascii="Times New Roman" w:hAnsi="Times New Roman" w:cs="Times New Roman"/>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Times New Roman" w:hAnsi="Times New Roman" w:cs="Times New Roman"/>
                            <w:szCs w:val="21"/>
                          </w:rPr>
                        </w:pPr>
                        <w:r>
                          <w:rPr>
                            <w:rFonts w:ascii="Times New Roman" w:cs="Times New Roman"/>
                            <w:szCs w:val="21"/>
                          </w:rPr>
                          <w:t>（二）稀释每股收益</w:t>
                        </w:r>
                        <w:r>
                          <w:rPr>
                            <w:rFonts w:ascii="Times New Roman" w:hAnsi="Times New Roman" w:cs="Times New Roman"/>
                            <w:szCs w:val="21"/>
                          </w:rPr>
                          <w:t>(</w:t>
                        </w:r>
                        <w:r>
                          <w:rPr>
                            <w:rFonts w:ascii="Times New Roman" w:cs="Times New Roman"/>
                            <w:szCs w:val="21"/>
                          </w:rPr>
                          <w:t>元</w:t>
                        </w:r>
                        <w:r>
                          <w:rPr>
                            <w:rFonts w:ascii="Times New Roman" w:hAnsi="Times New Roman" w:cs="Times New Roman"/>
                            <w:szCs w:val="21"/>
                          </w:rPr>
                          <w:t>/</w:t>
                        </w:r>
                        <w:r>
                          <w:rPr>
                            <w:rFonts w:ascii="Times New Roman" w:cs="Times New Roman"/>
                            <w:szCs w:val="21"/>
                          </w:rPr>
                          <w:t>股</w:t>
                        </w:r>
                        <w:r>
                          <w:rPr>
                            <w:rFonts w:ascii="Times New Roman" w:hAnsi="Times New Roman" w:cs="Times New Roman"/>
                            <w:szCs w:val="21"/>
                          </w:rPr>
                          <w:t>)</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bl>
            <w:p/>
            <w:p>
              <w:pPr>
                <w:snapToGrid w:val="0"/>
                <w:spacing w:line="240" w:lineRule="atLeast"/>
                <w:ind w:right="-153" w:rightChars="-7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865723716"/>
                  <w:lock w:val="sdtLocked"/>
                  <w:placeholder>
                    <w:docPart w:val="GBC22222222222222222222222222222"/>
                  </w:placeholder>
                  <w15:dataBinding w:prefixMappings="xmlns:clcid-mr='clcid-mr'" w:xpath="/*/clcid-mr:GongSiFuZeRenXingMing[not(@periodRef)]" w:storeItemID="{89EBAB94-44A0-46A2-B712-30D997D04A6D}"/>
                  <w:text/>
                </w:sdtPr>
                <w:sdtEndPr>
                  <w:rPr>
                    <w:rFonts w:hint="eastAsia"/>
                    <w:szCs w:val="21"/>
                  </w:rPr>
                </w:sdtEndPr>
                <w:sdtContent>
                  <w:r>
                    <w:rPr>
                      <w:rFonts w:hint="eastAsia"/>
                      <w:szCs w:val="21"/>
                    </w:rPr>
                    <w:t xml:space="preserve">林钻煌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865723717"/>
                  <w:lock w:val="sdtLocked"/>
                  <w:placeholder>
                    <w:docPart w:val="GBC22222222222222222222222222222"/>
                  </w:placeholder>
                  <w15: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王为民</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865723718"/>
                  <w:lock w:val="sdtLocked"/>
                  <w:placeholder>
                    <w:docPart w:val="GBC22222222222222222222222222222"/>
                  </w:placeholder>
                  <w15: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 xml:space="preserve">游发禄 </w:t>
                  </w:r>
                </w:sdtContent>
              </w:sdt>
            </w:p>
          </w:sdtContent>
        </w:sdt>
        <w:p>
          <w:pPr>
            <w:rPr>
              <w:color w:val="FF0000"/>
              <w:szCs w:val="21"/>
            </w:rPr>
          </w:pPr>
        </w:p>
      </w:sdtContent>
    </w:sdt>
    <w:bookmarkEnd w:id="113"/>
    <w:p>
      <w:pPr>
        <w:rPr>
          <w:color w:val="FF0000"/>
          <w:szCs w:val="21"/>
        </w:rPr>
      </w:pPr>
    </w:p>
    <w:p>
      <w:pPr>
        <w:rPr>
          <w:color w:val="FF0000"/>
          <w:szCs w:val="21"/>
        </w:rPr>
      </w:pPr>
    </w:p>
    <w:sdt>
      <w:sdtPr>
        <w:rPr>
          <w:rFonts w:hint="eastAsia"/>
          <w:b/>
          <w:bCs/>
          <w:szCs w:val="21"/>
        </w:rPr>
        <w:alias w:val="选项模块:需要编制合并报表"/>
        <w:tag w:val="_GBC_d6533048a32749eaa7738390457b7f24"/>
        <w:id w:val="865723836"/>
        <w:lock w:val="sdtLocked"/>
        <w:placeholder>
          <w:docPart w:val="GBC22222222222222222222222222222"/>
        </w:placeholder>
      </w:sdtPr>
      <w:sdtEndPr>
        <w:rPr>
          <w:rFonts w:hint="eastAsia"/>
          <w:b/>
          <w:bCs/>
          <w:szCs w:val="21"/>
        </w:rPr>
      </w:sdtEndPr>
      <w:sdtContent>
        <w:sdt>
          <w:sdtPr>
            <w:rPr>
              <w:rFonts w:hint="eastAsia"/>
              <w:b/>
              <w:bCs/>
              <w:szCs w:val="21"/>
            </w:rPr>
            <w:tag w:val="_GBC_17c43da24c7845d3aa093910aeaf2348"/>
            <w:id w:val="865723787"/>
            <w:lock w:val="sdtLocked"/>
            <w:placeholder>
              <w:docPart w:val="GBC22222222222222222222222222222"/>
            </w:placeholder>
          </w:sdtPr>
          <w:sdtEndPr>
            <w:rPr>
              <w:rFonts w:hint="eastAsia"/>
              <w:b w:val="0"/>
              <w:bCs w:val="0"/>
              <w:szCs w:val="21"/>
            </w:rPr>
          </w:sdtEndPr>
          <w:sdtContent>
            <w:p>
              <w:pPr>
                <w:jc w:val="center"/>
                <w:outlineLvl w:val="2"/>
                <w:rPr>
                  <w:b/>
                  <w:bCs/>
                  <w:szCs w:val="21"/>
                </w:rPr>
              </w:pPr>
              <w:bookmarkStart w:id="114" w:name="_Hlk1156136"/>
              <w:r>
                <w:rPr>
                  <w:rFonts w:hint="eastAsia"/>
                  <w:b/>
                  <w:bCs/>
                  <w:szCs w:val="21"/>
                </w:rPr>
                <w:t>合并</w:t>
              </w:r>
              <w:r>
                <w:rPr>
                  <w:b/>
                  <w:bCs/>
                  <w:szCs w:val="21"/>
                </w:rPr>
                <w:t>现金流量表</w:t>
              </w:r>
            </w:p>
            <w:p>
              <w:pPr>
                <w:jc w:val="center"/>
                <w:rPr>
                  <w:b/>
                  <w:bCs/>
                  <w:szCs w:val="21"/>
                </w:rPr>
              </w:pPr>
              <w:r>
                <w:rPr>
                  <w:szCs w:val="21"/>
                </w:rPr>
                <w:t>2021年</w:t>
              </w:r>
              <w:r>
                <w:rPr>
                  <w:rFonts w:hint="eastAsia"/>
                  <w:szCs w:val="21"/>
                </w:rPr>
                <w:t>1—12</w:t>
              </w:r>
              <w:r>
                <w:rPr>
                  <w:szCs w:val="21"/>
                </w:rPr>
                <w:t>月</w:t>
              </w:r>
            </w:p>
            <w:p>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8657237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865723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2"/>
                <w:gridCol w:w="1567"/>
                <w:gridCol w:w="2174"/>
                <w:gridCol w:w="21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b/>
                      </w:rPr>
                      <w:tag w:val="_PLD_5a1e687815424d54a4dd8744648aa3cb"/>
                      <w:id w:val="865723723"/>
                      <w:lock w:val="sdtLocked"/>
                    </w:sdtPr>
                    <w:sdtEndPr>
                      <w:rPr>
                        <w:rFonts w:ascii="Times New Roman" w:hAnsi="Times New Roman" w:cs="Times New Roman"/>
                        <w:b/>
                      </w:rPr>
                    </w:sdtEndPr>
                    <w:sdtContent>
                      <w:p>
                        <w:pPr>
                          <w:jc w:val="center"/>
                          <w:rPr>
                            <w:rFonts w:ascii="Times New Roman" w:hAnsi="Times New Roman" w:cs="Times New Roman"/>
                            <w:b/>
                          </w:rPr>
                        </w:pPr>
                        <w:r>
                          <w:rPr>
                            <w:rFonts w:ascii="Times New Roman" w:cs="Times New Roman"/>
                            <w:b/>
                          </w:rPr>
                          <w:t>项目</w:t>
                        </w:r>
                      </w:p>
                    </w:sdtContent>
                  </w:sdt>
                </w:tc>
                <w:tc>
                  <w:tcPr>
                    <w:tcW w:w="866"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b/>
                      </w:rPr>
                      <w:tag w:val="_PLD_3c902166982f4ea18b3f3d11c1fe2190"/>
                      <w:id w:val="865723724"/>
                      <w:lock w:val="sdtLocked"/>
                    </w:sdtPr>
                    <w:sdtEndPr>
                      <w:rPr>
                        <w:rFonts w:ascii="Times New Roman" w:hAnsi="Times New Roman" w:cs="Times New Roman"/>
                        <w:b/>
                      </w:rPr>
                    </w:sdtEndPr>
                    <w:sdtContent>
                      <w:p>
                        <w:pPr>
                          <w:jc w:val="center"/>
                          <w:rPr>
                            <w:rFonts w:ascii="Times New Roman" w:hAnsi="Times New Roman" w:cs="Times New Roman"/>
                            <w:b/>
                          </w:rPr>
                        </w:pPr>
                        <w:r>
                          <w:rPr>
                            <w:rFonts w:ascii="Times New Roman" w:cs="Times New Roman"/>
                            <w:b/>
                          </w:rPr>
                          <w:t>附注</w:t>
                        </w:r>
                      </w:p>
                    </w:sdtContent>
                  </w:sdt>
                </w:tc>
                <w:tc>
                  <w:tcPr>
                    <w:tcW w:w="1201"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b/>
                      </w:rPr>
                      <w:tag w:val="_PLD_29a06cc719e5467e82013eb798ebb143"/>
                      <w:id w:val="865723725"/>
                      <w:lock w:val="sdtLocked"/>
                    </w:sdtPr>
                    <w:sdtEndPr>
                      <w:rPr>
                        <w:rFonts w:ascii="Times New Roman" w:hAnsi="Times New Roman" w:cs="Times New Roman"/>
                        <w:b/>
                      </w:rPr>
                    </w:sdtEndPr>
                    <w:sdtContent>
                      <w:p>
                        <w:pPr>
                          <w:autoSpaceDE w:val="0"/>
                          <w:autoSpaceDN w:val="0"/>
                          <w:adjustRightInd w:val="0"/>
                          <w:jc w:val="center"/>
                          <w:rPr>
                            <w:rFonts w:ascii="Times New Roman" w:hAnsi="Times New Roman" w:cs="Times New Roman"/>
                            <w:b/>
                          </w:rPr>
                        </w:pPr>
                        <w:r>
                          <w:rPr>
                            <w:rFonts w:ascii="Times New Roman" w:hAnsi="Times New Roman" w:cs="Times New Roman"/>
                            <w:b/>
                          </w:rPr>
                          <w:t>2021</w:t>
                        </w:r>
                        <w:r>
                          <w:rPr>
                            <w:rFonts w:ascii="Times New Roman" w:cs="Times New Roman"/>
                            <w:b/>
                          </w:rPr>
                          <w:t>年度</w:t>
                        </w:r>
                      </w:p>
                    </w:sdtContent>
                  </w:sdt>
                </w:tc>
                <w:tc>
                  <w:tcPr>
                    <w:tcW w:w="1197"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b/>
                      </w:rPr>
                      <w:tag w:val="_PLD_0bd5effed8234e5eb21199f6669657c2"/>
                      <w:id w:val="865723726"/>
                      <w:lock w:val="sdtLocked"/>
                    </w:sdtPr>
                    <w:sdtEndPr>
                      <w:rPr>
                        <w:rFonts w:ascii="Times New Roman" w:hAnsi="Times New Roman" w:cs="Times New Roman"/>
                        <w:b/>
                      </w:rPr>
                    </w:sdtEndPr>
                    <w:sdtContent>
                      <w:p>
                        <w:pPr>
                          <w:autoSpaceDE w:val="0"/>
                          <w:autoSpaceDN w:val="0"/>
                          <w:adjustRightInd w:val="0"/>
                          <w:jc w:val="center"/>
                          <w:rPr>
                            <w:rFonts w:ascii="Times New Roman" w:hAnsi="Times New Roman" w:cs="Times New Roman"/>
                            <w:b/>
                          </w:rPr>
                        </w:pPr>
                        <w:r>
                          <w:rPr>
                            <w:rFonts w:ascii="Times New Roman" w:hAnsi="Times New Roman" w:cs="Times New Roman"/>
                            <w:b/>
                          </w:rPr>
                          <w:t>2020</w:t>
                        </w:r>
                        <w:r>
                          <w:rPr>
                            <w:rFonts w:ascii="Times New Roman" w:cs="Times New Roman"/>
                            <w:b/>
                          </w:rPr>
                          <w:t>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03c8258c1684fb989d96332af6834de"/>
                    <w:id w:val="865723727"/>
                    <w:lock w:val="sdtLocked"/>
                  </w:sdtPr>
                  <w:sdtEndPr>
                    <w:rPr>
                      <w:rFonts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r>
                          <w:rPr>
                            <w:rFonts w:ascii="Times New Roman" w:cs="Times New Roman"/>
                            <w:b/>
                            <w:bCs/>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b7e55e1cfcb4655808df7bda47d97ec"/>
                    <w:id w:val="865723728"/>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销售商品、提供劳务收到的现金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758,646,180.08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766,550,047.61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cd6a1da1ce04969ab94f3d191b3bb83"/>
                    <w:id w:val="865723729"/>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客户存款和同业存放款项净增加额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e6146827638482e8d56c6d2250d1792"/>
                    <w:id w:val="865723730"/>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向中央银行借款净增加额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c462c73e35f4efc9fdcb3be58aa752a"/>
                    <w:id w:val="865723731"/>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向其他金融机构拆入资金净增加额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eaf2afeecda4cc3b13be54aecb18895"/>
                    <w:id w:val="865723732"/>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收到原保险合同保费取得的现金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8918403295945ef9b28a3ebb7c9affe"/>
                    <w:id w:val="865723733"/>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收到再保业务现金净额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35720274c044244992b1a395261f295"/>
                    <w:id w:val="865723734"/>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保户储金及投资款净增加额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3820705d1a140a38a43eaf3b8d9f705"/>
                    <w:id w:val="865723735"/>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收取利息、手续费及佣金的现金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637576284b6468992df1f554100cbd7"/>
                    <w:id w:val="865723736"/>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拆入资金净增加额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3021ffbcba945e3b020b2a8a345189d"/>
                    <w:id w:val="865723737"/>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回购业务资金净增加额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rPr>
                      <w:tag w:val="_PLD_badcf00524c34000b2ae5e68005ddf1f"/>
                      <w:id w:val="865723738"/>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代理买卖证券收到的现金净额</w:t>
                        </w:r>
                      </w:p>
                    </w:sdtContent>
                  </w:sdt>
                </w:tc>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b5959da352549aaba5dd3bad9321535"/>
                    <w:id w:val="865723739"/>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收到的税费返还</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2,330,639.95</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600,752.94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c812e39a8d445bc9e28f1b9a56eab81"/>
                    <w:id w:val="865723740"/>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收到其他与经营活动有关的现金</w:t>
                        </w:r>
                      </w:p>
                    </w:tc>
                  </w:sdtContent>
                </w:sdt>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七、</w:t>
                    </w:r>
                    <w:r>
                      <w:rPr>
                        <w:rFonts w:ascii="Times New Roman" w:hAnsi="Times New Roman" w:cs="Times New Roman"/>
                        <w:szCs w:val="21"/>
                      </w:rPr>
                      <w:t>78.（1）</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33,837,989.73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29,333,542.78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ad3f8d4c3534e0ab5b93752e1aec8cb"/>
                    <w:id w:val="865723741"/>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经营活动现金流入小计</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794,814,809.76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796,484,343.33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bb303b247624b63b84a3dc2e0703e2f"/>
                    <w:id w:val="865723742"/>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购买商品、接受劳务支付的现金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581,472,648.70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501,733,566.95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c1e3fff2fc2437c8b902c4b8e4226c0"/>
                    <w:id w:val="865723743"/>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客户贷款及垫款净增加额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07e96a6744a4f12ad0ded2770585802"/>
                    <w:id w:val="865723744"/>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存放中央银行和同业款项净增加额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c5e53965ac242e7b9cfb2bf7b10ffdb"/>
                    <w:id w:val="865723745"/>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支付原保险合同赔付款项的现金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rPr>
                      <w:tag w:val="_PLD_07fd33a33b61452a8cba543cf254d99c"/>
                      <w:id w:val="865723746"/>
                      <w:lock w:val="sdtLocked"/>
                    </w:sdtPr>
                    <w:sdtEndPr>
                      <w:rPr>
                        <w:rFonts w:ascii="Times New Roman" w:hAnsi="Times New Roman" w:cs="Times New Roman"/>
                      </w:rPr>
                    </w:sdtEndPr>
                    <w:sdtContent>
                      <w:p>
                        <w:pPr>
                          <w:ind w:firstLine="210" w:firstLineChars="100"/>
                          <w:rPr>
                            <w:rFonts w:ascii="Times New Roman" w:hAnsi="Times New Roman" w:cs="Times New Roman"/>
                          </w:rPr>
                        </w:pPr>
                        <w:r>
                          <w:rPr>
                            <w:rFonts w:ascii="Times New Roman" w:cs="Times New Roman"/>
                          </w:rPr>
                          <w:t>拆出资金净增加额</w:t>
                        </w:r>
                      </w:p>
                    </w:sdtContent>
                  </w:sdt>
                </w:tc>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b7a60b5f03c4c6d870ee06f94f6dd17"/>
                    <w:id w:val="865723747"/>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支付利息、手续费及佣金的现金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8c03498242b4021a15af0d67036302b"/>
                    <w:id w:val="865723748"/>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支付保单红利的现金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d3ba95030be45a28bed0514b778814a"/>
                    <w:id w:val="865723749"/>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支付给职工及为职工支付的现金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143,039,550.07</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134,724,147.45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488588795384f7280c2f4257b7c6a1c"/>
                    <w:id w:val="865723750"/>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支付的各项税费</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35,565,503.00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39,197,278.02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492121c84cd4c6e8c4692c9d1aa7dad"/>
                    <w:id w:val="865723751"/>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支付其他与经营活动有关的现金</w:t>
                        </w:r>
                      </w:p>
                    </w:tc>
                  </w:sdtContent>
                </w:sdt>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七、</w:t>
                    </w:r>
                    <w:r>
                      <w:rPr>
                        <w:rFonts w:ascii="Times New Roman" w:hAnsi="Times New Roman" w:cs="Times New Roman"/>
                        <w:szCs w:val="21"/>
                      </w:rPr>
                      <w:t>78.（2）</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88,834,302.83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105,042,903.84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6fb8d6a15c242f1b6e51ee709f4bab7"/>
                    <w:id w:val="865723752"/>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经营活动现金流出小计</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848,912,004.60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780,697,896.26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41a992a38b8411b905e8c206db6ab55"/>
                    <w:id w:val="865723753"/>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ascii="Times New Roman" w:hAnsi="Times New Roman" w:cs="Times New Roman"/>
                            <w:color w:val="000000"/>
                            <w:szCs w:val="21"/>
                          </w:rPr>
                        </w:pPr>
                        <w:r>
                          <w:rPr>
                            <w:rFonts w:ascii="Times New Roman" w:cs="Times New Roman"/>
                            <w:szCs w:val="21"/>
                          </w:rPr>
                          <w:t>经营活动产生的现金流量净额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-54,097,194.84</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15,786,447.07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b59aa0e2bd944b8ba7271368c6da00a"/>
                    <w:id w:val="865723754"/>
                    <w:lock w:val="sdtLocked"/>
                  </w:sdtPr>
                  <w:sdtEndPr>
                    <w:rPr>
                      <w:rFonts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color w:val="008000"/>
                            <w:szCs w:val="21"/>
                          </w:rPr>
                        </w:pPr>
                        <w:r>
                          <w:rPr>
                            <w:rFonts w:ascii="Times New Roman" w:cs="Times New Roman"/>
                            <w:b/>
                            <w:bCs/>
                            <w:szCs w:val="21"/>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755636761194418b2b21a581a3bb314"/>
                    <w:id w:val="865723755"/>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收回投资收到的现金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12,732,000.00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b3a49948dc446c78ab0fa3bbe264a1c"/>
                    <w:id w:val="865723756"/>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取得投资收益收到的现金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20,062,907.10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19,630,578.69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1c0cb329dc14342a1251732653eac4e"/>
                    <w:id w:val="865723757"/>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处置固定资产、无形资产和其他长期资产收回的现金净额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516,583.03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1,082,783.12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3f8a3b92f714220bfd5b95bf8eb97d7"/>
                    <w:id w:val="865723758"/>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处置子公司及其他营业单位收到的现金净额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888590169394725b2f2e0e1479ea4b4"/>
                    <w:id w:val="865723759"/>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收到其他与投资活动有关的现金</w:t>
                        </w:r>
                      </w:p>
                    </w:tc>
                  </w:sdtContent>
                </w:sdt>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七、</w:t>
                    </w:r>
                    <w:r>
                      <w:rPr>
                        <w:rFonts w:ascii="Times New Roman" w:hAnsi="Times New Roman" w:cs="Times New Roman"/>
                        <w:szCs w:val="21"/>
                      </w:rPr>
                      <w:t>78.（3）</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721,062,156.79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140,638,887.21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19e5112f34449a2904ef319f479546c"/>
                    <w:id w:val="865723760"/>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投资活动现金流入小计</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741,641,646.92</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174,084,249.02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611d94f242442f680b6179a4c7a46f5"/>
                    <w:id w:val="865723761"/>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购建固定资产、无形资产和其他长期资产支付的现金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26,200,383.12</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21,545,424.07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2c7b2b7e74747c99f13be4faf8a27a0"/>
                    <w:id w:val="865723762"/>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投资支付的现金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3,464,021.28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4,346,265.65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61281e46c8a4f0e8b0ed014d1f6f10f"/>
                    <w:id w:val="865723763"/>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质押贷款净增加额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c35a2ba3e2b478fb911a7d343da0789"/>
                    <w:id w:val="865723764"/>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取得子公司及其他营业单位支付的现金净额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d7b5c905e8c422089771f49c5e64ed5"/>
                    <w:id w:val="865723765"/>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支付其他与投资活动有关的现金</w:t>
                        </w:r>
                      </w:p>
                    </w:tc>
                  </w:sdtContent>
                </w:sdt>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七、</w:t>
                    </w:r>
                    <w:r>
                      <w:rPr>
                        <w:rFonts w:ascii="Times New Roman" w:hAnsi="Times New Roman" w:cs="Times New Roman"/>
                        <w:szCs w:val="21"/>
                      </w:rPr>
                      <w:t>78.（4）</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44,010,000.00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100,500,000.00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4451a783354412fb1a11734aee5dc5e"/>
                    <w:id w:val="865723766"/>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投资活动现金流出小计</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73,674,404.40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126,391,689.72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8c3638f311941baa0ff8aad9a945e6a"/>
                    <w:id w:val="865723767"/>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ascii="Times New Roman" w:hAnsi="Times New Roman" w:cs="Times New Roman"/>
                            <w:color w:val="000000"/>
                            <w:szCs w:val="21"/>
                          </w:rPr>
                        </w:pPr>
                        <w:r>
                          <w:rPr>
                            <w:rFonts w:ascii="Times New Roman" w:cs="Times New Roman"/>
                            <w:szCs w:val="21"/>
                          </w:rPr>
                          <w:t>投资活动产生的现金流量净额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667,967,242.52</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47,692,559.30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e0d926902804b5baefad8990e4523b4"/>
                    <w:id w:val="865723768"/>
                    <w:lock w:val="sdtLocked"/>
                  </w:sdtPr>
                  <w:sdtEndPr>
                    <w:rPr>
                      <w:rFonts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color w:val="008000"/>
                            <w:szCs w:val="21"/>
                          </w:rPr>
                        </w:pPr>
                        <w:r>
                          <w:rPr>
                            <w:rFonts w:ascii="Times New Roman" w:cs="Times New Roman"/>
                            <w:b/>
                            <w:bCs/>
                            <w:szCs w:val="21"/>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0c58235dfbd4be4b6a6d7cbeace3487"/>
                    <w:id w:val="865723769"/>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吸收投资收到的现金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0825a09b9704822ae416df2302e2ccb"/>
                    <w:id w:val="865723770"/>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其中：子公司吸收少数股东投资收到的现金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af6109564ff45fa8b03e279d1cee3e7"/>
                    <w:id w:val="865723771"/>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取得借款收到的现金</w:t>
                        </w:r>
                      </w:p>
                    </w:tc>
                  </w:sdtContent>
                </w:sdt>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七、</w:t>
                    </w:r>
                    <w:r>
                      <w:rPr>
                        <w:rFonts w:ascii="Times New Roman" w:hAnsi="Times New Roman" w:cs="Times New Roman"/>
                        <w:szCs w:val="21"/>
                      </w:rPr>
                      <w:t>78.（5）</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75,000,000.00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73,000,000.00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504d291cebe439096ddf0d24d691766"/>
                    <w:id w:val="865723772"/>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收到其他与筹资活动有关的现金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1,843,920.00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80f65d9d6674747ab42df48196250ff"/>
                    <w:id w:val="865723773"/>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筹资活动现金流入小计</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76,843,920.00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73,000,000.00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ff7930be8e64ed1b13f59d6d08f096a"/>
                    <w:id w:val="865723774"/>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偿还债务支付的现金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73,000,000.00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90,000,000.00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bca8b27544e494dae353545d0c6bb93"/>
                    <w:id w:val="865723775"/>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分配股利、利润或偿付利息支付的现金</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2,781,904.20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3,226,949.96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1ab8b61b0154cdfa8b4f223a9b20fa6"/>
                    <w:id w:val="865723776"/>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其中：子公司支付给少数股东的股利、利润</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0e8fdaaed8747fe8ad8fd59610df512"/>
                    <w:id w:val="865723777"/>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支付其他与筹资活动有关的现金</w:t>
                        </w:r>
                      </w:p>
                    </w:tc>
                  </w:sdtContent>
                </w:sdt>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七、</w:t>
                    </w:r>
                    <w:r>
                      <w:rPr>
                        <w:rFonts w:ascii="Times New Roman" w:hAnsi="Times New Roman" w:cs="Times New Roman"/>
                        <w:szCs w:val="21"/>
                      </w:rPr>
                      <w:t>78.（6）</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1,520,880.00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150,920,880.00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9c16ab7e982410e87084b3173f3248b"/>
                    <w:id w:val="865723778"/>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筹资活动现金流出小计</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77,302,784.20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244,147,829.96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8b367a0b3e640df869e3dfe9c9e7295"/>
                    <w:id w:val="865723779"/>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ascii="Times New Roman" w:hAnsi="Times New Roman" w:cs="Times New Roman"/>
                            <w:color w:val="000000"/>
                            <w:szCs w:val="21"/>
                          </w:rPr>
                        </w:pPr>
                        <w:r>
                          <w:rPr>
                            <w:rFonts w:ascii="Times New Roman" w:cs="Times New Roman"/>
                            <w:szCs w:val="21"/>
                          </w:rPr>
                          <w:t>筹资活动产生的现金流量净额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-458,864.20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-171,147,829.96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b283b5426a14b14b38c0e391c747203"/>
                    <w:id w:val="865723780"/>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color w:val="000000"/>
                            <w:szCs w:val="21"/>
                          </w:rPr>
                        </w:pPr>
                        <w:r>
                          <w:rPr>
                            <w:rFonts w:ascii="Times New Roman" w:cs="Times New Roman"/>
                            <w:b/>
                            <w:bCs/>
                            <w:szCs w:val="21"/>
                          </w:rPr>
                          <w:t>四、汇率变动对现金及现金等价物的影响</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-416,052.68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-1,336,360.98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529ca6f8e5e45689b9190b11509b477"/>
                    <w:id w:val="865723781"/>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color w:val="000000"/>
                            <w:szCs w:val="21"/>
                          </w:rPr>
                        </w:pPr>
                        <w:r>
                          <w:rPr>
                            <w:rFonts w:ascii="Times New Roman" w:cs="Times New Roman"/>
                            <w:b/>
                            <w:bCs/>
                            <w:szCs w:val="21"/>
                          </w:rPr>
                          <w:t>五、现金及现金等价物净增加额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612,995,130.80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-109,005,184.57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e2e4a176094436e80351302050eec3e"/>
                    <w:id w:val="865723782"/>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加：期初现金及现金等价物余额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612,520,539.26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721,525,723.83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ffa189f12434f85b8eca19ea30d6b29"/>
                    <w:id w:val="865723783"/>
                    <w:lock w:val="sdtLocked"/>
                  </w:sdtPr>
                  <w:sdtEndPr>
                    <w:rPr>
                      <w:rFonts w:ascii="Times New Roman" w:hAnsi="Times New Roman" w:cs="Times New Roman"/>
                    </w:rPr>
                  </w:sdtEndPr>
                  <w:sdtContent>
                    <w:tc>
                      <w:tcPr>
                        <w:tcW w:w="173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color w:val="000000"/>
                            <w:szCs w:val="21"/>
                          </w:rPr>
                        </w:pPr>
                        <w:r>
                          <w:rPr>
                            <w:rFonts w:ascii="Times New Roman" w:cs="Times New Roman"/>
                            <w:b/>
                            <w:bCs/>
                            <w:szCs w:val="21"/>
                          </w:rPr>
                          <w:t>六、期末现金及现金等价物余额</w:t>
                        </w:r>
                      </w:p>
                    </w:tc>
                  </w:sdtContent>
                </w:sdt>
                <w:tc>
                  <w:tcPr>
                    <w:tcW w:w="866"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1,225,515,670.06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612,520,539.26</w:t>
                    </w:r>
                  </w:p>
                </w:tc>
              </w:tr>
            </w:tbl>
            <w:p/>
            <w:p>
              <w:pPr>
                <w:snapToGrid w:val="0"/>
                <w:spacing w:line="240" w:lineRule="atLeast"/>
                <w:ind w:right="25" w:rightChars="12"/>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865723784"/>
                  <w:lock w:val="sdtLocked"/>
                  <w:placeholder>
                    <w:docPart w:val="GBC22222222222222222222222222222"/>
                  </w:placeholder>
                  <w15:dataBinding w:prefixMappings="xmlns:clcid-mr='clcid-mr'" w:xpath="/*/clcid-mr:GongSiFuZeRenXingMing[not(@periodRef)]" w:storeItemID="{89EBAB94-44A0-46A2-B712-30D997D04A6D}"/>
                  <w:text/>
                </w:sdtPr>
                <w:sdtEndPr>
                  <w:rPr>
                    <w:rFonts w:hint="eastAsia"/>
                    <w:szCs w:val="21"/>
                  </w:rPr>
                </w:sdtEndPr>
                <w:sdtContent>
                  <w:r>
                    <w:rPr>
                      <w:rFonts w:hint="eastAsia"/>
                      <w:szCs w:val="21"/>
                    </w:rPr>
                    <w:t xml:space="preserve">林钻煌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865723785"/>
                  <w:lock w:val="sdtLocked"/>
                  <w:placeholder>
                    <w:docPart w:val="GBC22222222222222222222222222222"/>
                  </w:placeholder>
                  <w15: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王为民</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865723786"/>
                  <w:lock w:val="sdtLocked"/>
                  <w:placeholder>
                    <w:docPart w:val="GBC22222222222222222222222222222"/>
                  </w:placeholder>
                  <w15: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 xml:space="preserve">游发禄 </w:t>
                  </w:r>
                </w:sdtContent>
              </w:sdt>
            </w:p>
          </w:sdtContent>
        </w:sdt>
        <w:p>
          <w:pPr>
            <w:rPr>
              <w:szCs w:val="21"/>
            </w:rPr>
          </w:pPr>
        </w:p>
        <w:sdt>
          <w:sdtPr>
            <w:rPr>
              <w:rFonts w:hint="eastAsia"/>
              <w:b/>
              <w:bCs/>
              <w:szCs w:val="21"/>
            </w:rPr>
            <w:tag w:val="_GBC_fa07832b39b14b348ba105d6cedbd7b8"/>
            <w:id w:val="865723835"/>
            <w:lock w:val="sdtLocked"/>
            <w:placeholder>
              <w:docPart w:val="GBC22222222222222222222222222222"/>
            </w:placeholder>
          </w:sdtPr>
          <w:sdtEndPr>
            <w:rPr>
              <w:rFonts w:hint="eastAsia"/>
              <w:b w:val="0"/>
              <w:bCs w:val="0"/>
              <w:szCs w:val="21"/>
            </w:rPr>
          </w:sdtEndPr>
          <w:sdtContent>
            <w:p>
              <w:pPr>
                <w:jc w:val="center"/>
                <w:outlineLvl w:val="2"/>
                <w:rPr>
                  <w:b/>
                  <w:bCs/>
                  <w:szCs w:val="21"/>
                </w:rPr>
              </w:pPr>
              <w:r>
                <w:rPr>
                  <w:rFonts w:hint="eastAsia"/>
                  <w:b/>
                  <w:bCs/>
                  <w:szCs w:val="21"/>
                </w:rPr>
                <w:t>母公司</w:t>
              </w:r>
              <w:r>
                <w:rPr>
                  <w:b/>
                  <w:bCs/>
                  <w:szCs w:val="21"/>
                </w:rPr>
                <w:t>现金流量表</w:t>
              </w:r>
            </w:p>
            <w:p>
              <w:pPr>
                <w:jc w:val="center"/>
                <w:rPr>
                  <w:rFonts w:ascii="Times New Roman" w:hAnsi="Times New Roman" w:cs="Times New Roman"/>
                  <w:b/>
                  <w:bCs/>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1—12</w:t>
              </w:r>
              <w:r>
                <w:rPr>
                  <w:rFonts w:ascii="Times New Roman" w:cs="Times New Roman"/>
                  <w:szCs w:val="21"/>
                </w:rPr>
                <w:t>月</w:t>
              </w:r>
            </w:p>
            <w:p>
              <w:pPr>
                <w:jc w:val="right"/>
                <w:rPr>
                  <w:szCs w:val="21"/>
                </w:rPr>
              </w:pPr>
              <w:r>
                <w:rPr>
                  <w:szCs w:val="21"/>
                </w:rPr>
                <w:t>单位:</w:t>
              </w:r>
              <w:sdt>
                <w:sdtPr>
                  <w:rPr>
                    <w:szCs w:val="21"/>
                  </w:rPr>
                  <w:alias w:val="单位：母公司现金流量表"/>
                  <w:tag w:val="_GBC_993ead81b27a41dfaccaacfaec8b7c78"/>
                  <w:id w:val="8657237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8657237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5"/>
                <w:gridCol w:w="1569"/>
                <w:gridCol w:w="2172"/>
                <w:gridCol w:w="21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b/>
                      </w:rPr>
                      <w:tag w:val="_PLD_fa8a4a4fe8df4f0086d4a3f59744ef0c"/>
                      <w:id w:val="865723790"/>
                      <w:lock w:val="sdtLocked"/>
                    </w:sdtPr>
                    <w:sdtEndPr>
                      <w:rPr>
                        <w:rFonts w:ascii="Times New Roman" w:hAnsi="Times New Roman" w:cs="Times New Roman"/>
                        <w:b/>
                      </w:rPr>
                    </w:sdtEndPr>
                    <w:sdtContent>
                      <w:p>
                        <w:pPr>
                          <w:jc w:val="center"/>
                          <w:rPr>
                            <w:rFonts w:ascii="Times New Roman" w:hAnsi="Times New Roman" w:cs="Times New Roman"/>
                            <w:b/>
                          </w:rPr>
                        </w:pPr>
                        <w:r>
                          <w:rPr>
                            <w:rFonts w:ascii="Times New Roman" w:cs="Times New Roman"/>
                            <w:b/>
                          </w:rPr>
                          <w:t>项目</w:t>
                        </w:r>
                      </w:p>
                    </w:sdtContent>
                  </w:sdt>
                </w:tc>
                <w:tc>
                  <w:tcPr>
                    <w:tcW w:w="867"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b/>
                      </w:rPr>
                      <w:tag w:val="_PLD_e2b9d4cf46994f4f99a9560554670b54"/>
                      <w:id w:val="865723791"/>
                      <w:lock w:val="sdtLocked"/>
                    </w:sdtPr>
                    <w:sdtEndPr>
                      <w:rPr>
                        <w:rFonts w:ascii="Times New Roman" w:hAnsi="Times New Roman" w:cs="Times New Roman"/>
                        <w:b/>
                      </w:rPr>
                    </w:sdtEndPr>
                    <w:sdtContent>
                      <w:p>
                        <w:pPr>
                          <w:autoSpaceDE w:val="0"/>
                          <w:autoSpaceDN w:val="0"/>
                          <w:adjustRightInd w:val="0"/>
                          <w:jc w:val="center"/>
                          <w:rPr>
                            <w:rFonts w:ascii="Times New Roman" w:hAnsi="Times New Roman" w:cs="Times New Roman"/>
                            <w:b/>
                          </w:rPr>
                        </w:pPr>
                        <w:r>
                          <w:rPr>
                            <w:rFonts w:ascii="Times New Roman" w:cs="Times New Roman"/>
                            <w:b/>
                          </w:rPr>
                          <w:t>附注</w:t>
                        </w:r>
                      </w:p>
                    </w:sdtContent>
                  </w:sdt>
                </w:tc>
                <w:tc>
                  <w:tcPr>
                    <w:tcW w:w="1200"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b/>
                      </w:rPr>
                      <w:tag w:val="_PLD_a5e1076b6ae14d71abde0e9180405588"/>
                      <w:id w:val="865723792"/>
                      <w:lock w:val="sdtLocked"/>
                    </w:sdtPr>
                    <w:sdtEndPr>
                      <w:rPr>
                        <w:rFonts w:ascii="Times New Roman" w:hAnsi="Times New Roman" w:cs="Times New Roman"/>
                        <w:b/>
                      </w:rPr>
                    </w:sdtEndPr>
                    <w:sdtContent>
                      <w:p>
                        <w:pPr>
                          <w:autoSpaceDE w:val="0"/>
                          <w:autoSpaceDN w:val="0"/>
                          <w:adjustRightInd w:val="0"/>
                          <w:jc w:val="center"/>
                          <w:rPr>
                            <w:rFonts w:ascii="Times New Roman" w:hAnsi="Times New Roman" w:cs="Times New Roman"/>
                            <w:b/>
                          </w:rPr>
                        </w:pPr>
                        <w:r>
                          <w:rPr>
                            <w:rFonts w:ascii="Times New Roman" w:hAnsi="Times New Roman" w:cs="Times New Roman"/>
                            <w:b/>
                          </w:rPr>
                          <w:t>2021</w:t>
                        </w:r>
                        <w:r>
                          <w:rPr>
                            <w:rFonts w:ascii="Times New Roman" w:cs="Times New Roman"/>
                            <w:b/>
                          </w:rPr>
                          <w:t>年度</w:t>
                        </w:r>
                      </w:p>
                    </w:sdtContent>
                  </w:sdt>
                </w:tc>
                <w:tc>
                  <w:tcPr>
                    <w:tcW w:w="1195" w:type="pct"/>
                    <w:tcBorders>
                      <w:top w:val="outset" w:color="auto" w:sz="4" w:space="0"/>
                      <w:left w:val="outset" w:color="auto" w:sz="4" w:space="0"/>
                      <w:bottom w:val="outset" w:color="auto" w:sz="4" w:space="0"/>
                      <w:right w:val="outset" w:color="auto" w:sz="4" w:space="0"/>
                    </w:tcBorders>
                  </w:tcPr>
                  <w:sdt>
                    <w:sdtPr>
                      <w:rPr>
                        <w:rFonts w:ascii="Times New Roman" w:hAnsi="Times New Roman" w:cs="Times New Roman"/>
                        <w:b/>
                      </w:rPr>
                      <w:tag w:val="_PLD_9f1994ac47d2487c870c64df42698a51"/>
                      <w:id w:val="865723793"/>
                      <w:lock w:val="sdtLocked"/>
                    </w:sdtPr>
                    <w:sdtEndPr>
                      <w:rPr>
                        <w:rFonts w:ascii="Times New Roman" w:hAnsi="Times New Roman" w:cs="Times New Roman"/>
                        <w:b/>
                      </w:rPr>
                    </w:sdtEndPr>
                    <w:sdtContent>
                      <w:p>
                        <w:pPr>
                          <w:autoSpaceDE w:val="0"/>
                          <w:autoSpaceDN w:val="0"/>
                          <w:adjustRightInd w:val="0"/>
                          <w:jc w:val="center"/>
                          <w:rPr>
                            <w:rFonts w:ascii="Times New Roman" w:hAnsi="Times New Roman" w:cs="Times New Roman"/>
                            <w:b/>
                          </w:rPr>
                        </w:pPr>
                        <w:r>
                          <w:rPr>
                            <w:rFonts w:ascii="Times New Roman" w:hAnsi="Times New Roman" w:cs="Times New Roman"/>
                            <w:b/>
                          </w:rPr>
                          <w:t>2020</w:t>
                        </w:r>
                        <w:r>
                          <w:rPr>
                            <w:rFonts w:ascii="Times New Roman" w:cs="Times New Roman"/>
                            <w:b/>
                          </w:rPr>
                          <w:t>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5384e7a1c2841c78793ee2e647fdb97"/>
                    <w:id w:val="865723794"/>
                    <w:lock w:val="sdtLocked"/>
                  </w:sdtPr>
                  <w:sdtEndPr>
                    <w:rPr>
                      <w:rFonts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r>
                          <w:rPr>
                            <w:rFonts w:ascii="Times New Roman" w:cs="Times New Roman"/>
                            <w:b/>
                            <w:bCs/>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ef21863579e463191f73e8d1ed04b07"/>
                    <w:id w:val="865723795"/>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销售商品、提供劳务收到的现金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134,289,683.91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165,433,046.96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d1d35e1b7d64d4d96ab3870ac133ece"/>
                    <w:id w:val="865723796"/>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收到的税费返还</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8831a6e784247068be3b652641fab29"/>
                    <w:id w:val="865723797"/>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收到其他与经营活动有关的现金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23,371,438.11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26,060,584.22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f13f44c456d4cb2868156eb6f97ce2d"/>
                    <w:id w:val="865723798"/>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经营活动现金流入小计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157,661,122.02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191,493,631.18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bdeb3944de44affa4c6abe789333af9"/>
                    <w:id w:val="865723799"/>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购买商品、接受劳务支付的现金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89,918,916.55</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86,167,773.55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1b9609c767847a484c31f0cdf800e1a"/>
                    <w:id w:val="865723800"/>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支付给职工及为职工支付的现金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54,651,869.62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65,616,501.19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6edb572c5f54e9f8abd0b8028e38134"/>
                    <w:id w:val="865723801"/>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支付的各项税费</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11,332,626.22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14,492,708.93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211410dc7504eef9b16a4a91a48be78"/>
                    <w:id w:val="865723802"/>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支付其他与经营活动有关的现金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40,455,859.31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51,678,038.89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71b44c4271c45dd91c639d4c338a5d0"/>
                    <w:id w:val="865723803"/>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经营活动现金流出小计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196,359,271.70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217,955,022.56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bd623fb02854cf69c888f364463777d"/>
                    <w:id w:val="865723804"/>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经营活动产生的现金流量净额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-38,698,149.68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-26,461,391.38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a89a8f6b76943769d484d535b94417c"/>
                    <w:id w:val="865723805"/>
                    <w:lock w:val="sdtLocked"/>
                  </w:sdtPr>
                  <w:sdtEndPr>
                    <w:rPr>
                      <w:rFonts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color w:val="008000"/>
                            <w:szCs w:val="21"/>
                          </w:rPr>
                        </w:pPr>
                        <w:r>
                          <w:rPr>
                            <w:rFonts w:ascii="Times New Roman" w:cs="Times New Roman"/>
                            <w:b/>
                            <w:bCs/>
                            <w:szCs w:val="21"/>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ce712d8e5af44048c1a4e5bdf4fd7c9"/>
                    <w:id w:val="865723806"/>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收回投资收到的现金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12,732,000.00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95da103cdf014eafaca98189ca68f328"/>
                    <w:id w:val="865723807"/>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取得投资收益收到的现金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18,523,919.73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18,884,698.57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c5d667691994cebb9f9498e60404099"/>
                    <w:id w:val="865723808"/>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处置固定资产、无形资产和其他长期资产收回的现金净额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204,873.00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1,074,797.40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c46cd9c926c4fb7a23ace231fd8a392"/>
                    <w:id w:val="865723809"/>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处置子公司及其他营业单位收到的现金净额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f33478ab7994146bb46b5f307568279"/>
                    <w:id w:val="865723810"/>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收到其他与投资活动有关的现金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641,453,368.79</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45,439,440.18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9e19665d1ca4dc28a1050ba1220a0b8"/>
                    <w:id w:val="865723811"/>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投资活动现金流入小计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660,182,161.52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78,130,936.15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46530351deb46daab62d978a5ef2bc0"/>
                    <w:id w:val="865723812"/>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购建固定资产、无形资产和其他长期资产支付的现金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5,507,078.72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3,299,344.83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c118d77a17e4461a6c7af661dfc7663"/>
                    <w:id w:val="865723813"/>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投资支付的现金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3,464,021.28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4,346,265.65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b23d66ae8c248918870ce5a171e20e5"/>
                    <w:id w:val="865723814"/>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取得子公司及其他营业单位支付的现金净额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5cdf4aaa86348a1be747298511eff1e"/>
                    <w:id w:val="865723815"/>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支付其他与投资活动有关的现金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 w:val="24"/>
                      </w:rPr>
                    </w:pPr>
                  </w:p>
                </w:tc>
                <w:tc>
                  <w:tcPr>
                    <w:tcW w:w="1195" w:type="pct"/>
                    <w:tcBorders>
                      <w:top w:val="outset" w:color="auto" w:sz="4" w:space="0"/>
                      <w:left w:val="outset" w:color="auto" w:sz="4" w:space="0"/>
                      <w:bottom w:val="outset" w:color="auto" w:sz="4" w:space="0"/>
                      <w:right w:val="outset" w:color="auto" w:sz="4" w:space="0"/>
                    </w:tcBorders>
                    <w:vAlign w:val="center"/>
                  </w:tcPr>
                  <w:p>
                    <w:pP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c0780cd021c4287a1ea74e3ffe0fbf6"/>
                    <w:id w:val="865723816"/>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投资活动现金流出小计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8,971,100.00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7,645,610.48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df5b53cf5cf497a8338bc2f314305cd"/>
                    <w:id w:val="865723817"/>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630" w:firstLineChars="300"/>
                          <w:rPr>
                            <w:rFonts w:ascii="Times New Roman" w:hAnsi="Times New Roman" w:cs="Times New Roman"/>
                            <w:color w:val="000000"/>
                            <w:szCs w:val="21"/>
                          </w:rPr>
                        </w:pPr>
                        <w:r>
                          <w:rPr>
                            <w:rFonts w:ascii="Times New Roman" w:cs="Times New Roman"/>
                            <w:szCs w:val="21"/>
                          </w:rPr>
                          <w:t>投资活动产生的现金流量净额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651,211,061.52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70,485,325.67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b6929c78db14ee1bde1ca4b9a47a65c"/>
                    <w:id w:val="865723818"/>
                    <w:lock w:val="sdtLocked"/>
                  </w:sdtPr>
                  <w:sdtEndPr>
                    <w:rPr>
                      <w:rFonts w:ascii="Times New Roman" w:hAnsi="Times New Roman"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color w:val="008000"/>
                            <w:szCs w:val="21"/>
                          </w:rPr>
                        </w:pPr>
                        <w:r>
                          <w:rPr>
                            <w:rFonts w:ascii="Times New Roman" w:cs="Times New Roman"/>
                            <w:b/>
                            <w:bCs/>
                            <w:szCs w:val="21"/>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0f08e006241c4d5b851db5e35d88c8c1"/>
                    <w:id w:val="865723819"/>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吸收投资收到的现金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c>
                  <w:tcPr>
                    <w:tcW w:w="1195" w:type="pct"/>
                    <w:tcBorders>
                      <w:top w:val="outset" w:color="auto" w:sz="4" w:space="0"/>
                      <w:left w:val="outset" w:color="auto" w:sz="4" w:space="0"/>
                      <w:bottom w:val="outset" w:color="auto" w:sz="4" w:space="0"/>
                      <w:right w:val="outset"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1cdcf4a2a7c448b82fbb03d2e492772"/>
                    <w:id w:val="865723820"/>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取得借款收到的现金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50,000,000.00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04b6e3c34ff4c51ae23871e4ca3cb40"/>
                    <w:id w:val="865723821"/>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收到其他与筹资活动有关的现金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1,491,200.00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f7fbf014785409195a7287852d3d035"/>
                    <w:id w:val="865723822"/>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筹资活动现金流入小计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51,491,200.00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72c875707060490882af91b3254ebf86"/>
                    <w:id w:val="865723823"/>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偿还债务支付的现金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60,000,000.00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70,000,000.00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227ef1d4c704287b692609a03d18a2a"/>
                    <w:id w:val="865723824"/>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szCs w:val="21"/>
                          </w:rPr>
                        </w:pPr>
                        <w:r>
                          <w:rPr>
                            <w:rFonts w:ascii="Times New Roman" w:cs="Times New Roman"/>
                            <w:szCs w:val="21"/>
                          </w:rPr>
                          <w:t>分配股利、利润或偿付利息支付的现金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2,194,333.38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2,994,199.99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548bc4b8c0e4edfbb6fc435c82efb9b"/>
                    <w:id w:val="865723825"/>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支付其他与筹资活动有关的现金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150,000,000.00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6f002dfd3184462b13e47e17b1f7e41"/>
                    <w:id w:val="865723826"/>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imes New Roman" w:hAnsi="Times New Roman" w:cs="Times New Roman"/>
                            <w:color w:val="000000"/>
                            <w:szCs w:val="21"/>
                          </w:rPr>
                        </w:pPr>
                        <w:r>
                          <w:rPr>
                            <w:rFonts w:ascii="Times New Roman" w:cs="Times New Roman"/>
                            <w:szCs w:val="21"/>
                          </w:rPr>
                          <w:t>筹资活动现金流出小计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62,194,333.38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222,994,199.99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f96432273b64f2a90a299496d059280"/>
                    <w:id w:val="865723827"/>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630" w:firstLineChars="300"/>
                          <w:rPr>
                            <w:rFonts w:ascii="Times New Roman" w:hAnsi="Times New Roman" w:cs="Times New Roman"/>
                            <w:color w:val="000000"/>
                            <w:szCs w:val="21"/>
                          </w:rPr>
                        </w:pPr>
                        <w:r>
                          <w:rPr>
                            <w:rFonts w:ascii="Times New Roman" w:cs="Times New Roman"/>
                            <w:szCs w:val="21"/>
                          </w:rPr>
                          <w:t>筹资活动产生的现金流量净额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-10,703,133.38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-162,994,199.99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748beadbe2649c39d73f63f5cb997df"/>
                    <w:id w:val="865723828"/>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color w:val="000000"/>
                            <w:szCs w:val="21"/>
                          </w:rPr>
                        </w:pPr>
                        <w:r>
                          <w:rPr>
                            <w:rFonts w:ascii="Times New Roman" w:cs="Times New Roman"/>
                            <w:b/>
                            <w:bCs/>
                            <w:szCs w:val="21"/>
                          </w:rPr>
                          <w:t>四、汇率变动对现金及现金等价物的影响</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dcd6a9f439542219b17ab909e3b23c1"/>
                    <w:id w:val="865723829"/>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color w:val="000000"/>
                            <w:szCs w:val="21"/>
                          </w:rPr>
                        </w:pPr>
                        <w:r>
                          <w:rPr>
                            <w:rFonts w:ascii="Times New Roman" w:cs="Times New Roman"/>
                            <w:b/>
                            <w:bCs/>
                            <w:szCs w:val="21"/>
                          </w:rPr>
                          <w:t>五、现金及现金等价物净增加额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601,809,778.46</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-118,970,265.70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f682e233026f4a77a71017410d43b010"/>
                    <w:id w:val="865723830"/>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imes New Roman" w:hAnsi="Times New Roman" w:cs="Times New Roman"/>
                            <w:color w:val="000000"/>
                            <w:szCs w:val="21"/>
                          </w:rPr>
                        </w:pPr>
                        <w:r>
                          <w:rPr>
                            <w:rFonts w:ascii="Times New Roman" w:cs="Times New Roman"/>
                            <w:szCs w:val="21"/>
                          </w:rPr>
                          <w:t>加：期初现金及现金等价物余额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515,500,578.48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634,470,844.18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fef5f0af84f4cfd9fbcc61dd369331c"/>
                    <w:id w:val="865723831"/>
                    <w:lock w:val="sdtLocked"/>
                  </w:sdtPr>
                  <w:sdtEndPr>
                    <w:rPr>
                      <w:rFonts w:ascii="Times New Roman" w:hAnsi="Times New Roman" w:cs="Times New Roman"/>
                    </w:rPr>
                  </w:sdtEndPr>
                  <w:sdtContent>
                    <w:tc>
                      <w:tcPr>
                        <w:tcW w:w="1738"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color w:val="000000"/>
                            <w:szCs w:val="21"/>
                          </w:rPr>
                        </w:pPr>
                        <w:r>
                          <w:rPr>
                            <w:rFonts w:ascii="Times New Roman" w:cs="Times New Roman"/>
                            <w:b/>
                            <w:bCs/>
                            <w:szCs w:val="21"/>
                          </w:rPr>
                          <w:t>六、期末现金及现金等价物余额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imes New Roman" w:hAnsi="Times New Roman" w:cs="Times New Roman"/>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1,117,310,356.94</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imes New Roman" w:hAnsi="Times New Roman" w:cs="Times New Roman"/>
                        <w:sz w:val="24"/>
                      </w:rPr>
                    </w:pPr>
                    <w:r>
                      <w:rPr>
                        <w:rFonts w:ascii="Times New Roman" w:hAnsi="Times New Roman" w:cs="Times New Roman"/>
                      </w:rPr>
                      <w:t>515,500,578.48</w:t>
                    </w:r>
                  </w:p>
                </w:tc>
              </w:tr>
            </w:tbl>
            <w:p>
              <w:pPr>
                <w:snapToGrid w:val="0"/>
                <w:spacing w:line="240" w:lineRule="atLeast"/>
                <w:ind w:right="-153" w:rightChars="-7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865723832"/>
                  <w:lock w:val="sdtLocked"/>
                  <w:placeholder>
                    <w:docPart w:val="GBC22222222222222222222222222222"/>
                  </w:placeholder>
                  <w15:dataBinding w:prefixMappings="xmlns:clcid-mr='clcid-mr'" w:xpath="/*/clcid-mr:GongSiFuZeRenXingMing[not(@periodRef)]" w:storeItemID="{89EBAB94-44A0-46A2-B712-30D997D04A6D}"/>
                  <w:text/>
                </w:sdtPr>
                <w:sdtEndPr>
                  <w:rPr>
                    <w:rFonts w:hint="eastAsia"/>
                    <w:szCs w:val="21"/>
                  </w:rPr>
                </w:sdtEndPr>
                <w:sdtContent>
                  <w:r>
                    <w:rPr>
                      <w:rFonts w:hint="eastAsia"/>
                      <w:szCs w:val="21"/>
                    </w:rPr>
                    <w:t xml:space="preserve">林钻煌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865723833"/>
                  <w:lock w:val="sdtLocked"/>
                  <w:placeholder>
                    <w:docPart w:val="GBC22222222222222222222222222222"/>
                  </w:placeholder>
                  <w15: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王为民</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865723834"/>
                  <w:lock w:val="sdtLocked"/>
                  <w:placeholder>
                    <w:docPart w:val="GBC22222222222222222222222222222"/>
                  </w:placeholder>
                  <w15: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 xml:space="preserve">游发禄 </w:t>
                  </w:r>
                </w:sdtContent>
              </w:sdt>
            </w:p>
          </w:sdtContent>
        </w:sdt>
      </w:sdtContent>
    </w:sdt>
    <w:bookmarkEnd w:id="114"/>
    <w:p>
      <w:pPr>
        <w:rPr>
          <w:szCs w:val="21"/>
        </w:rPr>
        <w:sectPr>
          <w:type w:val="continuous"/>
          <w:pgSz w:w="11906" w:h="16838"/>
          <w:pgMar w:top="1525" w:right="1276" w:bottom="1440" w:left="1797" w:header="856" w:footer="992" w:gutter="0"/>
          <w:cols w:space="425" w:num="1"/>
          <w:docGrid w:linePitch="312" w:charSpace="0"/>
        </w:sectPr>
      </w:pPr>
    </w:p>
    <w:p>
      <w:pPr>
        <w:rPr>
          <w:szCs w:val="21"/>
        </w:rPr>
        <w:sectPr>
          <w:type w:val="continuous"/>
          <w:pgSz w:w="11906" w:h="16838"/>
          <w:pgMar w:top="1525" w:right="1276" w:bottom="1440" w:left="1797" w:header="856" w:footer="992" w:gutter="0"/>
          <w:cols w:space="425" w:num="1"/>
          <w:docGrid w:linePitch="312" w:charSpace="0"/>
        </w:sectPr>
      </w:pPr>
    </w:p>
    <w:sdt>
      <w:sdtPr>
        <w:rPr>
          <w:b/>
          <w:szCs w:val="21"/>
        </w:rPr>
        <w:alias w:val="选项模块:需要编制合并报表"/>
        <w:tag w:val="_GBC_3b1dcbfa33024cc0a5c2f3d693817342"/>
        <w:id w:val="865724032"/>
        <w:lock w:val="sdtLocked"/>
        <w:placeholder>
          <w:docPart w:val="GBC22222222222222222222222222222"/>
        </w:placeholder>
      </w:sdtPr>
      <w:sdtEndPr>
        <w:rPr>
          <w:b w:val="0"/>
          <w:color w:val="FF0000"/>
          <w:szCs w:val="24"/>
        </w:rPr>
      </w:sdtEndPr>
      <w:sdtContent>
        <w:p>
          <w:pPr>
            <w:tabs>
              <w:tab w:val="left" w:pos="10080"/>
            </w:tabs>
            <w:snapToGrid w:val="0"/>
            <w:spacing w:line="240" w:lineRule="atLeast"/>
            <w:ind w:right="25" w:rightChars="12"/>
            <w:jc w:val="center"/>
            <w:rPr>
              <w:b/>
              <w:szCs w:val="21"/>
            </w:rPr>
          </w:pPr>
          <w:bookmarkStart w:id="115" w:name="_Hlk533930052"/>
        </w:p>
        <w:sdt>
          <w:sdtPr>
            <w:rPr>
              <w:b/>
              <w:szCs w:val="21"/>
            </w:rPr>
            <w:tag w:val="_GBC_3eeab460b9b64d53b91f5e0ddcd3030f"/>
            <w:id w:val="865723941"/>
            <w:lock w:val="sdtLocked"/>
            <w:placeholder>
              <w:docPart w:val="GBC22222222222222222222222222222"/>
            </w:placeholder>
          </w:sdtPr>
          <w:sdtEndPr>
            <w:rPr>
              <w:rFonts w:hint="eastAsia"/>
              <w:b w:val="0"/>
              <w:szCs w:val="21"/>
            </w:rPr>
          </w:sdtEndPr>
          <w:sdtContent>
            <w:p>
              <w:pPr>
                <w:tabs>
                  <w:tab w:val="left" w:pos="10080"/>
                </w:tabs>
                <w:snapToGrid w:val="0"/>
                <w:spacing w:line="240" w:lineRule="atLeast"/>
                <w:ind w:right="25" w:rightChars="12"/>
                <w:jc w:val="center"/>
                <w:outlineLvl w:val="2"/>
                <w:rPr>
                  <w:b/>
                  <w:szCs w:val="21"/>
                </w:rPr>
              </w:pPr>
              <w:r>
                <w:rPr>
                  <w:b/>
                  <w:szCs w:val="21"/>
                </w:rPr>
                <w:t>合并</w:t>
              </w:r>
              <w:r>
                <w:rPr>
                  <w:rFonts w:hint="eastAsia"/>
                  <w:b/>
                  <w:szCs w:val="21"/>
                </w:rPr>
                <w:t>所有者权益变动表</w:t>
              </w:r>
            </w:p>
            <w:p>
              <w:pPr>
                <w:tabs>
                  <w:tab w:val="left" w:pos="10080"/>
                </w:tabs>
                <w:snapToGrid w:val="0"/>
                <w:spacing w:line="240" w:lineRule="atLeast"/>
                <w:ind w:right="25" w:rightChars="12"/>
                <w:jc w:val="center"/>
                <w:rPr>
                  <w:rFonts w:ascii="Times New Roman" w:hAnsi="Times New Roman" w:cs="Times New Roman"/>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1—12</w:t>
              </w:r>
              <w:r>
                <w:rPr>
                  <w:rFonts w:ascii="Times New Roman" w:cs="Times New Roman"/>
                  <w:szCs w:val="21"/>
                </w:rPr>
                <w:t>月</w:t>
              </w:r>
            </w:p>
            <w:p>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865723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8657238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7"/>
                <w:tblW w:w="52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418"/>
                <w:gridCol w:w="261"/>
                <w:gridCol w:w="405"/>
                <w:gridCol w:w="238"/>
                <w:gridCol w:w="1507"/>
                <w:gridCol w:w="282"/>
                <w:gridCol w:w="1418"/>
                <w:gridCol w:w="282"/>
                <w:gridCol w:w="1413"/>
                <w:gridCol w:w="270"/>
                <w:gridCol w:w="1424"/>
                <w:gridCol w:w="288"/>
                <w:gridCol w:w="1565"/>
                <w:gridCol w:w="1269"/>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6" w:type="pct"/>
                    <w:vMerge w:val="restart"/>
                    <w:vAlign w:val="center"/>
                  </w:tcPr>
                  <w:sdt>
                    <w:sdtPr>
                      <w:rPr>
                        <w:rFonts w:ascii="Times New Roman" w:hAnsi="Times New Roman" w:cs="Times New Roman"/>
                        <w:sz w:val="18"/>
                        <w:szCs w:val="18"/>
                      </w:rPr>
                      <w:tag w:val="_PLD_245a9e71ca1b403fad3a821efeb272de"/>
                      <w:id w:val="865723839"/>
                      <w:lock w:val="sdtLocked"/>
                    </w:sdtPr>
                    <w:sdtEndPr>
                      <w:rPr>
                        <w:rFonts w:ascii="Times New Roman" w:hAnsi="Times New Roman" w:cs="Times New Roman"/>
                        <w:sz w:val="18"/>
                        <w:szCs w:val="18"/>
                      </w:rPr>
                    </w:sdtEndPr>
                    <w:sdtContent>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项目</w:t>
                        </w:r>
                      </w:p>
                    </w:sdtContent>
                  </w:sdt>
                </w:tc>
                <w:tc>
                  <w:tcPr>
                    <w:tcW w:w="4624" w:type="pct"/>
                    <w:gridSpan w:val="15"/>
                    <w:vAlign w:val="center"/>
                  </w:tcPr>
                  <w:p>
                    <w:pPr>
                      <w:snapToGrid w:val="0"/>
                      <w:spacing w:line="240" w:lineRule="atLeast"/>
                      <w:ind w:right="-1594" w:rightChars="-759"/>
                      <w:jc w:val="center"/>
                      <w:rPr>
                        <w:rFonts w:ascii="Times New Roman" w:hAnsi="Times New Roman" w:cs="Times New Roman"/>
                        <w:sz w:val="18"/>
                        <w:szCs w:val="18"/>
                      </w:rPr>
                    </w:pPr>
                    <w:r>
                      <w:rPr>
                        <w:rFonts w:ascii="Times New Roman" w:hAnsi="Times New Roman" w:cs="Times New Roman"/>
                        <w:sz w:val="18"/>
                        <w:szCs w:val="18"/>
                      </w:rPr>
                      <w:t xml:space="preserve"> </w:t>
                    </w:r>
                    <w:sdt>
                      <w:sdtPr>
                        <w:rPr>
                          <w:rFonts w:ascii="Times New Roman" w:hAnsi="Times New Roman" w:cs="Times New Roman"/>
                          <w:sz w:val="18"/>
                          <w:szCs w:val="18"/>
                        </w:rPr>
                        <w:tag w:val="_PLD_74b2c30f72fb403387c8b0e2a353f994"/>
                        <w:id w:val="865723840"/>
                        <w:lock w:val="sdtLocked"/>
                      </w:sdtPr>
                      <w:sdtEndPr>
                        <w:rPr>
                          <w:rFonts w:ascii="Times New Roman" w:hAnsi="Times New Roman" w:cs="Times New Roman"/>
                          <w:sz w:val="18"/>
                          <w:szCs w:val="18"/>
                        </w:rPr>
                      </w:sdtEndPr>
                      <w:sdtContent>
                        <w:r>
                          <w:rPr>
                            <w:rFonts w:ascii="Times New Roman" w:hAnsi="Times New Roman" w:cs="Times New Roman"/>
                            <w:sz w:val="18"/>
                            <w:szCs w:val="18"/>
                          </w:rPr>
                          <w:t>2021年度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376" w:type="pct"/>
                    <w:vMerge w:val="continue"/>
                  </w:tcPr>
                  <w:p>
                    <w:pPr>
                      <w:snapToGrid w:val="0"/>
                      <w:spacing w:line="240" w:lineRule="atLeast"/>
                      <w:ind w:right="-1594" w:rightChars="-759"/>
                      <w:rPr>
                        <w:rFonts w:ascii="Times New Roman" w:hAnsi="Times New Roman" w:cs="Times New Roman"/>
                        <w:sz w:val="18"/>
                        <w:szCs w:val="18"/>
                      </w:rPr>
                    </w:pPr>
                  </w:p>
                </w:tc>
                <w:sdt>
                  <w:sdtPr>
                    <w:rPr>
                      <w:rFonts w:ascii="Times New Roman" w:hAnsi="Times New Roman" w:cs="Times New Roman"/>
                      <w:sz w:val="18"/>
                      <w:szCs w:val="18"/>
                    </w:rPr>
                    <w:tag w:val="_PLD_48b1c4daa55343f0a820ecc94c441958"/>
                    <w:id w:val="865723841"/>
                    <w:lock w:val="sdtLocked"/>
                  </w:sdtPr>
                  <w:sdtEndPr>
                    <w:rPr>
                      <w:rFonts w:ascii="Times New Roman" w:hAnsi="Times New Roman" w:cs="Times New Roman"/>
                      <w:sz w:val="18"/>
                      <w:szCs w:val="18"/>
                    </w:rPr>
                  </w:sdtEndPr>
                  <w:sdtContent>
                    <w:tc>
                      <w:tcPr>
                        <w:tcW w:w="3668" w:type="pct"/>
                        <w:gridSpan w:val="13"/>
                        <w:vAlign w:val="center"/>
                      </w:tcPr>
                      <w:p>
                        <w:pPr>
                          <w:jc w:val="center"/>
                          <w:rPr>
                            <w:rFonts w:ascii="Times New Roman" w:hAnsi="Times New Roman" w:cs="Times New Roman"/>
                            <w:sz w:val="18"/>
                            <w:szCs w:val="18"/>
                          </w:rPr>
                        </w:pPr>
                        <w:r>
                          <w:rPr>
                            <w:rFonts w:ascii="Times New Roman" w:hAnsi="Times New Roman" w:cs="Times New Roman"/>
                            <w:sz w:val="18"/>
                            <w:szCs w:val="18"/>
                          </w:rPr>
                          <w:t>归属于母公司所有者权益</w:t>
                        </w:r>
                      </w:p>
                    </w:tc>
                  </w:sdtContent>
                </w:sdt>
                <w:sdt>
                  <w:sdtPr>
                    <w:rPr>
                      <w:rFonts w:ascii="Times New Roman" w:hAnsi="Times New Roman" w:cs="Times New Roman"/>
                      <w:sz w:val="18"/>
                      <w:szCs w:val="18"/>
                    </w:rPr>
                    <w:tag w:val="_PLD_de4010a56d78401ebd4bb48e62167082"/>
                    <w:id w:val="865723842"/>
                    <w:lock w:val="sdtLocked"/>
                  </w:sdtPr>
                  <w:sdtEndPr>
                    <w:rPr>
                      <w:rFonts w:ascii="Times New Roman" w:hAnsi="Times New Roman" w:cs="Times New Roman"/>
                      <w:sz w:val="18"/>
                      <w:szCs w:val="18"/>
                    </w:rPr>
                  </w:sdtEndPr>
                  <w:sdtContent>
                    <w:tc>
                      <w:tcPr>
                        <w:tcW w:w="432" w:type="pct"/>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少数股东权益</w:t>
                        </w:r>
                      </w:p>
                    </w:tc>
                  </w:sdtContent>
                </w:sdt>
                <w:sdt>
                  <w:sdtPr>
                    <w:rPr>
                      <w:rFonts w:ascii="Times New Roman" w:hAnsi="Times New Roman" w:cs="Times New Roman"/>
                      <w:sz w:val="18"/>
                      <w:szCs w:val="18"/>
                    </w:rPr>
                    <w:tag w:val="_PLD_ff9bc6143ed9429e80e1ed144f5ff16d"/>
                    <w:id w:val="865723843"/>
                    <w:lock w:val="sdtLocked"/>
                  </w:sdtPr>
                  <w:sdtEndPr>
                    <w:rPr>
                      <w:rFonts w:ascii="Times New Roman" w:hAnsi="Times New Roman" w:cs="Times New Roman"/>
                      <w:sz w:val="18"/>
                      <w:szCs w:val="18"/>
                    </w:rPr>
                  </w:sdtEndPr>
                  <w:sdtContent>
                    <w:tc>
                      <w:tcPr>
                        <w:tcW w:w="524" w:type="pct"/>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376" w:type="pct"/>
                    <w:vMerge w:val="continue"/>
                  </w:tcPr>
                  <w:p>
                    <w:pPr>
                      <w:snapToGrid w:val="0"/>
                      <w:spacing w:line="240" w:lineRule="atLeast"/>
                      <w:ind w:right="-1594" w:rightChars="-759"/>
                      <w:rPr>
                        <w:rFonts w:ascii="Times New Roman" w:hAnsi="Times New Roman" w:cs="Times New Roman"/>
                        <w:sz w:val="18"/>
                        <w:szCs w:val="18"/>
                      </w:rPr>
                    </w:pPr>
                  </w:p>
                </w:tc>
                <w:sdt>
                  <w:sdtPr>
                    <w:rPr>
                      <w:rFonts w:ascii="Times New Roman" w:hAnsi="Times New Roman" w:cs="Times New Roman"/>
                      <w:sz w:val="18"/>
                      <w:szCs w:val="18"/>
                    </w:rPr>
                    <w:tag w:val="_PLD_2a43f0f223d141f0855f6cbb9e60b12f"/>
                    <w:id w:val="865723844"/>
                    <w:lock w:val="sdtLocked"/>
                  </w:sdtPr>
                  <w:sdtEndPr>
                    <w:rPr>
                      <w:rFonts w:ascii="Times New Roman" w:hAnsi="Times New Roman" w:cs="Times New Roman"/>
                      <w:sz w:val="18"/>
                      <w:szCs w:val="18"/>
                    </w:rPr>
                  </w:sdtEndPr>
                  <w:sdtContent>
                    <w:tc>
                      <w:tcPr>
                        <w:tcW w:w="483" w:type="pct"/>
                        <w:vMerge w:val="restar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实收资本(或股本)</w:t>
                        </w:r>
                      </w:p>
                    </w:tc>
                  </w:sdtContent>
                </w:sdt>
                <w:sdt>
                  <w:sdtPr>
                    <w:rPr>
                      <w:rFonts w:ascii="Times New Roman" w:hAnsi="Times New Roman" w:cs="Times New Roman"/>
                      <w:sz w:val="18"/>
                      <w:szCs w:val="18"/>
                    </w:rPr>
                    <w:tag w:val="_PLD_39cb94703877409e9e50d4bf964d43e4"/>
                    <w:id w:val="865723845"/>
                    <w:lock w:val="sdtLocked"/>
                  </w:sdtPr>
                  <w:sdtEndPr>
                    <w:rPr>
                      <w:rFonts w:ascii="Times New Roman" w:hAnsi="Times New Roman" w:cs="Times New Roman"/>
                      <w:sz w:val="18"/>
                      <w:szCs w:val="18"/>
                    </w:rPr>
                  </w:sdtEndPr>
                  <w:sdtContent>
                    <w:tc>
                      <w:tcPr>
                        <w:tcW w:w="308" w:type="pct"/>
                        <w:gridSpan w:val="3"/>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其他权益工具</w:t>
                        </w:r>
                      </w:p>
                    </w:tc>
                  </w:sdtContent>
                </w:sdt>
                <w:sdt>
                  <w:sdtPr>
                    <w:rPr>
                      <w:rFonts w:ascii="Times New Roman" w:hAnsi="Times New Roman" w:cs="Times New Roman"/>
                      <w:sz w:val="18"/>
                      <w:szCs w:val="18"/>
                    </w:rPr>
                    <w:tag w:val="_PLD_0a2a84969d8f4cc5ab2f59451a4cf45c"/>
                    <w:id w:val="865723846"/>
                    <w:lock w:val="sdtLocked"/>
                  </w:sdtPr>
                  <w:sdtEndPr>
                    <w:rPr>
                      <w:rFonts w:ascii="Times New Roman" w:hAnsi="Times New Roman" w:cs="Times New Roman"/>
                      <w:sz w:val="18"/>
                      <w:szCs w:val="18"/>
                    </w:rPr>
                  </w:sdtEndPr>
                  <w:sdtContent>
                    <w:tc>
                      <w:tcPr>
                        <w:tcW w:w="513" w:type="pct"/>
                        <w:vMerge w:val="restar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3eb4af6d758d4787987e21e90e79351d"/>
                    <w:id w:val="865723847"/>
                    <w:lock w:val="sdtLocked"/>
                  </w:sdtPr>
                  <w:sdtEndPr>
                    <w:rPr>
                      <w:rFonts w:ascii="Times New Roman" w:hAnsi="Times New Roman" w:cs="Times New Roman"/>
                      <w:sz w:val="18"/>
                      <w:szCs w:val="18"/>
                    </w:rPr>
                  </w:sdtEndPr>
                  <w:sdtContent>
                    <w:tc>
                      <w:tcPr>
                        <w:tcW w:w="96" w:type="pct"/>
                        <w:vMerge w:val="restar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减：库存股</w:t>
                        </w:r>
                      </w:p>
                    </w:tc>
                  </w:sdtContent>
                </w:sdt>
                <w:sdt>
                  <w:sdtPr>
                    <w:rPr>
                      <w:rFonts w:ascii="Times New Roman" w:hAnsi="Times New Roman" w:cs="Times New Roman"/>
                      <w:sz w:val="18"/>
                      <w:szCs w:val="18"/>
                    </w:rPr>
                    <w:tag w:val="_PLD_63b36aa6d5e74a289a4f2e40e95da929"/>
                    <w:id w:val="865723848"/>
                    <w:lock w:val="sdtLocked"/>
                  </w:sdtPr>
                  <w:sdtEndPr>
                    <w:rPr>
                      <w:rFonts w:ascii="Times New Roman" w:hAnsi="Times New Roman" w:cs="Times New Roman"/>
                      <w:sz w:val="18"/>
                      <w:szCs w:val="18"/>
                    </w:rPr>
                  </w:sdtEndPr>
                  <w:sdtContent>
                    <w:tc>
                      <w:tcPr>
                        <w:tcW w:w="483" w:type="pct"/>
                        <w:vMerge w:val="restar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1560331b8c2f411cb5a844cb35b3d2b6"/>
                    <w:id w:val="865723849"/>
                    <w:lock w:val="sdtLocked"/>
                  </w:sdtPr>
                  <w:sdtEndPr>
                    <w:rPr>
                      <w:rFonts w:ascii="Times New Roman" w:hAnsi="Times New Roman" w:cs="Times New Roman"/>
                      <w:sz w:val="18"/>
                      <w:szCs w:val="18"/>
                    </w:rPr>
                  </w:sdtEndPr>
                  <w:sdtContent>
                    <w:tc>
                      <w:tcPr>
                        <w:tcW w:w="96" w:type="pct"/>
                        <w:vMerge w:val="restar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6f43f79cacca48dca49685537156084f"/>
                    <w:id w:val="865723850"/>
                    <w:lock w:val="sdtLocked"/>
                  </w:sdtPr>
                  <w:sdtEndPr>
                    <w:rPr>
                      <w:rFonts w:ascii="Times New Roman" w:hAnsi="Times New Roman" w:cs="Times New Roman"/>
                      <w:sz w:val="18"/>
                      <w:szCs w:val="18"/>
                    </w:rPr>
                  </w:sdtEndPr>
                  <w:sdtContent>
                    <w:tc>
                      <w:tcPr>
                        <w:tcW w:w="481" w:type="pct"/>
                        <w:vMerge w:val="restar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56a430dce9564c199812862caead59b2"/>
                    <w:id w:val="865723851"/>
                    <w:lock w:val="sdtLocked"/>
                  </w:sdtPr>
                  <w:sdtEndPr>
                    <w:rPr>
                      <w:rFonts w:ascii="Times New Roman" w:hAnsi="Times New Roman" w:cs="Times New Roman"/>
                      <w:sz w:val="18"/>
                      <w:szCs w:val="18"/>
                    </w:rPr>
                  </w:sdtEndPr>
                  <w:sdtContent>
                    <w:tc>
                      <w:tcPr>
                        <w:tcW w:w="92" w:type="pct"/>
                        <w:vMerge w:val="restar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一般风险准备</w:t>
                        </w:r>
                      </w:p>
                    </w:tc>
                  </w:sdtContent>
                </w:sdt>
                <w:sdt>
                  <w:sdtPr>
                    <w:rPr>
                      <w:rFonts w:ascii="Times New Roman" w:hAnsi="Times New Roman" w:cs="Times New Roman"/>
                      <w:sz w:val="18"/>
                      <w:szCs w:val="18"/>
                    </w:rPr>
                    <w:tag w:val="_PLD_cbc8cc4f323b4146bc3e0b624cb6a030"/>
                    <w:id w:val="865723852"/>
                    <w:lock w:val="sdtLocked"/>
                  </w:sdtPr>
                  <w:sdtEndPr>
                    <w:rPr>
                      <w:rFonts w:ascii="Times New Roman" w:hAnsi="Times New Roman" w:cs="Times New Roman"/>
                      <w:sz w:val="18"/>
                      <w:szCs w:val="18"/>
                    </w:rPr>
                  </w:sdtEndPr>
                  <w:sdtContent>
                    <w:tc>
                      <w:tcPr>
                        <w:tcW w:w="485" w:type="pct"/>
                        <w:vMerge w:val="restar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未分配利润</w:t>
                        </w:r>
                      </w:p>
                    </w:tc>
                  </w:sdtContent>
                </w:sdt>
                <w:tc>
                  <w:tcPr>
                    <w:tcW w:w="98" w:type="pct"/>
                    <w:vMerge w:val="restart"/>
                    <w:vAlign w:val="center"/>
                  </w:tcPr>
                  <w:sdt>
                    <w:sdtPr>
                      <w:rPr>
                        <w:rFonts w:ascii="Times New Roman" w:hAnsi="Times New Roman" w:cs="Times New Roman"/>
                        <w:sz w:val="18"/>
                        <w:szCs w:val="18"/>
                      </w:rPr>
                      <w:tag w:val="_PLD_b504a77359e042b99ce9a2513e44008d"/>
                      <w:id w:val="865723853"/>
                      <w:lock w:val="sdtLocked"/>
                    </w:sdtPr>
                    <w:sdtEndPr>
                      <w:rPr>
                        <w:rFonts w:ascii="Times New Roman" w:hAnsi="Times New Roman" w:cs="Times New Roman"/>
                        <w:sz w:val="18"/>
                        <w:szCs w:val="18"/>
                      </w:rPr>
                    </w:sdtEndPr>
                    <w:sdtContent>
                      <w:p>
                        <w:pPr>
                          <w:jc w:val="center"/>
                          <w:rPr>
                            <w:rFonts w:ascii="Times New Roman" w:hAnsi="Times New Roman" w:cs="Times New Roman"/>
                            <w:sz w:val="18"/>
                            <w:szCs w:val="18"/>
                          </w:rPr>
                        </w:pPr>
                        <w:r>
                          <w:rPr>
                            <w:rFonts w:ascii="Times New Roman" w:hAnsi="Times New Roman" w:cs="Times New Roman"/>
                            <w:sz w:val="18"/>
                            <w:szCs w:val="18"/>
                          </w:rPr>
                          <w:t>其他</w:t>
                        </w:r>
                      </w:p>
                    </w:sdtContent>
                  </w:sdt>
                </w:tc>
                <w:tc>
                  <w:tcPr>
                    <w:tcW w:w="533" w:type="pct"/>
                    <w:vMerge w:val="restart"/>
                    <w:vAlign w:val="center"/>
                  </w:tcPr>
                  <w:sdt>
                    <w:sdtPr>
                      <w:rPr>
                        <w:rFonts w:ascii="Times New Roman" w:hAnsi="Times New Roman" w:cs="Times New Roman"/>
                        <w:sz w:val="18"/>
                        <w:szCs w:val="18"/>
                      </w:rPr>
                      <w:tag w:val="_PLD_30b039ff7c714652865f3029df27082b"/>
                      <w:id w:val="865723854"/>
                      <w:lock w:val="sdtLocked"/>
                    </w:sdtPr>
                    <w:sdtEndPr>
                      <w:rPr>
                        <w:rFonts w:ascii="Times New Roman" w:hAnsi="Times New Roman" w:cs="Times New Roman"/>
                        <w:sz w:val="18"/>
                        <w:szCs w:val="18"/>
                      </w:rPr>
                    </w:sdtEndPr>
                    <w:sdtContent>
                      <w:p>
                        <w:pPr>
                          <w:jc w:val="center"/>
                          <w:rPr>
                            <w:rFonts w:ascii="Times New Roman" w:hAnsi="Times New Roman" w:cs="Times New Roman"/>
                            <w:sz w:val="18"/>
                            <w:szCs w:val="18"/>
                          </w:rPr>
                        </w:pPr>
                        <w:r>
                          <w:rPr>
                            <w:rFonts w:ascii="Times New Roman" w:hAnsi="Times New Roman" w:cs="Times New Roman"/>
                            <w:sz w:val="18"/>
                            <w:szCs w:val="18"/>
                          </w:rPr>
                          <w:t>小计</w:t>
                        </w:r>
                      </w:p>
                    </w:sdtContent>
                  </w:sdt>
                </w:tc>
                <w:tc>
                  <w:tcPr>
                    <w:tcW w:w="432" w:type="pct"/>
                    <w:vMerge w:val="continue"/>
                  </w:tcPr>
                  <w:p>
                    <w:pPr>
                      <w:jc w:val="center"/>
                      <w:rPr>
                        <w:rFonts w:ascii="Times New Roman" w:hAnsi="Times New Roman" w:cs="Times New Roman"/>
                        <w:sz w:val="18"/>
                        <w:szCs w:val="18"/>
                      </w:rPr>
                    </w:pPr>
                  </w:p>
                </w:tc>
                <w:tc>
                  <w:tcPr>
                    <w:tcW w:w="524" w:type="pct"/>
                    <w:vMerge w:val="continue"/>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376" w:type="pct"/>
                    <w:vMerge w:val="continue"/>
                  </w:tcPr>
                  <w:p>
                    <w:pPr>
                      <w:snapToGrid w:val="0"/>
                      <w:spacing w:line="240" w:lineRule="atLeast"/>
                      <w:ind w:right="-1594" w:rightChars="-759"/>
                      <w:rPr>
                        <w:rFonts w:ascii="Times New Roman" w:hAnsi="Times New Roman" w:cs="Times New Roman"/>
                        <w:sz w:val="18"/>
                        <w:szCs w:val="18"/>
                      </w:rPr>
                    </w:pPr>
                  </w:p>
                </w:tc>
                <w:tc>
                  <w:tcPr>
                    <w:tcW w:w="483" w:type="pct"/>
                    <w:vMerge w:val="continue"/>
                  </w:tcPr>
                  <w:p>
                    <w:pPr>
                      <w:snapToGrid w:val="0"/>
                      <w:spacing w:line="240" w:lineRule="atLeast"/>
                      <w:jc w:val="center"/>
                      <w:rPr>
                        <w:rFonts w:ascii="Times New Roman" w:hAnsi="Times New Roman" w:cs="Times New Roman"/>
                        <w:sz w:val="18"/>
                        <w:szCs w:val="18"/>
                      </w:rPr>
                    </w:pPr>
                  </w:p>
                </w:tc>
                <w:sdt>
                  <w:sdtPr>
                    <w:rPr>
                      <w:rFonts w:ascii="Times New Roman" w:hAnsi="Times New Roman" w:cs="Times New Roman"/>
                      <w:sz w:val="18"/>
                      <w:szCs w:val="18"/>
                    </w:rPr>
                    <w:tag w:val="_PLD_b607c17c743149d295a2a79708dbacd2"/>
                    <w:id w:val="865723855"/>
                    <w:lock w:val="sdtLocked"/>
                  </w:sdtPr>
                  <w:sdtEndPr>
                    <w:rPr>
                      <w:rFonts w:ascii="Times New Roman" w:hAnsi="Times New Roman" w:cs="Times New Roman"/>
                      <w:sz w:val="18"/>
                      <w:szCs w:val="18"/>
                    </w:rPr>
                  </w:sdtEndPr>
                  <w:sdtContent>
                    <w:tc>
                      <w:tcPr>
                        <w:tcW w:w="89" w:type="pc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优先股</w:t>
                        </w:r>
                      </w:p>
                    </w:tc>
                  </w:sdtContent>
                </w:sdt>
                <w:sdt>
                  <w:sdtPr>
                    <w:rPr>
                      <w:rFonts w:ascii="Times New Roman" w:hAnsi="Times New Roman" w:cs="Times New Roman"/>
                      <w:sz w:val="18"/>
                      <w:szCs w:val="18"/>
                    </w:rPr>
                    <w:tag w:val="_PLD_ff95d9a5f43c439aac9ba6d07675d878"/>
                    <w:id w:val="865723856"/>
                    <w:lock w:val="sdtLocked"/>
                  </w:sdtPr>
                  <w:sdtEndPr>
                    <w:rPr>
                      <w:rFonts w:ascii="Times New Roman" w:hAnsi="Times New Roman" w:cs="Times New Roman"/>
                      <w:sz w:val="18"/>
                      <w:szCs w:val="18"/>
                    </w:rPr>
                  </w:sdtEndPr>
                  <w:sdtContent>
                    <w:tc>
                      <w:tcPr>
                        <w:tcW w:w="138" w:type="pc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永续债</w:t>
                        </w:r>
                      </w:p>
                    </w:tc>
                  </w:sdtContent>
                </w:sdt>
                <w:sdt>
                  <w:sdtPr>
                    <w:rPr>
                      <w:rFonts w:ascii="Times New Roman" w:hAnsi="Times New Roman" w:cs="Times New Roman"/>
                      <w:sz w:val="18"/>
                      <w:szCs w:val="18"/>
                    </w:rPr>
                    <w:tag w:val="_PLD_172b1cd40c094b6fa71aba6fe6a10f81"/>
                    <w:id w:val="865723857"/>
                    <w:lock w:val="sdtLocked"/>
                  </w:sdtPr>
                  <w:sdtEndPr>
                    <w:rPr>
                      <w:rFonts w:ascii="Times New Roman" w:hAnsi="Times New Roman" w:cs="Times New Roman"/>
                      <w:sz w:val="18"/>
                      <w:szCs w:val="18"/>
                    </w:rPr>
                  </w:sdtEndPr>
                  <w:sdtContent>
                    <w:tc>
                      <w:tcPr>
                        <w:tcW w:w="81" w:type="pct"/>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其他</w:t>
                        </w:r>
                      </w:p>
                    </w:tc>
                  </w:sdtContent>
                </w:sdt>
                <w:tc>
                  <w:tcPr>
                    <w:tcW w:w="513" w:type="pct"/>
                    <w:vMerge w:val="continue"/>
                  </w:tcPr>
                  <w:p>
                    <w:pPr>
                      <w:snapToGrid w:val="0"/>
                      <w:spacing w:line="240" w:lineRule="atLeast"/>
                      <w:jc w:val="center"/>
                      <w:rPr>
                        <w:rFonts w:ascii="Times New Roman" w:hAnsi="Times New Roman" w:cs="Times New Roman"/>
                        <w:sz w:val="18"/>
                        <w:szCs w:val="18"/>
                      </w:rPr>
                    </w:pPr>
                  </w:p>
                </w:tc>
                <w:tc>
                  <w:tcPr>
                    <w:tcW w:w="96" w:type="pct"/>
                    <w:vMerge w:val="continue"/>
                  </w:tcPr>
                  <w:p>
                    <w:pPr>
                      <w:snapToGrid w:val="0"/>
                      <w:spacing w:line="240" w:lineRule="atLeast"/>
                      <w:jc w:val="center"/>
                      <w:rPr>
                        <w:rFonts w:ascii="Times New Roman" w:hAnsi="Times New Roman" w:cs="Times New Roman"/>
                        <w:sz w:val="18"/>
                        <w:szCs w:val="18"/>
                      </w:rPr>
                    </w:pPr>
                  </w:p>
                </w:tc>
                <w:tc>
                  <w:tcPr>
                    <w:tcW w:w="483" w:type="pct"/>
                    <w:vMerge w:val="continue"/>
                  </w:tcPr>
                  <w:p>
                    <w:pPr>
                      <w:snapToGrid w:val="0"/>
                      <w:spacing w:line="240" w:lineRule="atLeast"/>
                      <w:jc w:val="center"/>
                      <w:rPr>
                        <w:rFonts w:ascii="Times New Roman" w:hAnsi="Times New Roman" w:cs="Times New Roman"/>
                        <w:sz w:val="18"/>
                        <w:szCs w:val="18"/>
                      </w:rPr>
                    </w:pPr>
                  </w:p>
                </w:tc>
                <w:tc>
                  <w:tcPr>
                    <w:tcW w:w="96" w:type="pct"/>
                    <w:vMerge w:val="continue"/>
                  </w:tcPr>
                  <w:p>
                    <w:pPr>
                      <w:snapToGrid w:val="0"/>
                      <w:spacing w:line="240" w:lineRule="atLeast"/>
                      <w:jc w:val="center"/>
                      <w:rPr>
                        <w:rFonts w:ascii="Times New Roman" w:hAnsi="Times New Roman" w:cs="Times New Roman"/>
                        <w:sz w:val="18"/>
                        <w:szCs w:val="18"/>
                      </w:rPr>
                    </w:pPr>
                  </w:p>
                </w:tc>
                <w:tc>
                  <w:tcPr>
                    <w:tcW w:w="481" w:type="pct"/>
                    <w:vMerge w:val="continue"/>
                  </w:tcPr>
                  <w:p>
                    <w:pPr>
                      <w:snapToGrid w:val="0"/>
                      <w:spacing w:line="240" w:lineRule="atLeast"/>
                      <w:jc w:val="center"/>
                      <w:rPr>
                        <w:rFonts w:ascii="Times New Roman" w:hAnsi="Times New Roman" w:cs="Times New Roman"/>
                        <w:sz w:val="18"/>
                        <w:szCs w:val="18"/>
                      </w:rPr>
                    </w:pPr>
                  </w:p>
                </w:tc>
                <w:tc>
                  <w:tcPr>
                    <w:tcW w:w="92" w:type="pct"/>
                    <w:vMerge w:val="continue"/>
                  </w:tcPr>
                  <w:p>
                    <w:pPr>
                      <w:snapToGrid w:val="0"/>
                      <w:spacing w:line="240" w:lineRule="atLeast"/>
                      <w:jc w:val="center"/>
                      <w:rPr>
                        <w:rFonts w:ascii="Times New Roman" w:hAnsi="Times New Roman" w:cs="Times New Roman"/>
                        <w:sz w:val="18"/>
                        <w:szCs w:val="18"/>
                      </w:rPr>
                    </w:pPr>
                  </w:p>
                </w:tc>
                <w:tc>
                  <w:tcPr>
                    <w:tcW w:w="485" w:type="pct"/>
                    <w:vMerge w:val="continue"/>
                  </w:tcPr>
                  <w:p>
                    <w:pPr>
                      <w:snapToGrid w:val="0"/>
                      <w:spacing w:line="240" w:lineRule="atLeast"/>
                      <w:jc w:val="center"/>
                      <w:rPr>
                        <w:rFonts w:ascii="Times New Roman" w:hAnsi="Times New Roman" w:cs="Times New Roman"/>
                        <w:sz w:val="18"/>
                        <w:szCs w:val="18"/>
                      </w:rPr>
                    </w:pPr>
                  </w:p>
                </w:tc>
                <w:tc>
                  <w:tcPr>
                    <w:tcW w:w="98" w:type="pct"/>
                    <w:vMerge w:val="continue"/>
                  </w:tcPr>
                  <w:p>
                    <w:pPr>
                      <w:jc w:val="center"/>
                      <w:rPr>
                        <w:rFonts w:ascii="Times New Roman" w:hAnsi="Times New Roman" w:cs="Times New Roman"/>
                        <w:sz w:val="18"/>
                        <w:szCs w:val="18"/>
                      </w:rPr>
                    </w:pPr>
                  </w:p>
                </w:tc>
                <w:tc>
                  <w:tcPr>
                    <w:tcW w:w="533" w:type="pct"/>
                    <w:vMerge w:val="continue"/>
                  </w:tcPr>
                  <w:p>
                    <w:pPr>
                      <w:jc w:val="center"/>
                      <w:rPr>
                        <w:rFonts w:ascii="Times New Roman" w:hAnsi="Times New Roman" w:cs="Times New Roman"/>
                        <w:sz w:val="18"/>
                        <w:szCs w:val="18"/>
                      </w:rPr>
                    </w:pPr>
                  </w:p>
                </w:tc>
                <w:tc>
                  <w:tcPr>
                    <w:tcW w:w="432" w:type="pct"/>
                    <w:vMerge w:val="continue"/>
                  </w:tcPr>
                  <w:p>
                    <w:pPr>
                      <w:jc w:val="center"/>
                      <w:rPr>
                        <w:rFonts w:ascii="Times New Roman" w:hAnsi="Times New Roman" w:cs="Times New Roman"/>
                        <w:sz w:val="18"/>
                        <w:szCs w:val="18"/>
                      </w:rPr>
                    </w:pPr>
                  </w:p>
                </w:tc>
                <w:tc>
                  <w:tcPr>
                    <w:tcW w:w="524" w:type="pct"/>
                    <w:vMerge w:val="continue"/>
                    <w:tcBorders>
                      <w:bottom w:val="nil"/>
                    </w:tcBorders>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4fdfc5e6b5c34cfdb08e5d5e3943966e"/>
                    <w:id w:val="865723858"/>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一、上年年末余额</w:t>
                        </w:r>
                      </w:p>
                    </w:tc>
                  </w:sdtContent>
                </w:sdt>
                <w:tc>
                  <w:tcPr>
                    <w:tcW w:w="483" w:type="pct"/>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89" w:type="pct"/>
                    <w:vAlign w:val="center"/>
                  </w:tcPr>
                  <w:p>
                    <w:pPr>
                      <w:jc w:val="right"/>
                      <w:rPr>
                        <w:rFonts w:ascii="Times New Roman" w:hAnsi="Times New Roman" w:cs="Times New Roman"/>
                        <w:sz w:val="18"/>
                        <w:szCs w:val="18"/>
                      </w:rPr>
                    </w:pPr>
                  </w:p>
                </w:tc>
                <w:tc>
                  <w:tcPr>
                    <w:tcW w:w="138" w:type="pct"/>
                    <w:vAlign w:val="center"/>
                  </w:tcPr>
                  <w:p>
                    <w:pPr>
                      <w:jc w:val="right"/>
                      <w:rPr>
                        <w:rFonts w:ascii="Times New Roman" w:hAnsi="Times New Roman" w:cs="Times New Roman"/>
                        <w:sz w:val="18"/>
                        <w:szCs w:val="18"/>
                      </w:rPr>
                    </w:pPr>
                  </w:p>
                </w:tc>
                <w:tc>
                  <w:tcPr>
                    <w:tcW w:w="81" w:type="pct"/>
                    <w:vAlign w:val="center"/>
                  </w:tcPr>
                  <w:p>
                    <w:pPr>
                      <w:jc w:val="right"/>
                      <w:rPr>
                        <w:rFonts w:ascii="Times New Roman" w:hAnsi="Times New Roman" w:cs="Times New Roman"/>
                        <w:sz w:val="18"/>
                        <w:szCs w:val="18"/>
                      </w:rPr>
                    </w:pPr>
                  </w:p>
                </w:tc>
                <w:tc>
                  <w:tcPr>
                    <w:tcW w:w="513" w:type="pct"/>
                    <w:vAlign w:val="center"/>
                  </w:tcPr>
                  <w:p>
                    <w:pPr>
                      <w:tabs>
                        <w:tab w:val="left" w:pos="300"/>
                      </w:tabs>
                      <w:jc w:val="right"/>
                      <w:rPr>
                        <w:rFonts w:ascii="Times New Roman" w:hAnsi="Times New Roman" w:cs="Times New Roman"/>
                        <w:sz w:val="18"/>
                        <w:szCs w:val="18"/>
                      </w:rPr>
                    </w:pPr>
                    <w:r>
                      <w:rPr>
                        <w:rFonts w:ascii="Times New Roman" w:hAnsi="Times New Roman" w:cs="Times New Roman"/>
                        <w:sz w:val="18"/>
                        <w:szCs w:val="18"/>
                      </w:rPr>
                      <w:t>1,184,901,870.95</w:t>
                    </w:r>
                  </w:p>
                </w:tc>
                <w:tc>
                  <w:tcPr>
                    <w:tcW w:w="96" w:type="pct"/>
                    <w:vAlign w:val="center"/>
                  </w:tcPr>
                  <w:p>
                    <w:pPr>
                      <w:jc w:val="right"/>
                      <w:rPr>
                        <w:rFonts w:ascii="Times New Roman" w:hAnsi="Times New Roman" w:cs="Times New Roman"/>
                        <w:sz w:val="18"/>
                        <w:szCs w:val="18"/>
                      </w:rPr>
                    </w:pPr>
                  </w:p>
                </w:tc>
                <w:tc>
                  <w:tcPr>
                    <w:tcW w:w="483" w:type="pct"/>
                    <w:vAlign w:val="center"/>
                  </w:tcPr>
                  <w:p>
                    <w:pPr>
                      <w:jc w:val="right"/>
                      <w:rPr>
                        <w:rFonts w:ascii="Times New Roman" w:hAnsi="Times New Roman" w:cs="Times New Roman"/>
                        <w:sz w:val="18"/>
                        <w:szCs w:val="18"/>
                      </w:rPr>
                    </w:pPr>
                    <w:r>
                      <w:rPr>
                        <w:rFonts w:ascii="Times New Roman" w:hAnsi="Times New Roman" w:cs="Times New Roman"/>
                        <w:sz w:val="18"/>
                        <w:szCs w:val="18"/>
                      </w:rPr>
                      <w:t>-8,825,807.26</w:t>
                    </w:r>
                  </w:p>
                </w:tc>
                <w:tc>
                  <w:tcPr>
                    <w:tcW w:w="96" w:type="pct"/>
                    <w:vAlign w:val="center"/>
                  </w:tcPr>
                  <w:p>
                    <w:pPr>
                      <w:jc w:val="right"/>
                      <w:rPr>
                        <w:rFonts w:ascii="Times New Roman" w:hAnsi="Times New Roman" w:cs="Times New Roman"/>
                        <w:sz w:val="18"/>
                        <w:szCs w:val="18"/>
                      </w:rPr>
                    </w:pPr>
                  </w:p>
                </w:tc>
                <w:tc>
                  <w:tcPr>
                    <w:tcW w:w="481" w:type="pct"/>
                    <w:vAlign w:val="center"/>
                  </w:tcPr>
                  <w:p>
                    <w:pPr>
                      <w:jc w:val="right"/>
                      <w:rPr>
                        <w:rFonts w:ascii="Times New Roman" w:hAnsi="Times New Roman" w:cs="Times New Roman"/>
                        <w:sz w:val="18"/>
                        <w:szCs w:val="18"/>
                      </w:rPr>
                    </w:pPr>
                    <w:r>
                      <w:rPr>
                        <w:rFonts w:ascii="Times New Roman" w:hAnsi="Times New Roman" w:cs="Times New Roman"/>
                        <w:sz w:val="18"/>
                        <w:szCs w:val="18"/>
                      </w:rPr>
                      <w:t>245,621,848.75</w:t>
                    </w:r>
                  </w:p>
                </w:tc>
                <w:tc>
                  <w:tcPr>
                    <w:tcW w:w="92" w:type="pct"/>
                    <w:vAlign w:val="center"/>
                  </w:tcPr>
                  <w:p>
                    <w:pPr>
                      <w:jc w:val="right"/>
                      <w:rPr>
                        <w:rFonts w:ascii="Times New Roman" w:hAnsi="Times New Roman" w:cs="Times New Roman"/>
                        <w:sz w:val="18"/>
                        <w:szCs w:val="18"/>
                      </w:rPr>
                    </w:pPr>
                  </w:p>
                </w:tc>
                <w:tc>
                  <w:tcPr>
                    <w:tcW w:w="485" w:type="pct"/>
                    <w:vAlign w:val="center"/>
                  </w:tcPr>
                  <w:p>
                    <w:pPr>
                      <w:jc w:val="right"/>
                      <w:rPr>
                        <w:rFonts w:ascii="Times New Roman" w:hAnsi="Times New Roman" w:cs="Times New Roman"/>
                        <w:sz w:val="18"/>
                        <w:szCs w:val="18"/>
                      </w:rPr>
                    </w:pPr>
                    <w:r>
                      <w:rPr>
                        <w:rFonts w:ascii="Times New Roman" w:hAnsi="Times New Roman" w:cs="Times New Roman"/>
                        <w:sz w:val="18"/>
                        <w:szCs w:val="18"/>
                      </w:rPr>
                      <w:t>155,277,445.08</w:t>
                    </w:r>
                  </w:p>
                </w:tc>
                <w:tc>
                  <w:tcPr>
                    <w:tcW w:w="98" w:type="pct"/>
                    <w:vAlign w:val="center"/>
                  </w:tcPr>
                  <w:p>
                    <w:pPr>
                      <w:jc w:val="right"/>
                      <w:rPr>
                        <w:rFonts w:ascii="Times New Roman" w:hAnsi="Times New Roman" w:cs="Times New Roman"/>
                        <w:sz w:val="18"/>
                        <w:szCs w:val="18"/>
                      </w:rPr>
                    </w:pPr>
                  </w:p>
                </w:tc>
                <w:tc>
                  <w:tcPr>
                    <w:tcW w:w="533" w:type="pct"/>
                    <w:vAlign w:val="center"/>
                  </w:tcPr>
                  <w:p>
                    <w:pPr>
                      <w:jc w:val="right"/>
                      <w:rPr>
                        <w:rFonts w:ascii="Times New Roman" w:hAnsi="Times New Roman" w:cs="Times New Roman"/>
                        <w:sz w:val="18"/>
                        <w:szCs w:val="18"/>
                      </w:rPr>
                    </w:pPr>
                    <w:r>
                      <w:rPr>
                        <w:rFonts w:ascii="Times New Roman" w:hAnsi="Times New Roman" w:cs="Times New Roman"/>
                        <w:sz w:val="18"/>
                        <w:szCs w:val="18"/>
                      </w:rPr>
                      <w:t>2,126,975,357.52</w:t>
                    </w:r>
                  </w:p>
                </w:tc>
                <w:tc>
                  <w:tcPr>
                    <w:tcW w:w="432" w:type="pct"/>
                    <w:vAlign w:val="center"/>
                  </w:tcPr>
                  <w:p>
                    <w:pPr>
                      <w:jc w:val="right"/>
                      <w:rPr>
                        <w:rFonts w:ascii="Times New Roman" w:hAnsi="Times New Roman" w:cs="Times New Roman"/>
                        <w:sz w:val="18"/>
                        <w:szCs w:val="18"/>
                      </w:rPr>
                    </w:pPr>
                    <w:r>
                      <w:rPr>
                        <w:rFonts w:ascii="Times New Roman" w:hAnsi="Times New Roman" w:cs="Times New Roman"/>
                        <w:sz w:val="18"/>
                        <w:szCs w:val="18"/>
                      </w:rPr>
                      <w:t>-6,025,820.43</w:t>
                    </w:r>
                  </w:p>
                </w:tc>
                <w:tc>
                  <w:tcPr>
                    <w:tcW w:w="524" w:type="pct"/>
                    <w:vAlign w:val="center"/>
                  </w:tcPr>
                  <w:p>
                    <w:pPr>
                      <w:jc w:val="right"/>
                      <w:rPr>
                        <w:rFonts w:ascii="Times New Roman" w:hAnsi="Times New Roman" w:cs="Times New Roman"/>
                        <w:sz w:val="18"/>
                        <w:szCs w:val="18"/>
                      </w:rPr>
                    </w:pPr>
                    <w:r>
                      <w:rPr>
                        <w:rFonts w:ascii="Times New Roman" w:hAnsi="Times New Roman" w:cs="Times New Roman"/>
                        <w:sz w:val="18"/>
                        <w:szCs w:val="18"/>
                      </w:rPr>
                      <w:t>2,120,949,537.09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90f04cf20717467298c2824a1c7b2f71"/>
                    <w:id w:val="865723859"/>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加：会计政策变更</w:t>
                        </w:r>
                      </w:p>
                    </w:tc>
                  </w:sdtContent>
                </w:sdt>
                <w:tc>
                  <w:tcPr>
                    <w:tcW w:w="483" w:type="pct"/>
                    <w:vAlign w:val="center"/>
                  </w:tcPr>
                  <w:p>
                    <w:pPr>
                      <w:jc w:val="right"/>
                      <w:rPr>
                        <w:rFonts w:ascii="Times New Roman" w:hAnsi="Times New Roman" w:cs="Times New Roman"/>
                        <w:sz w:val="18"/>
                        <w:szCs w:val="18"/>
                      </w:rPr>
                    </w:pPr>
                  </w:p>
                </w:tc>
                <w:tc>
                  <w:tcPr>
                    <w:tcW w:w="89" w:type="pct"/>
                    <w:vAlign w:val="center"/>
                  </w:tcPr>
                  <w:p>
                    <w:pPr>
                      <w:jc w:val="right"/>
                      <w:rPr>
                        <w:rFonts w:ascii="Times New Roman" w:hAnsi="Times New Roman" w:cs="Times New Roman"/>
                        <w:sz w:val="18"/>
                        <w:szCs w:val="18"/>
                      </w:rPr>
                    </w:pPr>
                  </w:p>
                </w:tc>
                <w:tc>
                  <w:tcPr>
                    <w:tcW w:w="138" w:type="pct"/>
                    <w:vAlign w:val="center"/>
                  </w:tcPr>
                  <w:p>
                    <w:pPr>
                      <w:jc w:val="right"/>
                      <w:rPr>
                        <w:rFonts w:ascii="Times New Roman" w:hAnsi="Times New Roman" w:cs="Times New Roman"/>
                        <w:sz w:val="18"/>
                        <w:szCs w:val="18"/>
                      </w:rPr>
                    </w:pPr>
                  </w:p>
                </w:tc>
                <w:tc>
                  <w:tcPr>
                    <w:tcW w:w="81" w:type="pct"/>
                    <w:vAlign w:val="center"/>
                  </w:tcPr>
                  <w:p>
                    <w:pPr>
                      <w:jc w:val="right"/>
                      <w:rPr>
                        <w:rFonts w:ascii="Times New Roman" w:hAnsi="Times New Roman" w:cs="Times New Roman"/>
                        <w:sz w:val="18"/>
                        <w:szCs w:val="18"/>
                      </w:rPr>
                    </w:pPr>
                  </w:p>
                </w:tc>
                <w:tc>
                  <w:tcPr>
                    <w:tcW w:w="51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1"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485" w:type="pct"/>
                    <w:vAlign w:val="center"/>
                  </w:tcPr>
                  <w:p>
                    <w:pPr>
                      <w:jc w:val="right"/>
                      <w:rPr>
                        <w:rFonts w:ascii="Times New Roman" w:hAnsi="Times New Roman" w:cs="Times New Roman"/>
                        <w:sz w:val="18"/>
                        <w:szCs w:val="18"/>
                      </w:rPr>
                    </w:pPr>
                  </w:p>
                </w:tc>
                <w:tc>
                  <w:tcPr>
                    <w:tcW w:w="98" w:type="pct"/>
                    <w:vAlign w:val="center"/>
                  </w:tcPr>
                  <w:p>
                    <w:pPr>
                      <w:jc w:val="right"/>
                      <w:rPr>
                        <w:rFonts w:ascii="Times New Roman" w:hAnsi="Times New Roman" w:cs="Times New Roman"/>
                        <w:sz w:val="18"/>
                        <w:szCs w:val="18"/>
                      </w:rPr>
                    </w:pPr>
                  </w:p>
                </w:tc>
                <w:tc>
                  <w:tcPr>
                    <w:tcW w:w="533" w:type="pct"/>
                    <w:vAlign w:val="center"/>
                  </w:tcPr>
                  <w:p>
                    <w:pPr>
                      <w:jc w:val="right"/>
                      <w:rPr>
                        <w:rFonts w:ascii="Times New Roman" w:hAnsi="Times New Roman" w:cs="Times New Roman"/>
                        <w:sz w:val="18"/>
                        <w:szCs w:val="18"/>
                      </w:rPr>
                    </w:pPr>
                  </w:p>
                </w:tc>
                <w:tc>
                  <w:tcPr>
                    <w:tcW w:w="432" w:type="pct"/>
                    <w:vAlign w:val="center"/>
                  </w:tcPr>
                  <w:p>
                    <w:pPr>
                      <w:jc w:val="right"/>
                      <w:rPr>
                        <w:rFonts w:ascii="Times New Roman" w:hAnsi="Times New Roman" w:cs="Times New Roman"/>
                        <w:sz w:val="18"/>
                        <w:szCs w:val="18"/>
                      </w:rPr>
                    </w:pPr>
                  </w:p>
                </w:tc>
                <w:tc>
                  <w:tcPr>
                    <w:tcW w:w="524"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d724580d38484f718fafd008f24a7505"/>
                    <w:id w:val="865723860"/>
                    <w:lock w:val="sdtLocked"/>
                  </w:sdtPr>
                  <w:sdtEndPr>
                    <w:rPr>
                      <w:rFonts w:ascii="Times New Roman" w:hAnsi="Times New Roman" w:cs="Times New Roman"/>
                      <w:sz w:val="18"/>
                      <w:szCs w:val="18"/>
                    </w:rPr>
                  </w:sdtEndPr>
                  <w:sdtContent>
                    <w:tc>
                      <w:tcPr>
                        <w:tcW w:w="376" w:type="pct"/>
                      </w:tcPr>
                      <w:p>
                        <w:pPr>
                          <w:ind w:firstLine="360" w:firstLineChars="200"/>
                          <w:rPr>
                            <w:rFonts w:ascii="Times New Roman" w:hAnsi="Times New Roman" w:cs="Times New Roman"/>
                            <w:sz w:val="18"/>
                            <w:szCs w:val="18"/>
                          </w:rPr>
                        </w:pPr>
                        <w:r>
                          <w:rPr>
                            <w:rFonts w:ascii="Times New Roman" w:hAnsi="Times New Roman" w:cs="Times New Roman"/>
                            <w:sz w:val="18"/>
                            <w:szCs w:val="18"/>
                          </w:rPr>
                          <w:t>前期差错更正</w:t>
                        </w:r>
                      </w:p>
                    </w:tc>
                  </w:sdtContent>
                </w:sdt>
                <w:tc>
                  <w:tcPr>
                    <w:tcW w:w="483" w:type="pct"/>
                    <w:vAlign w:val="center"/>
                  </w:tcPr>
                  <w:p>
                    <w:pPr>
                      <w:jc w:val="right"/>
                      <w:rPr>
                        <w:rFonts w:ascii="Times New Roman" w:hAnsi="Times New Roman" w:cs="Times New Roman"/>
                        <w:sz w:val="18"/>
                        <w:szCs w:val="18"/>
                      </w:rPr>
                    </w:pPr>
                  </w:p>
                </w:tc>
                <w:tc>
                  <w:tcPr>
                    <w:tcW w:w="89" w:type="pct"/>
                    <w:vAlign w:val="center"/>
                  </w:tcPr>
                  <w:p>
                    <w:pPr>
                      <w:jc w:val="right"/>
                      <w:rPr>
                        <w:rFonts w:ascii="Times New Roman" w:hAnsi="Times New Roman" w:cs="Times New Roman"/>
                        <w:sz w:val="18"/>
                        <w:szCs w:val="18"/>
                      </w:rPr>
                    </w:pPr>
                  </w:p>
                </w:tc>
                <w:tc>
                  <w:tcPr>
                    <w:tcW w:w="138" w:type="pct"/>
                    <w:vAlign w:val="center"/>
                  </w:tcPr>
                  <w:p>
                    <w:pPr>
                      <w:jc w:val="right"/>
                      <w:rPr>
                        <w:rFonts w:ascii="Times New Roman" w:hAnsi="Times New Roman" w:cs="Times New Roman"/>
                        <w:sz w:val="18"/>
                        <w:szCs w:val="18"/>
                      </w:rPr>
                    </w:pPr>
                  </w:p>
                </w:tc>
                <w:tc>
                  <w:tcPr>
                    <w:tcW w:w="81" w:type="pct"/>
                    <w:vAlign w:val="center"/>
                  </w:tcPr>
                  <w:p>
                    <w:pPr>
                      <w:jc w:val="right"/>
                      <w:rPr>
                        <w:rFonts w:ascii="Times New Roman" w:hAnsi="Times New Roman" w:cs="Times New Roman"/>
                        <w:sz w:val="18"/>
                        <w:szCs w:val="18"/>
                      </w:rPr>
                    </w:pPr>
                  </w:p>
                </w:tc>
                <w:tc>
                  <w:tcPr>
                    <w:tcW w:w="51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1"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485" w:type="pct"/>
                    <w:vAlign w:val="center"/>
                  </w:tcPr>
                  <w:p>
                    <w:pPr>
                      <w:jc w:val="right"/>
                      <w:rPr>
                        <w:rFonts w:ascii="Times New Roman" w:hAnsi="Times New Roman" w:cs="Times New Roman"/>
                        <w:sz w:val="18"/>
                        <w:szCs w:val="18"/>
                      </w:rPr>
                    </w:pPr>
                  </w:p>
                </w:tc>
                <w:tc>
                  <w:tcPr>
                    <w:tcW w:w="98" w:type="pct"/>
                    <w:vAlign w:val="center"/>
                  </w:tcPr>
                  <w:p>
                    <w:pPr>
                      <w:jc w:val="right"/>
                      <w:rPr>
                        <w:rFonts w:ascii="Times New Roman" w:hAnsi="Times New Roman" w:cs="Times New Roman"/>
                        <w:sz w:val="18"/>
                        <w:szCs w:val="18"/>
                      </w:rPr>
                    </w:pPr>
                  </w:p>
                </w:tc>
                <w:tc>
                  <w:tcPr>
                    <w:tcW w:w="533" w:type="pct"/>
                    <w:vAlign w:val="center"/>
                  </w:tcPr>
                  <w:p>
                    <w:pPr>
                      <w:jc w:val="right"/>
                      <w:rPr>
                        <w:rFonts w:ascii="Times New Roman" w:hAnsi="Times New Roman" w:cs="Times New Roman"/>
                        <w:sz w:val="18"/>
                        <w:szCs w:val="18"/>
                      </w:rPr>
                    </w:pPr>
                  </w:p>
                </w:tc>
                <w:tc>
                  <w:tcPr>
                    <w:tcW w:w="432" w:type="pct"/>
                    <w:vAlign w:val="center"/>
                  </w:tcPr>
                  <w:p>
                    <w:pPr>
                      <w:jc w:val="right"/>
                      <w:rPr>
                        <w:rFonts w:ascii="Times New Roman" w:hAnsi="Times New Roman" w:cs="Times New Roman"/>
                        <w:sz w:val="18"/>
                        <w:szCs w:val="18"/>
                      </w:rPr>
                    </w:pPr>
                  </w:p>
                </w:tc>
                <w:tc>
                  <w:tcPr>
                    <w:tcW w:w="524"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imes New Roman" w:hAnsi="Times New Roman" w:cs="Times New Roman"/>
                      <w:sz w:val="18"/>
                      <w:szCs w:val="18"/>
                    </w:rPr>
                    <w:tag w:val="_PLD_7107f73d7a074f5ea2342b03040f2d87"/>
                    <w:id w:val="865723861"/>
                    <w:lock w:val="sdtLocked"/>
                  </w:sdtPr>
                  <w:sdtEndPr>
                    <w:rPr>
                      <w:rFonts w:ascii="Times New Roman" w:hAnsi="Times New Roman" w:cs="Times New Roman"/>
                      <w:sz w:val="18"/>
                      <w:szCs w:val="18"/>
                    </w:rPr>
                  </w:sdtEndPr>
                  <w:sdtContent>
                    <w:tc>
                      <w:tcPr>
                        <w:tcW w:w="376" w:type="pct"/>
                      </w:tcPr>
                      <w:p>
                        <w:pPr>
                          <w:ind w:firstLine="360" w:firstLineChars="200"/>
                          <w:rPr>
                            <w:rFonts w:ascii="Times New Roman" w:hAnsi="Times New Roman" w:cs="Times New Roman"/>
                            <w:sz w:val="18"/>
                            <w:szCs w:val="18"/>
                          </w:rPr>
                        </w:pPr>
                        <w:r>
                          <w:rPr>
                            <w:rFonts w:ascii="Times New Roman" w:hAnsi="Times New Roman" w:cs="Times New Roman"/>
                            <w:sz w:val="18"/>
                            <w:szCs w:val="18"/>
                          </w:rPr>
                          <w:t>同一控制下企业合并</w:t>
                        </w:r>
                      </w:p>
                    </w:tc>
                  </w:sdtContent>
                </w:sdt>
                <w:tc>
                  <w:tcPr>
                    <w:tcW w:w="483" w:type="pct"/>
                    <w:vAlign w:val="center"/>
                  </w:tcPr>
                  <w:p>
                    <w:pPr>
                      <w:jc w:val="right"/>
                      <w:rPr>
                        <w:rFonts w:ascii="Times New Roman" w:hAnsi="Times New Roman" w:cs="Times New Roman"/>
                        <w:sz w:val="18"/>
                        <w:szCs w:val="18"/>
                      </w:rPr>
                    </w:pPr>
                  </w:p>
                </w:tc>
                <w:tc>
                  <w:tcPr>
                    <w:tcW w:w="89" w:type="pct"/>
                    <w:vAlign w:val="center"/>
                  </w:tcPr>
                  <w:p>
                    <w:pPr>
                      <w:jc w:val="right"/>
                      <w:rPr>
                        <w:rFonts w:ascii="Times New Roman" w:hAnsi="Times New Roman" w:cs="Times New Roman"/>
                        <w:sz w:val="18"/>
                        <w:szCs w:val="18"/>
                      </w:rPr>
                    </w:pPr>
                  </w:p>
                </w:tc>
                <w:tc>
                  <w:tcPr>
                    <w:tcW w:w="138" w:type="pct"/>
                    <w:vAlign w:val="center"/>
                  </w:tcPr>
                  <w:p>
                    <w:pPr>
                      <w:jc w:val="right"/>
                      <w:rPr>
                        <w:rFonts w:ascii="Times New Roman" w:hAnsi="Times New Roman" w:cs="Times New Roman"/>
                        <w:sz w:val="18"/>
                        <w:szCs w:val="18"/>
                      </w:rPr>
                    </w:pPr>
                  </w:p>
                </w:tc>
                <w:tc>
                  <w:tcPr>
                    <w:tcW w:w="81" w:type="pct"/>
                    <w:vAlign w:val="center"/>
                  </w:tcPr>
                  <w:p>
                    <w:pPr>
                      <w:jc w:val="right"/>
                      <w:rPr>
                        <w:rFonts w:ascii="Times New Roman" w:hAnsi="Times New Roman" w:cs="Times New Roman"/>
                        <w:sz w:val="18"/>
                        <w:szCs w:val="18"/>
                      </w:rPr>
                    </w:pPr>
                  </w:p>
                </w:tc>
                <w:tc>
                  <w:tcPr>
                    <w:tcW w:w="51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1"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485" w:type="pct"/>
                    <w:vAlign w:val="center"/>
                  </w:tcPr>
                  <w:p>
                    <w:pPr>
                      <w:jc w:val="right"/>
                      <w:rPr>
                        <w:rFonts w:ascii="Times New Roman" w:hAnsi="Times New Roman" w:cs="Times New Roman"/>
                        <w:sz w:val="18"/>
                        <w:szCs w:val="18"/>
                      </w:rPr>
                    </w:pPr>
                  </w:p>
                </w:tc>
                <w:tc>
                  <w:tcPr>
                    <w:tcW w:w="98" w:type="pct"/>
                    <w:vAlign w:val="center"/>
                  </w:tcPr>
                  <w:p>
                    <w:pPr>
                      <w:jc w:val="right"/>
                      <w:rPr>
                        <w:rFonts w:ascii="Times New Roman" w:hAnsi="Times New Roman" w:cs="Times New Roman"/>
                        <w:sz w:val="18"/>
                        <w:szCs w:val="18"/>
                      </w:rPr>
                    </w:pPr>
                  </w:p>
                </w:tc>
                <w:tc>
                  <w:tcPr>
                    <w:tcW w:w="533" w:type="pct"/>
                    <w:vAlign w:val="center"/>
                  </w:tcPr>
                  <w:p>
                    <w:pPr>
                      <w:jc w:val="right"/>
                      <w:rPr>
                        <w:rFonts w:ascii="Times New Roman" w:hAnsi="Times New Roman" w:cs="Times New Roman"/>
                        <w:sz w:val="18"/>
                        <w:szCs w:val="18"/>
                      </w:rPr>
                    </w:pPr>
                  </w:p>
                </w:tc>
                <w:tc>
                  <w:tcPr>
                    <w:tcW w:w="432" w:type="pct"/>
                    <w:vAlign w:val="center"/>
                  </w:tcPr>
                  <w:p>
                    <w:pPr>
                      <w:jc w:val="right"/>
                      <w:rPr>
                        <w:rFonts w:ascii="Times New Roman" w:hAnsi="Times New Roman" w:cs="Times New Roman"/>
                        <w:sz w:val="18"/>
                        <w:szCs w:val="18"/>
                      </w:rPr>
                    </w:pPr>
                  </w:p>
                </w:tc>
                <w:tc>
                  <w:tcPr>
                    <w:tcW w:w="524"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122e3287ddd140fb9d031a4dab8a8b13"/>
                    <w:id w:val="865723862"/>
                    <w:lock w:val="sdtLocked"/>
                  </w:sdtPr>
                  <w:sdtEndPr>
                    <w:rPr>
                      <w:rFonts w:ascii="Times New Roman" w:hAnsi="Times New Roman" w:cs="Times New Roman"/>
                      <w:sz w:val="18"/>
                      <w:szCs w:val="18"/>
                    </w:rPr>
                  </w:sdtEndPr>
                  <w:sdtContent>
                    <w:tc>
                      <w:tcPr>
                        <w:tcW w:w="376" w:type="pct"/>
                      </w:tcPr>
                      <w:p>
                        <w:pPr>
                          <w:ind w:firstLine="360" w:firstLineChars="200"/>
                          <w:rPr>
                            <w:rFonts w:ascii="Times New Roman" w:hAnsi="Times New Roman" w:cs="Times New Roman"/>
                            <w:sz w:val="18"/>
                            <w:szCs w:val="18"/>
                          </w:rPr>
                        </w:pPr>
                        <w:r>
                          <w:rPr>
                            <w:rFonts w:ascii="Times New Roman" w:hAnsi="Times New Roman" w:cs="Times New Roman"/>
                            <w:sz w:val="18"/>
                            <w:szCs w:val="18"/>
                          </w:rPr>
                          <w:t>其他</w:t>
                        </w:r>
                      </w:p>
                    </w:tc>
                  </w:sdtContent>
                </w:sdt>
                <w:tc>
                  <w:tcPr>
                    <w:tcW w:w="483" w:type="pct"/>
                    <w:vAlign w:val="center"/>
                  </w:tcPr>
                  <w:p>
                    <w:pPr>
                      <w:jc w:val="right"/>
                      <w:rPr>
                        <w:rFonts w:ascii="Times New Roman" w:hAnsi="Times New Roman" w:cs="Times New Roman"/>
                        <w:sz w:val="18"/>
                        <w:szCs w:val="18"/>
                      </w:rPr>
                    </w:pPr>
                  </w:p>
                </w:tc>
                <w:tc>
                  <w:tcPr>
                    <w:tcW w:w="89" w:type="pct"/>
                    <w:vAlign w:val="center"/>
                  </w:tcPr>
                  <w:p>
                    <w:pPr>
                      <w:jc w:val="right"/>
                      <w:rPr>
                        <w:rFonts w:ascii="Times New Roman" w:hAnsi="Times New Roman" w:cs="Times New Roman"/>
                        <w:sz w:val="18"/>
                        <w:szCs w:val="18"/>
                      </w:rPr>
                    </w:pPr>
                  </w:p>
                </w:tc>
                <w:tc>
                  <w:tcPr>
                    <w:tcW w:w="138" w:type="pct"/>
                    <w:vAlign w:val="center"/>
                  </w:tcPr>
                  <w:p>
                    <w:pPr>
                      <w:jc w:val="right"/>
                      <w:rPr>
                        <w:rFonts w:ascii="Times New Roman" w:hAnsi="Times New Roman" w:cs="Times New Roman"/>
                        <w:sz w:val="18"/>
                        <w:szCs w:val="18"/>
                      </w:rPr>
                    </w:pPr>
                  </w:p>
                </w:tc>
                <w:tc>
                  <w:tcPr>
                    <w:tcW w:w="81" w:type="pct"/>
                    <w:vAlign w:val="center"/>
                  </w:tcPr>
                  <w:p>
                    <w:pPr>
                      <w:jc w:val="right"/>
                      <w:rPr>
                        <w:rFonts w:ascii="Times New Roman" w:hAnsi="Times New Roman" w:cs="Times New Roman"/>
                        <w:sz w:val="18"/>
                        <w:szCs w:val="18"/>
                      </w:rPr>
                    </w:pPr>
                  </w:p>
                </w:tc>
                <w:tc>
                  <w:tcPr>
                    <w:tcW w:w="51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1"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485" w:type="pct"/>
                    <w:vAlign w:val="center"/>
                  </w:tcPr>
                  <w:p>
                    <w:pPr>
                      <w:jc w:val="right"/>
                      <w:rPr>
                        <w:rFonts w:ascii="Times New Roman" w:hAnsi="Times New Roman" w:cs="Times New Roman"/>
                        <w:sz w:val="18"/>
                        <w:szCs w:val="18"/>
                      </w:rPr>
                    </w:pPr>
                  </w:p>
                </w:tc>
                <w:tc>
                  <w:tcPr>
                    <w:tcW w:w="98" w:type="pct"/>
                    <w:vAlign w:val="center"/>
                  </w:tcPr>
                  <w:p>
                    <w:pPr>
                      <w:jc w:val="right"/>
                      <w:rPr>
                        <w:rFonts w:ascii="Times New Roman" w:hAnsi="Times New Roman" w:cs="Times New Roman"/>
                        <w:sz w:val="18"/>
                        <w:szCs w:val="18"/>
                      </w:rPr>
                    </w:pPr>
                  </w:p>
                </w:tc>
                <w:tc>
                  <w:tcPr>
                    <w:tcW w:w="533" w:type="pct"/>
                    <w:vAlign w:val="center"/>
                  </w:tcPr>
                  <w:p>
                    <w:pPr>
                      <w:jc w:val="right"/>
                      <w:rPr>
                        <w:rFonts w:ascii="Times New Roman" w:hAnsi="Times New Roman" w:cs="Times New Roman"/>
                        <w:sz w:val="18"/>
                        <w:szCs w:val="18"/>
                      </w:rPr>
                    </w:pPr>
                  </w:p>
                </w:tc>
                <w:tc>
                  <w:tcPr>
                    <w:tcW w:w="432" w:type="pct"/>
                    <w:vAlign w:val="center"/>
                  </w:tcPr>
                  <w:p>
                    <w:pPr>
                      <w:jc w:val="right"/>
                      <w:rPr>
                        <w:rFonts w:ascii="Times New Roman" w:hAnsi="Times New Roman" w:cs="Times New Roman"/>
                        <w:sz w:val="18"/>
                        <w:szCs w:val="18"/>
                      </w:rPr>
                    </w:pPr>
                  </w:p>
                </w:tc>
                <w:tc>
                  <w:tcPr>
                    <w:tcW w:w="524"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04db836e110543eab1bb1c6fb46bd857"/>
                    <w:id w:val="865723863"/>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二、本年期初余额</w:t>
                        </w:r>
                      </w:p>
                    </w:tc>
                  </w:sdtContent>
                </w:sdt>
                <w:tc>
                  <w:tcPr>
                    <w:tcW w:w="483" w:type="pct"/>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89" w:type="pct"/>
                    <w:vAlign w:val="center"/>
                  </w:tcPr>
                  <w:p>
                    <w:pPr>
                      <w:jc w:val="right"/>
                      <w:rPr>
                        <w:rFonts w:ascii="Times New Roman" w:hAnsi="Times New Roman" w:cs="Times New Roman"/>
                        <w:sz w:val="18"/>
                        <w:szCs w:val="18"/>
                      </w:rPr>
                    </w:pPr>
                  </w:p>
                </w:tc>
                <w:tc>
                  <w:tcPr>
                    <w:tcW w:w="138" w:type="pct"/>
                    <w:vAlign w:val="center"/>
                  </w:tcPr>
                  <w:p>
                    <w:pPr>
                      <w:jc w:val="right"/>
                      <w:rPr>
                        <w:rFonts w:ascii="Times New Roman" w:hAnsi="Times New Roman" w:cs="Times New Roman"/>
                        <w:sz w:val="18"/>
                        <w:szCs w:val="18"/>
                      </w:rPr>
                    </w:pPr>
                  </w:p>
                </w:tc>
                <w:tc>
                  <w:tcPr>
                    <w:tcW w:w="81" w:type="pct"/>
                    <w:vAlign w:val="center"/>
                  </w:tcPr>
                  <w:p>
                    <w:pPr>
                      <w:jc w:val="right"/>
                      <w:rPr>
                        <w:rFonts w:ascii="Times New Roman" w:hAnsi="Times New Roman" w:cs="Times New Roman"/>
                        <w:sz w:val="18"/>
                        <w:szCs w:val="18"/>
                      </w:rPr>
                    </w:pPr>
                  </w:p>
                </w:tc>
                <w:tc>
                  <w:tcPr>
                    <w:tcW w:w="513" w:type="pct"/>
                    <w:vAlign w:val="center"/>
                  </w:tcPr>
                  <w:p>
                    <w:pPr>
                      <w:jc w:val="right"/>
                      <w:rPr>
                        <w:rFonts w:ascii="Times New Roman" w:hAnsi="Times New Roman" w:cs="Times New Roman"/>
                        <w:sz w:val="18"/>
                        <w:szCs w:val="18"/>
                      </w:rPr>
                    </w:pPr>
                    <w:r>
                      <w:rPr>
                        <w:rFonts w:ascii="Times New Roman" w:hAnsi="Times New Roman" w:cs="Times New Roman"/>
                        <w:sz w:val="18"/>
                        <w:szCs w:val="18"/>
                      </w:rPr>
                      <w:t>1,184,901,870.95</w:t>
                    </w:r>
                  </w:p>
                </w:tc>
                <w:tc>
                  <w:tcPr>
                    <w:tcW w:w="96" w:type="pct"/>
                    <w:vAlign w:val="center"/>
                  </w:tcPr>
                  <w:p>
                    <w:pPr>
                      <w:jc w:val="right"/>
                      <w:rPr>
                        <w:rFonts w:ascii="Times New Roman" w:hAnsi="Times New Roman" w:cs="Times New Roman"/>
                        <w:sz w:val="18"/>
                        <w:szCs w:val="18"/>
                      </w:rPr>
                    </w:pPr>
                  </w:p>
                </w:tc>
                <w:tc>
                  <w:tcPr>
                    <w:tcW w:w="483" w:type="pct"/>
                    <w:vAlign w:val="center"/>
                  </w:tcPr>
                  <w:p>
                    <w:pPr>
                      <w:jc w:val="right"/>
                      <w:rPr>
                        <w:rFonts w:ascii="Times New Roman" w:hAnsi="Times New Roman" w:cs="Times New Roman"/>
                        <w:sz w:val="18"/>
                        <w:szCs w:val="18"/>
                      </w:rPr>
                    </w:pPr>
                    <w:r>
                      <w:rPr>
                        <w:rFonts w:ascii="Times New Roman" w:hAnsi="Times New Roman" w:cs="Times New Roman"/>
                        <w:sz w:val="18"/>
                        <w:szCs w:val="18"/>
                      </w:rPr>
                      <w:t>-8,825,807.26</w:t>
                    </w:r>
                  </w:p>
                </w:tc>
                <w:tc>
                  <w:tcPr>
                    <w:tcW w:w="96" w:type="pct"/>
                    <w:vAlign w:val="center"/>
                  </w:tcPr>
                  <w:p>
                    <w:pPr>
                      <w:jc w:val="right"/>
                      <w:rPr>
                        <w:rFonts w:ascii="Times New Roman" w:hAnsi="Times New Roman" w:cs="Times New Roman"/>
                        <w:sz w:val="18"/>
                        <w:szCs w:val="18"/>
                      </w:rPr>
                    </w:pPr>
                  </w:p>
                </w:tc>
                <w:tc>
                  <w:tcPr>
                    <w:tcW w:w="481" w:type="pct"/>
                    <w:vAlign w:val="center"/>
                  </w:tcPr>
                  <w:p>
                    <w:pPr>
                      <w:jc w:val="right"/>
                      <w:rPr>
                        <w:rFonts w:ascii="Times New Roman" w:hAnsi="Times New Roman" w:cs="Times New Roman"/>
                        <w:sz w:val="18"/>
                        <w:szCs w:val="18"/>
                      </w:rPr>
                    </w:pPr>
                    <w:r>
                      <w:rPr>
                        <w:rFonts w:ascii="Times New Roman" w:hAnsi="Times New Roman" w:cs="Times New Roman"/>
                        <w:sz w:val="18"/>
                        <w:szCs w:val="18"/>
                      </w:rPr>
                      <w:t>245,621,848.75</w:t>
                    </w:r>
                  </w:p>
                </w:tc>
                <w:tc>
                  <w:tcPr>
                    <w:tcW w:w="92" w:type="pct"/>
                    <w:vAlign w:val="center"/>
                  </w:tcPr>
                  <w:p>
                    <w:pPr>
                      <w:jc w:val="right"/>
                      <w:rPr>
                        <w:rFonts w:ascii="Times New Roman" w:hAnsi="Times New Roman" w:cs="Times New Roman"/>
                        <w:sz w:val="18"/>
                        <w:szCs w:val="18"/>
                      </w:rPr>
                    </w:pPr>
                  </w:p>
                </w:tc>
                <w:tc>
                  <w:tcPr>
                    <w:tcW w:w="485" w:type="pct"/>
                    <w:vAlign w:val="center"/>
                  </w:tcPr>
                  <w:p>
                    <w:pPr>
                      <w:jc w:val="right"/>
                      <w:rPr>
                        <w:rFonts w:ascii="Times New Roman" w:hAnsi="Times New Roman" w:cs="Times New Roman"/>
                        <w:sz w:val="18"/>
                        <w:szCs w:val="18"/>
                      </w:rPr>
                    </w:pPr>
                    <w:r>
                      <w:rPr>
                        <w:rFonts w:ascii="Times New Roman" w:hAnsi="Times New Roman" w:cs="Times New Roman"/>
                        <w:sz w:val="18"/>
                        <w:szCs w:val="18"/>
                      </w:rPr>
                      <w:t>155,277,445.08</w:t>
                    </w:r>
                  </w:p>
                </w:tc>
                <w:tc>
                  <w:tcPr>
                    <w:tcW w:w="98" w:type="pct"/>
                    <w:vAlign w:val="center"/>
                  </w:tcPr>
                  <w:p>
                    <w:pPr>
                      <w:jc w:val="right"/>
                      <w:rPr>
                        <w:rFonts w:ascii="Times New Roman" w:hAnsi="Times New Roman" w:cs="Times New Roman"/>
                        <w:sz w:val="18"/>
                        <w:szCs w:val="18"/>
                      </w:rPr>
                    </w:pPr>
                  </w:p>
                </w:tc>
                <w:tc>
                  <w:tcPr>
                    <w:tcW w:w="533" w:type="pct"/>
                    <w:vAlign w:val="center"/>
                  </w:tcPr>
                  <w:p>
                    <w:pPr>
                      <w:jc w:val="right"/>
                      <w:rPr>
                        <w:rFonts w:ascii="Times New Roman" w:hAnsi="Times New Roman" w:cs="Times New Roman"/>
                        <w:sz w:val="18"/>
                        <w:szCs w:val="18"/>
                      </w:rPr>
                    </w:pPr>
                    <w:r>
                      <w:rPr>
                        <w:rFonts w:ascii="Times New Roman" w:hAnsi="Times New Roman" w:cs="Times New Roman"/>
                        <w:sz w:val="18"/>
                        <w:szCs w:val="18"/>
                      </w:rPr>
                      <w:t>2,126,975,357.52</w:t>
                    </w:r>
                  </w:p>
                </w:tc>
                <w:tc>
                  <w:tcPr>
                    <w:tcW w:w="432" w:type="pct"/>
                    <w:vAlign w:val="center"/>
                  </w:tcPr>
                  <w:p>
                    <w:pPr>
                      <w:jc w:val="right"/>
                      <w:rPr>
                        <w:rFonts w:ascii="Times New Roman" w:hAnsi="Times New Roman" w:cs="Times New Roman"/>
                        <w:sz w:val="18"/>
                        <w:szCs w:val="18"/>
                      </w:rPr>
                    </w:pPr>
                    <w:r>
                      <w:rPr>
                        <w:rFonts w:ascii="Times New Roman" w:hAnsi="Times New Roman" w:cs="Times New Roman"/>
                        <w:sz w:val="18"/>
                        <w:szCs w:val="18"/>
                      </w:rPr>
                      <w:t>-6,025,820.43</w:t>
                    </w:r>
                  </w:p>
                </w:tc>
                <w:tc>
                  <w:tcPr>
                    <w:tcW w:w="524" w:type="pct"/>
                    <w:vAlign w:val="center"/>
                  </w:tcPr>
                  <w:p>
                    <w:pPr>
                      <w:jc w:val="right"/>
                      <w:rPr>
                        <w:rFonts w:ascii="Times New Roman" w:hAnsi="Times New Roman" w:cs="Times New Roman"/>
                        <w:sz w:val="18"/>
                        <w:szCs w:val="18"/>
                      </w:rPr>
                    </w:pPr>
                    <w:r>
                      <w:rPr>
                        <w:rFonts w:ascii="Times New Roman" w:hAnsi="Times New Roman" w:cs="Times New Roman"/>
                        <w:sz w:val="18"/>
                        <w:szCs w:val="18"/>
                      </w:rPr>
                      <w:t>2,120,949,537.09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1ca4768a663c4afc8e9fee3a8dc71bc6"/>
                    <w:id w:val="865723864"/>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三、本期增减变动金额（减少以“－”号填列）</w:t>
                        </w:r>
                      </w:p>
                    </w:tc>
                  </w:sdtContent>
                </w:sdt>
                <w:tc>
                  <w:tcPr>
                    <w:tcW w:w="483" w:type="pct"/>
                    <w:vAlign w:val="center"/>
                  </w:tcPr>
                  <w:p>
                    <w:pPr>
                      <w:jc w:val="right"/>
                      <w:rPr>
                        <w:rFonts w:ascii="Times New Roman" w:hAnsi="Times New Roman" w:cs="Times New Roman"/>
                        <w:sz w:val="18"/>
                        <w:szCs w:val="18"/>
                      </w:rPr>
                    </w:pPr>
                  </w:p>
                </w:tc>
                <w:tc>
                  <w:tcPr>
                    <w:tcW w:w="89" w:type="pct"/>
                    <w:vAlign w:val="center"/>
                  </w:tcPr>
                  <w:p>
                    <w:pPr>
                      <w:jc w:val="right"/>
                      <w:rPr>
                        <w:rFonts w:ascii="Times New Roman" w:hAnsi="Times New Roman" w:cs="Times New Roman"/>
                        <w:sz w:val="18"/>
                        <w:szCs w:val="18"/>
                      </w:rPr>
                    </w:pPr>
                  </w:p>
                </w:tc>
                <w:tc>
                  <w:tcPr>
                    <w:tcW w:w="138" w:type="pct"/>
                    <w:vAlign w:val="center"/>
                  </w:tcPr>
                  <w:p>
                    <w:pPr>
                      <w:jc w:val="right"/>
                      <w:rPr>
                        <w:rFonts w:ascii="Times New Roman" w:hAnsi="Times New Roman" w:cs="Times New Roman"/>
                        <w:sz w:val="18"/>
                        <w:szCs w:val="18"/>
                      </w:rPr>
                    </w:pPr>
                  </w:p>
                </w:tc>
                <w:tc>
                  <w:tcPr>
                    <w:tcW w:w="81" w:type="pct"/>
                    <w:vAlign w:val="center"/>
                  </w:tcPr>
                  <w:p>
                    <w:pPr>
                      <w:jc w:val="right"/>
                      <w:rPr>
                        <w:rFonts w:ascii="Times New Roman" w:hAnsi="Times New Roman" w:cs="Times New Roman"/>
                        <w:sz w:val="18"/>
                        <w:szCs w:val="18"/>
                      </w:rPr>
                    </w:pPr>
                  </w:p>
                </w:tc>
                <w:tc>
                  <w:tcPr>
                    <w:tcW w:w="51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1"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485" w:type="pct"/>
                    <w:vAlign w:val="center"/>
                  </w:tcPr>
                  <w:p>
                    <w:pPr>
                      <w:jc w:val="right"/>
                      <w:rPr>
                        <w:rFonts w:ascii="Times New Roman" w:hAnsi="Times New Roman" w:cs="Times New Roman"/>
                        <w:sz w:val="18"/>
                        <w:szCs w:val="18"/>
                      </w:rPr>
                    </w:pPr>
                    <w:r>
                      <w:rPr>
                        <w:rFonts w:ascii="Times New Roman" w:hAnsi="Times New Roman" w:cs="Times New Roman"/>
                        <w:sz w:val="18"/>
                        <w:szCs w:val="18"/>
                      </w:rPr>
                      <w:t>8,658,258.15</w:t>
                    </w:r>
                  </w:p>
                </w:tc>
                <w:tc>
                  <w:tcPr>
                    <w:tcW w:w="98" w:type="pct"/>
                    <w:vAlign w:val="center"/>
                  </w:tcPr>
                  <w:p>
                    <w:pPr>
                      <w:jc w:val="right"/>
                      <w:rPr>
                        <w:rFonts w:ascii="Times New Roman" w:hAnsi="Times New Roman" w:cs="Times New Roman"/>
                        <w:sz w:val="18"/>
                        <w:szCs w:val="18"/>
                      </w:rPr>
                    </w:pPr>
                  </w:p>
                </w:tc>
                <w:tc>
                  <w:tcPr>
                    <w:tcW w:w="533" w:type="pct"/>
                    <w:vAlign w:val="center"/>
                  </w:tcPr>
                  <w:p>
                    <w:pPr>
                      <w:jc w:val="right"/>
                      <w:rPr>
                        <w:rFonts w:ascii="Times New Roman" w:hAnsi="Times New Roman" w:cs="Times New Roman"/>
                        <w:sz w:val="18"/>
                        <w:szCs w:val="18"/>
                      </w:rPr>
                    </w:pPr>
                    <w:r>
                      <w:rPr>
                        <w:rFonts w:ascii="Times New Roman" w:hAnsi="Times New Roman" w:cs="Times New Roman"/>
                        <w:sz w:val="18"/>
                        <w:szCs w:val="18"/>
                      </w:rPr>
                      <w:t>8,658,258.15</w:t>
                    </w:r>
                  </w:p>
                </w:tc>
                <w:tc>
                  <w:tcPr>
                    <w:tcW w:w="432" w:type="pct"/>
                    <w:vAlign w:val="center"/>
                  </w:tcPr>
                  <w:p>
                    <w:pPr>
                      <w:jc w:val="right"/>
                      <w:rPr>
                        <w:rFonts w:ascii="Times New Roman" w:hAnsi="Times New Roman" w:cs="Times New Roman"/>
                        <w:sz w:val="18"/>
                        <w:szCs w:val="18"/>
                      </w:rPr>
                    </w:pPr>
                    <w:r>
                      <w:rPr>
                        <w:rFonts w:ascii="Times New Roman" w:hAnsi="Times New Roman" w:cs="Times New Roman"/>
                        <w:sz w:val="18"/>
                        <w:szCs w:val="18"/>
                      </w:rPr>
                      <w:t>608,858.13</w:t>
                    </w:r>
                  </w:p>
                </w:tc>
                <w:tc>
                  <w:tcPr>
                    <w:tcW w:w="524" w:type="pct"/>
                    <w:vAlign w:val="center"/>
                  </w:tcPr>
                  <w:p>
                    <w:pPr>
                      <w:jc w:val="right"/>
                      <w:rPr>
                        <w:rFonts w:ascii="Times New Roman" w:hAnsi="Times New Roman" w:cs="Times New Roman"/>
                        <w:sz w:val="18"/>
                        <w:szCs w:val="18"/>
                      </w:rPr>
                    </w:pPr>
                    <w:r>
                      <w:rPr>
                        <w:rFonts w:ascii="Times New Roman" w:hAnsi="Times New Roman" w:cs="Times New Roman"/>
                        <w:sz w:val="18"/>
                        <w:szCs w:val="18"/>
                      </w:rPr>
                      <w:t>9,267,116.28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55a20255a0a245fd951d5eb42c559389"/>
                    <w:id w:val="865723865"/>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（一）综合收益总额</w:t>
                        </w:r>
                      </w:p>
                    </w:tc>
                  </w:sdtContent>
                </w:sdt>
                <w:tc>
                  <w:tcPr>
                    <w:tcW w:w="483" w:type="pct"/>
                    <w:vAlign w:val="center"/>
                  </w:tcPr>
                  <w:p>
                    <w:pPr>
                      <w:jc w:val="right"/>
                      <w:rPr>
                        <w:rFonts w:ascii="Times New Roman" w:hAnsi="Times New Roman" w:cs="Times New Roman"/>
                        <w:sz w:val="18"/>
                        <w:szCs w:val="18"/>
                      </w:rPr>
                    </w:pPr>
                  </w:p>
                </w:tc>
                <w:tc>
                  <w:tcPr>
                    <w:tcW w:w="89" w:type="pct"/>
                    <w:vAlign w:val="center"/>
                  </w:tcPr>
                  <w:p>
                    <w:pPr>
                      <w:jc w:val="right"/>
                      <w:rPr>
                        <w:rFonts w:ascii="Times New Roman" w:hAnsi="Times New Roman" w:cs="Times New Roman"/>
                        <w:sz w:val="18"/>
                        <w:szCs w:val="18"/>
                      </w:rPr>
                    </w:pPr>
                  </w:p>
                </w:tc>
                <w:tc>
                  <w:tcPr>
                    <w:tcW w:w="138" w:type="pct"/>
                    <w:vAlign w:val="center"/>
                  </w:tcPr>
                  <w:p>
                    <w:pPr>
                      <w:jc w:val="right"/>
                      <w:rPr>
                        <w:rFonts w:ascii="Times New Roman" w:hAnsi="Times New Roman" w:cs="Times New Roman"/>
                        <w:sz w:val="18"/>
                        <w:szCs w:val="18"/>
                      </w:rPr>
                    </w:pPr>
                  </w:p>
                </w:tc>
                <w:tc>
                  <w:tcPr>
                    <w:tcW w:w="81" w:type="pct"/>
                    <w:vAlign w:val="center"/>
                  </w:tcPr>
                  <w:p>
                    <w:pPr>
                      <w:jc w:val="right"/>
                      <w:rPr>
                        <w:rFonts w:ascii="Times New Roman" w:hAnsi="Times New Roman" w:cs="Times New Roman"/>
                        <w:sz w:val="18"/>
                        <w:szCs w:val="18"/>
                      </w:rPr>
                    </w:pPr>
                  </w:p>
                </w:tc>
                <w:tc>
                  <w:tcPr>
                    <w:tcW w:w="51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3"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481"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485" w:type="pct"/>
                    <w:vAlign w:val="center"/>
                  </w:tcPr>
                  <w:p>
                    <w:pPr>
                      <w:jc w:val="right"/>
                      <w:rPr>
                        <w:rFonts w:ascii="Times New Roman" w:hAnsi="Times New Roman" w:cs="Times New Roman"/>
                        <w:sz w:val="18"/>
                        <w:szCs w:val="18"/>
                      </w:rPr>
                    </w:pPr>
                    <w:r>
                      <w:rPr>
                        <w:rFonts w:ascii="Times New Roman" w:hAnsi="Times New Roman" w:cs="Times New Roman"/>
                        <w:sz w:val="18"/>
                        <w:szCs w:val="18"/>
                      </w:rPr>
                      <w:t>8,658,258.15</w:t>
                    </w:r>
                  </w:p>
                </w:tc>
                <w:tc>
                  <w:tcPr>
                    <w:tcW w:w="98" w:type="pct"/>
                    <w:vAlign w:val="center"/>
                  </w:tcPr>
                  <w:p>
                    <w:pPr>
                      <w:jc w:val="right"/>
                      <w:rPr>
                        <w:rFonts w:ascii="Times New Roman" w:hAnsi="Times New Roman" w:cs="Times New Roman"/>
                        <w:sz w:val="18"/>
                        <w:szCs w:val="18"/>
                      </w:rPr>
                    </w:pPr>
                  </w:p>
                </w:tc>
                <w:tc>
                  <w:tcPr>
                    <w:tcW w:w="533" w:type="pct"/>
                    <w:vAlign w:val="center"/>
                  </w:tcPr>
                  <w:p>
                    <w:pPr>
                      <w:jc w:val="right"/>
                      <w:rPr>
                        <w:rFonts w:ascii="Times New Roman" w:hAnsi="Times New Roman" w:cs="Times New Roman"/>
                        <w:sz w:val="18"/>
                        <w:szCs w:val="18"/>
                      </w:rPr>
                    </w:pPr>
                    <w:r>
                      <w:rPr>
                        <w:rFonts w:ascii="Times New Roman" w:hAnsi="Times New Roman" w:cs="Times New Roman"/>
                        <w:sz w:val="18"/>
                        <w:szCs w:val="18"/>
                      </w:rPr>
                      <w:t>8,658,258.15</w:t>
                    </w:r>
                  </w:p>
                </w:tc>
                <w:tc>
                  <w:tcPr>
                    <w:tcW w:w="432" w:type="pct"/>
                    <w:vAlign w:val="center"/>
                  </w:tcPr>
                  <w:p>
                    <w:pPr>
                      <w:jc w:val="right"/>
                      <w:rPr>
                        <w:rFonts w:ascii="Times New Roman" w:hAnsi="Times New Roman" w:cs="Times New Roman"/>
                        <w:sz w:val="18"/>
                        <w:szCs w:val="18"/>
                      </w:rPr>
                    </w:pPr>
                    <w:r>
                      <w:rPr>
                        <w:rFonts w:ascii="Times New Roman" w:hAnsi="Times New Roman" w:cs="Times New Roman"/>
                        <w:sz w:val="18"/>
                        <w:szCs w:val="18"/>
                      </w:rPr>
                      <w:t>608,858.13</w:t>
                    </w:r>
                  </w:p>
                </w:tc>
                <w:tc>
                  <w:tcPr>
                    <w:tcW w:w="524" w:type="pct"/>
                    <w:vAlign w:val="center"/>
                  </w:tcPr>
                  <w:p>
                    <w:pPr>
                      <w:jc w:val="right"/>
                      <w:rPr>
                        <w:rFonts w:ascii="Times New Roman" w:hAnsi="Times New Roman" w:cs="Times New Roman"/>
                        <w:sz w:val="18"/>
                        <w:szCs w:val="18"/>
                      </w:rPr>
                    </w:pPr>
                    <w:r>
                      <w:rPr>
                        <w:rFonts w:ascii="Times New Roman" w:hAnsi="Times New Roman" w:cs="Times New Roman"/>
                        <w:sz w:val="18"/>
                        <w:szCs w:val="18"/>
                      </w:rPr>
                      <w:t>9,267,116.28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cabd5a3f22a849b08cf8df11a07115b5"/>
                    <w:id w:val="865723866"/>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（二）所有者投入和减少资本</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4d4d24462cb048579eb01f9b1c8956b1"/>
                    <w:id w:val="865723867"/>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1．所有者投入的普通股</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2b1df3030d9b41699f4a3e651f6c74e7"/>
                    <w:id w:val="865723868"/>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2．其他权益工具持有者投入资本</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bf20c7d29dbe4ecc8acea7b1a1149bd3"/>
                    <w:id w:val="865723869"/>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3．股份支付计入所有者权益的金额</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d3ce563048a9409f9366506e205c4124"/>
                    <w:id w:val="865723870"/>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4．其他</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e5ace973797c4072b589e43841b34142"/>
                    <w:id w:val="865723871"/>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（三）利润分配</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imes New Roman" w:hAnsi="Times New Roman" w:cs="Times New Roman"/>
                      <w:sz w:val="18"/>
                      <w:szCs w:val="18"/>
                    </w:rPr>
                    <w:tag w:val="_PLD_56984731c08d48a08692b6a589fbe555"/>
                    <w:id w:val="865723872"/>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1．提取盈余公积</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d30e7cefb4de4113b5c1abddf8a241d4"/>
                    <w:id w:val="865723873"/>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2．提取一般风险准备</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6d573481d9af49e2a8ab22ecd061ccf7"/>
                    <w:id w:val="865723874"/>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3．对所有者（或股东）的分配</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dd87d5b565c74b3faf2e05ed9840875a"/>
                    <w:id w:val="865723875"/>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4．其他</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92da940e723e49d8b19944c326b0a372"/>
                    <w:id w:val="865723876"/>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（四）所有者权益内部结转</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88fb253c66e143fa8d6fda4d400657ec"/>
                    <w:id w:val="865723877"/>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1．资本公积转增资本（或股本）</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15cc23aa9ca343c08333ba7ee1b1325c"/>
                    <w:id w:val="865723878"/>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2．盈余公积转增资本（或股本）</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9db953ff4eb242bd9b2d516481ce5c51"/>
                    <w:id w:val="865723879"/>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3．盈余公积弥补亏损</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 w:type="pct"/>
                  </w:tcPr>
                  <w:sdt>
                    <w:sdtPr>
                      <w:rPr>
                        <w:rFonts w:ascii="Times New Roman" w:hAnsi="Times New Roman" w:cs="Times New Roman"/>
                        <w:sz w:val="18"/>
                        <w:szCs w:val="18"/>
                      </w:rPr>
                      <w:tag w:val="_PLD_4cff15a1162840c480701077d824f063"/>
                      <w:id w:val="865723880"/>
                      <w:lock w:val="sdtLocked"/>
                    </w:sdtPr>
                    <w:sdtEndPr>
                      <w:rPr>
                        <w:rFonts w:ascii="Times New Roman" w:hAnsi="Times New Roman" w:cs="Times New Roman"/>
                        <w:sz w:val="18"/>
                        <w:szCs w:val="18"/>
                      </w:rPr>
                    </w:sdtEndPr>
                    <w:sdtContent>
                      <w:p>
                        <w:pPr>
                          <w:rPr>
                            <w:rFonts w:ascii="Times New Roman" w:hAnsi="Times New Roman" w:cs="Times New Roman"/>
                            <w:sz w:val="18"/>
                            <w:szCs w:val="18"/>
                          </w:rPr>
                        </w:pPr>
                        <w:r>
                          <w:rPr>
                            <w:rFonts w:ascii="Times New Roman" w:hAnsi="Times New Roman" w:cs="Times New Roman"/>
                            <w:sz w:val="18"/>
                            <w:szCs w:val="18"/>
                          </w:rPr>
                          <w:t>4．设定受益计划变动额结转留存收益</w:t>
                        </w:r>
                      </w:p>
                    </w:sdtContent>
                  </w:sdt>
                </w:tc>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 w:type="pct"/>
                  </w:tcPr>
                  <w:sdt>
                    <w:sdtPr>
                      <w:rPr>
                        <w:rFonts w:ascii="Times New Roman" w:hAnsi="Times New Roman" w:cs="Times New Roman"/>
                        <w:sz w:val="18"/>
                        <w:szCs w:val="18"/>
                      </w:rPr>
                      <w:tag w:val="_PLD_01b44dab85214948b610b65ce91a85dd"/>
                      <w:id w:val="865723881"/>
                      <w:lock w:val="sdtLocked"/>
                    </w:sdtPr>
                    <w:sdtEndPr>
                      <w:rPr>
                        <w:rFonts w:ascii="Times New Roman" w:hAnsi="Times New Roman" w:cs="Times New Roman"/>
                        <w:sz w:val="18"/>
                        <w:szCs w:val="18"/>
                      </w:rPr>
                    </w:sdtEndPr>
                    <w:sdtContent>
                      <w:p>
                        <w:pPr>
                          <w:rPr>
                            <w:rFonts w:ascii="Times New Roman" w:hAnsi="Times New Roman" w:cs="Times New Roman"/>
                            <w:sz w:val="18"/>
                            <w:szCs w:val="18"/>
                          </w:rPr>
                        </w:pPr>
                        <w:r>
                          <w:rPr>
                            <w:rFonts w:ascii="Times New Roman" w:hAnsi="Times New Roman" w:cs="Times New Roman"/>
                            <w:sz w:val="18"/>
                            <w:szCs w:val="18"/>
                          </w:rPr>
                          <w:t>5．其他综合收益结转留存收益</w:t>
                        </w:r>
                      </w:p>
                    </w:sdtContent>
                  </w:sdt>
                </w:tc>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3ac599075bf24593ba41b1bec2fb0e9e"/>
                    <w:id w:val="865723882"/>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6．其他</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imes New Roman" w:hAnsi="Times New Roman" w:cs="Times New Roman"/>
                      <w:sz w:val="18"/>
                      <w:szCs w:val="18"/>
                    </w:rPr>
                    <w:tag w:val="_PLD_e606d8680d944e6999b3743f1fcf75f9"/>
                    <w:id w:val="865723883"/>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（五）专项储备</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imes New Roman" w:hAnsi="Times New Roman" w:cs="Times New Roman"/>
                      <w:sz w:val="18"/>
                      <w:szCs w:val="18"/>
                    </w:rPr>
                    <w:tag w:val="_PLD_c1e7a107b4eb42c48000b98a786d499c"/>
                    <w:id w:val="865723884"/>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1．本期提取</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69b59bbd4f7a49708a1fc0c2a96e3869"/>
                    <w:id w:val="865723885"/>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2．本期使用</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imes New Roman" w:hAnsi="Times New Roman" w:cs="Times New Roman"/>
                      <w:sz w:val="18"/>
                      <w:szCs w:val="18"/>
                    </w:rPr>
                    <w:tag w:val="_PLD_8e6f5912872d41cc910f3bdca18b82d0"/>
                    <w:id w:val="865723886"/>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（六）其他</w:t>
                        </w:r>
                      </w:p>
                    </w:tc>
                  </w:sdtContent>
                </w:sdt>
                <w:tc>
                  <w:tcPr>
                    <w:tcW w:w="483" w:type="pct"/>
                  </w:tcPr>
                  <w:p>
                    <w:pPr>
                      <w:jc w:val="right"/>
                      <w:rPr>
                        <w:rFonts w:ascii="Times New Roman" w:hAnsi="Times New Roman" w:cs="Times New Roman"/>
                        <w:sz w:val="18"/>
                        <w:szCs w:val="18"/>
                      </w:rPr>
                    </w:pPr>
                  </w:p>
                </w:tc>
                <w:tc>
                  <w:tcPr>
                    <w:tcW w:w="89" w:type="pct"/>
                  </w:tcPr>
                  <w:p>
                    <w:pPr>
                      <w:jc w:val="right"/>
                      <w:rPr>
                        <w:rFonts w:ascii="Times New Roman" w:hAnsi="Times New Roman" w:cs="Times New Roman"/>
                        <w:sz w:val="18"/>
                        <w:szCs w:val="18"/>
                      </w:rPr>
                    </w:pPr>
                  </w:p>
                </w:tc>
                <w:tc>
                  <w:tcPr>
                    <w:tcW w:w="138" w:type="pct"/>
                  </w:tcPr>
                  <w:p>
                    <w:pPr>
                      <w:jc w:val="right"/>
                      <w:rPr>
                        <w:rFonts w:ascii="Times New Roman" w:hAnsi="Times New Roman" w:cs="Times New Roman"/>
                        <w:sz w:val="18"/>
                        <w:szCs w:val="18"/>
                      </w:rPr>
                    </w:pPr>
                  </w:p>
                </w:tc>
                <w:tc>
                  <w:tcPr>
                    <w:tcW w:w="81" w:type="pct"/>
                  </w:tcPr>
                  <w:p>
                    <w:pPr>
                      <w:jc w:val="right"/>
                      <w:rPr>
                        <w:rFonts w:ascii="Times New Roman" w:hAnsi="Times New Roman" w:cs="Times New Roman"/>
                        <w:sz w:val="18"/>
                        <w:szCs w:val="18"/>
                      </w:rPr>
                    </w:pPr>
                  </w:p>
                </w:tc>
                <w:tc>
                  <w:tcPr>
                    <w:tcW w:w="51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3" w:type="pct"/>
                  </w:tcPr>
                  <w:p>
                    <w:pPr>
                      <w:jc w:val="right"/>
                      <w:rPr>
                        <w:rFonts w:ascii="Times New Roman" w:hAnsi="Times New Roman" w:cs="Times New Roman"/>
                        <w:sz w:val="18"/>
                        <w:szCs w:val="18"/>
                      </w:rPr>
                    </w:pPr>
                  </w:p>
                </w:tc>
                <w:tc>
                  <w:tcPr>
                    <w:tcW w:w="96" w:type="pct"/>
                  </w:tcPr>
                  <w:p>
                    <w:pPr>
                      <w:jc w:val="right"/>
                      <w:rPr>
                        <w:rFonts w:ascii="Times New Roman" w:hAnsi="Times New Roman" w:cs="Times New Roman"/>
                        <w:sz w:val="18"/>
                        <w:szCs w:val="18"/>
                      </w:rPr>
                    </w:pPr>
                  </w:p>
                </w:tc>
                <w:tc>
                  <w:tcPr>
                    <w:tcW w:w="481" w:type="pct"/>
                  </w:tcPr>
                  <w:p>
                    <w:pPr>
                      <w:jc w:val="right"/>
                      <w:rPr>
                        <w:rFonts w:ascii="Times New Roman" w:hAnsi="Times New Roman" w:cs="Times New Roman"/>
                        <w:sz w:val="18"/>
                        <w:szCs w:val="18"/>
                      </w:rPr>
                    </w:pPr>
                  </w:p>
                </w:tc>
                <w:tc>
                  <w:tcPr>
                    <w:tcW w:w="92" w:type="pct"/>
                  </w:tcPr>
                  <w:p>
                    <w:pPr>
                      <w:jc w:val="right"/>
                      <w:rPr>
                        <w:rFonts w:ascii="Times New Roman" w:hAnsi="Times New Roman" w:cs="Times New Roman"/>
                        <w:sz w:val="18"/>
                        <w:szCs w:val="18"/>
                      </w:rPr>
                    </w:pPr>
                  </w:p>
                </w:tc>
                <w:tc>
                  <w:tcPr>
                    <w:tcW w:w="485" w:type="pct"/>
                  </w:tcPr>
                  <w:p>
                    <w:pPr>
                      <w:jc w:val="right"/>
                      <w:rPr>
                        <w:rFonts w:ascii="Times New Roman" w:hAnsi="Times New Roman" w:cs="Times New Roman"/>
                        <w:sz w:val="18"/>
                        <w:szCs w:val="18"/>
                      </w:rPr>
                    </w:pPr>
                  </w:p>
                </w:tc>
                <w:tc>
                  <w:tcPr>
                    <w:tcW w:w="98" w:type="pct"/>
                  </w:tcPr>
                  <w:p>
                    <w:pPr>
                      <w:jc w:val="right"/>
                      <w:rPr>
                        <w:rFonts w:ascii="Times New Roman" w:hAnsi="Times New Roman" w:cs="Times New Roman"/>
                        <w:sz w:val="18"/>
                        <w:szCs w:val="18"/>
                      </w:rPr>
                    </w:pPr>
                  </w:p>
                </w:tc>
                <w:tc>
                  <w:tcPr>
                    <w:tcW w:w="533" w:type="pct"/>
                  </w:tcPr>
                  <w:p>
                    <w:pPr>
                      <w:jc w:val="right"/>
                      <w:rPr>
                        <w:rFonts w:ascii="Times New Roman" w:hAnsi="Times New Roman" w:cs="Times New Roman"/>
                        <w:sz w:val="18"/>
                        <w:szCs w:val="18"/>
                      </w:rPr>
                    </w:pPr>
                  </w:p>
                </w:tc>
                <w:tc>
                  <w:tcPr>
                    <w:tcW w:w="432" w:type="pct"/>
                  </w:tcPr>
                  <w:p>
                    <w:pPr>
                      <w:jc w:val="right"/>
                      <w:rPr>
                        <w:rFonts w:ascii="Times New Roman" w:hAnsi="Times New Roman" w:cs="Times New Roman"/>
                        <w:sz w:val="18"/>
                        <w:szCs w:val="18"/>
                      </w:rPr>
                    </w:pPr>
                  </w:p>
                </w:tc>
                <w:tc>
                  <w:tcPr>
                    <w:tcW w:w="524" w:type="pct"/>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sz w:val="18"/>
                      <w:szCs w:val="18"/>
                    </w:rPr>
                    <w:tag w:val="_PLD_f6ec7abefe954758b48497b1b1440546"/>
                    <w:id w:val="865723887"/>
                    <w:lock w:val="sdtLocked"/>
                  </w:sdtPr>
                  <w:sdtEndPr>
                    <w:rPr>
                      <w:rFonts w:ascii="Times New Roman" w:hAnsi="Times New Roman" w:cs="Times New Roman"/>
                      <w:sz w:val="18"/>
                      <w:szCs w:val="18"/>
                    </w:rPr>
                  </w:sdtEndPr>
                  <w:sdtContent>
                    <w:tc>
                      <w:tcPr>
                        <w:tcW w:w="376" w:type="pct"/>
                      </w:tcPr>
                      <w:p>
                        <w:pPr>
                          <w:rPr>
                            <w:rFonts w:ascii="Times New Roman" w:hAnsi="Times New Roman" w:cs="Times New Roman"/>
                            <w:sz w:val="18"/>
                            <w:szCs w:val="18"/>
                          </w:rPr>
                        </w:pPr>
                        <w:r>
                          <w:rPr>
                            <w:rFonts w:ascii="Times New Roman" w:hAnsi="Times New Roman" w:cs="Times New Roman"/>
                            <w:sz w:val="18"/>
                            <w:szCs w:val="18"/>
                          </w:rPr>
                          <w:t>四、本期期末余额</w:t>
                        </w:r>
                      </w:p>
                    </w:tc>
                  </w:sdtContent>
                </w:sdt>
                <w:tc>
                  <w:tcPr>
                    <w:tcW w:w="483" w:type="pct"/>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89" w:type="pct"/>
                    <w:vAlign w:val="center"/>
                  </w:tcPr>
                  <w:p>
                    <w:pPr>
                      <w:jc w:val="right"/>
                      <w:rPr>
                        <w:rFonts w:ascii="Times New Roman" w:hAnsi="Times New Roman" w:cs="Times New Roman"/>
                        <w:sz w:val="18"/>
                        <w:szCs w:val="18"/>
                      </w:rPr>
                    </w:pPr>
                  </w:p>
                </w:tc>
                <w:tc>
                  <w:tcPr>
                    <w:tcW w:w="138" w:type="pct"/>
                    <w:vAlign w:val="center"/>
                  </w:tcPr>
                  <w:p>
                    <w:pPr>
                      <w:jc w:val="right"/>
                      <w:rPr>
                        <w:rFonts w:ascii="Times New Roman" w:hAnsi="Times New Roman" w:cs="Times New Roman"/>
                        <w:sz w:val="18"/>
                        <w:szCs w:val="18"/>
                      </w:rPr>
                    </w:pPr>
                  </w:p>
                </w:tc>
                <w:tc>
                  <w:tcPr>
                    <w:tcW w:w="81" w:type="pct"/>
                    <w:vAlign w:val="center"/>
                  </w:tcPr>
                  <w:p>
                    <w:pPr>
                      <w:jc w:val="right"/>
                      <w:rPr>
                        <w:rFonts w:ascii="Times New Roman" w:hAnsi="Times New Roman" w:cs="Times New Roman"/>
                        <w:sz w:val="18"/>
                        <w:szCs w:val="18"/>
                      </w:rPr>
                    </w:pPr>
                  </w:p>
                </w:tc>
                <w:tc>
                  <w:tcPr>
                    <w:tcW w:w="513" w:type="pct"/>
                    <w:vAlign w:val="center"/>
                  </w:tcPr>
                  <w:p>
                    <w:pPr>
                      <w:jc w:val="right"/>
                      <w:rPr>
                        <w:rFonts w:ascii="Times New Roman" w:hAnsi="Times New Roman" w:cs="Times New Roman"/>
                        <w:sz w:val="18"/>
                        <w:szCs w:val="18"/>
                      </w:rPr>
                    </w:pPr>
                    <w:r>
                      <w:rPr>
                        <w:rFonts w:ascii="Times New Roman" w:hAnsi="Times New Roman" w:cs="Times New Roman"/>
                        <w:sz w:val="18"/>
                        <w:szCs w:val="18"/>
                      </w:rPr>
                      <w:t>1,184,901,870.95</w:t>
                    </w:r>
                  </w:p>
                </w:tc>
                <w:tc>
                  <w:tcPr>
                    <w:tcW w:w="96" w:type="pct"/>
                    <w:vAlign w:val="center"/>
                  </w:tcPr>
                  <w:p>
                    <w:pPr>
                      <w:jc w:val="right"/>
                      <w:rPr>
                        <w:rFonts w:ascii="Times New Roman" w:hAnsi="Times New Roman" w:cs="Times New Roman"/>
                        <w:sz w:val="18"/>
                        <w:szCs w:val="18"/>
                      </w:rPr>
                    </w:pPr>
                  </w:p>
                </w:tc>
                <w:tc>
                  <w:tcPr>
                    <w:tcW w:w="483" w:type="pct"/>
                    <w:vAlign w:val="center"/>
                  </w:tcPr>
                  <w:p>
                    <w:pPr>
                      <w:jc w:val="right"/>
                      <w:rPr>
                        <w:rFonts w:ascii="Times New Roman" w:hAnsi="Times New Roman" w:cs="Times New Roman"/>
                        <w:sz w:val="18"/>
                        <w:szCs w:val="18"/>
                      </w:rPr>
                    </w:pPr>
                    <w:r>
                      <w:rPr>
                        <w:rFonts w:ascii="Times New Roman" w:hAnsi="Times New Roman" w:cs="Times New Roman"/>
                        <w:sz w:val="18"/>
                        <w:szCs w:val="18"/>
                      </w:rPr>
                      <w:t>-8,825,807.26</w:t>
                    </w:r>
                  </w:p>
                </w:tc>
                <w:tc>
                  <w:tcPr>
                    <w:tcW w:w="96" w:type="pct"/>
                    <w:vAlign w:val="center"/>
                  </w:tcPr>
                  <w:p>
                    <w:pPr>
                      <w:jc w:val="right"/>
                      <w:rPr>
                        <w:rFonts w:ascii="Times New Roman" w:hAnsi="Times New Roman" w:cs="Times New Roman"/>
                        <w:sz w:val="18"/>
                        <w:szCs w:val="18"/>
                      </w:rPr>
                    </w:pPr>
                  </w:p>
                </w:tc>
                <w:tc>
                  <w:tcPr>
                    <w:tcW w:w="481" w:type="pct"/>
                    <w:vAlign w:val="center"/>
                  </w:tcPr>
                  <w:p>
                    <w:pPr>
                      <w:jc w:val="right"/>
                      <w:rPr>
                        <w:rFonts w:ascii="Times New Roman" w:hAnsi="Times New Roman" w:cs="Times New Roman"/>
                        <w:sz w:val="18"/>
                        <w:szCs w:val="18"/>
                      </w:rPr>
                    </w:pPr>
                    <w:r>
                      <w:rPr>
                        <w:rFonts w:ascii="Times New Roman" w:hAnsi="Times New Roman" w:cs="Times New Roman"/>
                        <w:sz w:val="18"/>
                        <w:szCs w:val="18"/>
                      </w:rPr>
                      <w:t>245,621,848.75</w:t>
                    </w:r>
                  </w:p>
                </w:tc>
                <w:tc>
                  <w:tcPr>
                    <w:tcW w:w="92" w:type="pct"/>
                    <w:vAlign w:val="center"/>
                  </w:tcPr>
                  <w:p>
                    <w:pPr>
                      <w:jc w:val="right"/>
                      <w:rPr>
                        <w:rFonts w:ascii="Times New Roman" w:hAnsi="Times New Roman" w:cs="Times New Roman"/>
                        <w:sz w:val="18"/>
                        <w:szCs w:val="18"/>
                      </w:rPr>
                    </w:pPr>
                  </w:p>
                </w:tc>
                <w:tc>
                  <w:tcPr>
                    <w:tcW w:w="485" w:type="pct"/>
                    <w:vAlign w:val="center"/>
                  </w:tcPr>
                  <w:p>
                    <w:pPr>
                      <w:jc w:val="right"/>
                      <w:rPr>
                        <w:rFonts w:ascii="Times New Roman" w:hAnsi="Times New Roman" w:cs="Times New Roman"/>
                        <w:sz w:val="18"/>
                        <w:szCs w:val="18"/>
                      </w:rPr>
                    </w:pPr>
                    <w:r>
                      <w:rPr>
                        <w:rFonts w:ascii="Times New Roman" w:hAnsi="Times New Roman" w:cs="Times New Roman"/>
                        <w:sz w:val="18"/>
                        <w:szCs w:val="18"/>
                      </w:rPr>
                      <w:t>163,935,703.23</w:t>
                    </w:r>
                  </w:p>
                </w:tc>
                <w:tc>
                  <w:tcPr>
                    <w:tcW w:w="98" w:type="pct"/>
                    <w:vAlign w:val="center"/>
                  </w:tcPr>
                  <w:p>
                    <w:pPr>
                      <w:jc w:val="right"/>
                      <w:rPr>
                        <w:rFonts w:ascii="Times New Roman" w:hAnsi="Times New Roman" w:cs="Times New Roman"/>
                        <w:sz w:val="18"/>
                        <w:szCs w:val="18"/>
                      </w:rPr>
                    </w:pPr>
                  </w:p>
                </w:tc>
                <w:tc>
                  <w:tcPr>
                    <w:tcW w:w="533" w:type="pct"/>
                    <w:vAlign w:val="center"/>
                  </w:tcPr>
                  <w:p>
                    <w:pPr>
                      <w:jc w:val="right"/>
                      <w:rPr>
                        <w:rFonts w:ascii="Times New Roman" w:hAnsi="Times New Roman" w:cs="Times New Roman"/>
                        <w:sz w:val="18"/>
                        <w:szCs w:val="18"/>
                      </w:rPr>
                    </w:pPr>
                    <w:r>
                      <w:rPr>
                        <w:rFonts w:ascii="Times New Roman" w:hAnsi="Times New Roman" w:cs="Times New Roman"/>
                        <w:sz w:val="18"/>
                        <w:szCs w:val="18"/>
                      </w:rPr>
                      <w:t>2,135,633,615.67</w:t>
                    </w:r>
                  </w:p>
                </w:tc>
                <w:tc>
                  <w:tcPr>
                    <w:tcW w:w="432" w:type="pct"/>
                    <w:vAlign w:val="center"/>
                  </w:tcPr>
                  <w:p>
                    <w:pPr>
                      <w:jc w:val="right"/>
                      <w:rPr>
                        <w:rFonts w:ascii="Times New Roman" w:hAnsi="Times New Roman" w:cs="Times New Roman"/>
                        <w:sz w:val="18"/>
                        <w:szCs w:val="18"/>
                      </w:rPr>
                    </w:pPr>
                    <w:r>
                      <w:rPr>
                        <w:rFonts w:ascii="Times New Roman" w:hAnsi="Times New Roman" w:cs="Times New Roman"/>
                        <w:sz w:val="18"/>
                        <w:szCs w:val="18"/>
                      </w:rPr>
                      <w:t>-5,416,962.30</w:t>
                    </w:r>
                  </w:p>
                </w:tc>
                <w:tc>
                  <w:tcPr>
                    <w:tcW w:w="524" w:type="pct"/>
                    <w:vAlign w:val="center"/>
                  </w:tcPr>
                  <w:p>
                    <w:pPr>
                      <w:jc w:val="right"/>
                      <w:rPr>
                        <w:rFonts w:ascii="Times New Roman" w:hAnsi="Times New Roman" w:cs="Times New Roman"/>
                        <w:sz w:val="18"/>
                        <w:szCs w:val="18"/>
                      </w:rPr>
                    </w:pPr>
                    <w:r>
                      <w:rPr>
                        <w:rFonts w:ascii="Times New Roman" w:hAnsi="Times New Roman" w:cs="Times New Roman"/>
                        <w:sz w:val="18"/>
                        <w:szCs w:val="18"/>
                      </w:rPr>
                      <w:t>2,130,216,653.37</w:t>
                    </w:r>
                  </w:p>
                </w:tc>
              </w:tr>
            </w:tbl>
            <w:p/>
            <w:p>
              <w:pPr>
                <w:snapToGrid w:val="0"/>
                <w:spacing w:line="240" w:lineRule="atLeast"/>
                <w:ind w:right="-1594" w:rightChars="-759"/>
                <w:rPr>
                  <w:szCs w:val="21"/>
                </w:rPr>
              </w:pPr>
            </w:p>
            <w:tbl>
              <w:tblPr>
                <w:tblStyle w:val="107"/>
                <w:tblW w:w="52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353"/>
                <w:gridCol w:w="271"/>
                <w:gridCol w:w="271"/>
                <w:gridCol w:w="277"/>
                <w:gridCol w:w="1494"/>
                <w:gridCol w:w="274"/>
                <w:gridCol w:w="1330"/>
                <w:gridCol w:w="377"/>
                <w:gridCol w:w="1630"/>
                <w:gridCol w:w="285"/>
                <w:gridCol w:w="1418"/>
                <w:gridCol w:w="282"/>
                <w:gridCol w:w="1562"/>
                <w:gridCol w:w="1277"/>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58" w:type="pct"/>
                    <w:vMerge w:val="restart"/>
                    <w:vAlign w:val="center"/>
                  </w:tcPr>
                  <w:sdt>
                    <w:sdtPr>
                      <w:rPr>
                        <w:rFonts w:hint="eastAsia"/>
                        <w:sz w:val="18"/>
                        <w:szCs w:val="18"/>
                      </w:rPr>
                      <w:tag w:val="_PLD_229212c664af43faa41821d5eec551b8"/>
                      <w:id w:val="865723888"/>
                      <w:lock w:val="sdtLocked"/>
                    </w:sdtPr>
                    <w:sdtEndPr>
                      <w:rPr>
                        <w:rFonts w:hint="eastAsia"/>
                        <w:sz w:val="18"/>
                        <w:szCs w:val="18"/>
                      </w:rPr>
                    </w:sdtEndPr>
                    <w:sdtContent>
                      <w:p>
                        <w:pPr>
                          <w:snapToGrid w:val="0"/>
                          <w:spacing w:line="240" w:lineRule="atLeast"/>
                          <w:jc w:val="center"/>
                          <w:rPr>
                            <w:sz w:val="18"/>
                            <w:szCs w:val="18"/>
                          </w:rPr>
                        </w:pPr>
                        <w:r>
                          <w:rPr>
                            <w:rFonts w:hint="eastAsia"/>
                            <w:sz w:val="18"/>
                            <w:szCs w:val="18"/>
                          </w:rPr>
                          <w:t>项目</w:t>
                        </w:r>
                      </w:p>
                    </w:sdtContent>
                  </w:sdt>
                </w:tc>
                <w:tc>
                  <w:tcPr>
                    <w:tcW w:w="4642" w:type="pct"/>
                    <w:gridSpan w:val="15"/>
                  </w:tcPr>
                  <w:p>
                    <w:pPr>
                      <w:snapToGrid w:val="0"/>
                      <w:spacing w:line="240" w:lineRule="atLeast"/>
                      <w:ind w:right="-1594" w:rightChars="-759"/>
                      <w:jc w:val="center"/>
                    </w:pPr>
                    <w:r>
                      <w:rPr>
                        <w:rFonts w:ascii="Times New Roman" w:hAnsi="Times New Roman" w:cs="Times New Roman"/>
                      </w:rPr>
                      <w:t xml:space="preserve"> </w:t>
                    </w:r>
                    <w:sdt>
                      <w:sdtPr>
                        <w:rPr>
                          <w:rFonts w:ascii="Times New Roman" w:hAnsi="Times New Roman" w:cs="Times New Roman"/>
                        </w:rPr>
                        <w:tag w:val="_PLD_5c8dcea3749f4f92b2d283c717162a73"/>
                        <w:id w:val="865723889"/>
                        <w:lock w:val="sdtLocked"/>
                      </w:sdtPr>
                      <w:sdtEndPr>
                        <w:rPr>
                          <w:rFonts w:hint="eastAsia" w:ascii="宋体" w:hAnsi="宋体" w:cs="宋体"/>
                        </w:rPr>
                      </w:sdtEndPr>
                      <w:sdtContent>
                        <w:r>
                          <w:rPr>
                            <w:rFonts w:ascii="Times New Roman" w:hAnsi="Times New Roman" w:cs="Times New Roman"/>
                            <w:sz w:val="18"/>
                            <w:szCs w:val="18"/>
                          </w:rPr>
                          <w:t>2020</w:t>
                        </w:r>
                        <w:r>
                          <w:rPr>
                            <w:rFonts w:ascii="Times New Roman" w:cs="Times New Roman"/>
                            <w:sz w:val="18"/>
                            <w:szCs w:val="18"/>
                          </w:rPr>
                          <w:t>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358" w:type="pct"/>
                    <w:vMerge w:val="continue"/>
                  </w:tcPr>
                  <w:p>
                    <w:pPr>
                      <w:snapToGrid w:val="0"/>
                      <w:spacing w:line="240" w:lineRule="atLeast"/>
                      <w:ind w:right="-1594" w:rightChars="-759"/>
                      <w:rPr>
                        <w:sz w:val="18"/>
                        <w:szCs w:val="18"/>
                      </w:rPr>
                    </w:pPr>
                  </w:p>
                </w:tc>
                <w:sdt>
                  <w:sdtPr>
                    <w:tag w:val="_PLD_e725a8cacf9d4d1abedbfeae17c394e0"/>
                    <w:id w:val="865723890"/>
                    <w:lock w:val="sdtLocked"/>
                  </w:sdtPr>
                  <w:sdtContent>
                    <w:tc>
                      <w:tcPr>
                        <w:tcW w:w="3679" w:type="pct"/>
                        <w:gridSpan w:val="13"/>
                        <w:vAlign w:val="center"/>
                      </w:tcPr>
                      <w:p>
                        <w:pPr>
                          <w:jc w:val="center"/>
                        </w:pPr>
                        <w:r>
                          <w:rPr>
                            <w:sz w:val="18"/>
                            <w:szCs w:val="18"/>
                          </w:rPr>
                          <w:t>归属于母公司所有者权益</w:t>
                        </w:r>
                      </w:p>
                    </w:tc>
                  </w:sdtContent>
                </w:sdt>
                <w:sdt>
                  <w:sdtPr>
                    <w:tag w:val="_PLD_fe6c49384f0941088b29ad945caeb72b"/>
                    <w:id w:val="865723891"/>
                    <w:lock w:val="sdtLocked"/>
                  </w:sdtPr>
                  <w:sdtContent>
                    <w:tc>
                      <w:tcPr>
                        <w:tcW w:w="434" w:type="pct"/>
                        <w:vMerge w:val="restart"/>
                        <w:vAlign w:val="center"/>
                      </w:tcPr>
                      <w:p>
                        <w:pPr>
                          <w:jc w:val="center"/>
                          <w:rPr>
                            <w:sz w:val="18"/>
                            <w:szCs w:val="18"/>
                          </w:rPr>
                        </w:pPr>
                        <w:r>
                          <w:rPr>
                            <w:sz w:val="18"/>
                            <w:szCs w:val="18"/>
                          </w:rPr>
                          <w:t>少数股东权益</w:t>
                        </w:r>
                      </w:p>
                    </w:tc>
                  </w:sdtContent>
                </w:sdt>
                <w:sdt>
                  <w:sdtPr>
                    <w:tag w:val="_PLD_bbe71d4307504d648ce52638ee90ccd4"/>
                    <w:id w:val="865723892"/>
                    <w:lock w:val="sdtLocked"/>
                  </w:sdtPr>
                  <w:sdtContent>
                    <w:tc>
                      <w:tcPr>
                        <w:tcW w:w="529" w:type="pct"/>
                        <w:vMerge w:val="restart"/>
                        <w:vAlign w:val="center"/>
                      </w:tcPr>
                      <w:p>
                        <w:pPr>
                          <w:jc w:val="center"/>
                          <w:rPr>
                            <w:sz w:val="18"/>
                            <w:szCs w:val="18"/>
                          </w:rPr>
                        </w:pPr>
                        <w:r>
                          <w:rPr>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358" w:type="pct"/>
                    <w:vMerge w:val="continue"/>
                  </w:tcPr>
                  <w:p>
                    <w:pPr>
                      <w:snapToGrid w:val="0"/>
                      <w:spacing w:line="240" w:lineRule="atLeast"/>
                      <w:ind w:right="-1594" w:rightChars="-759"/>
                      <w:rPr>
                        <w:sz w:val="18"/>
                        <w:szCs w:val="18"/>
                      </w:rPr>
                    </w:pPr>
                  </w:p>
                </w:tc>
                <w:sdt>
                  <w:sdtPr>
                    <w:tag w:val="_PLD_941585ba85eb48fa931876151974e425"/>
                    <w:id w:val="865723893"/>
                    <w:lock w:val="sdtLocked"/>
                  </w:sdtPr>
                  <w:sdtContent>
                    <w:tc>
                      <w:tcPr>
                        <w:tcW w:w="460" w:type="pct"/>
                        <w:vMerge w:val="restart"/>
                        <w:vAlign w:val="center"/>
                      </w:tcPr>
                      <w:p>
                        <w:pPr>
                          <w:snapToGrid w:val="0"/>
                          <w:spacing w:line="240" w:lineRule="atLeast"/>
                          <w:jc w:val="center"/>
                          <w:rPr>
                            <w:sz w:val="18"/>
                            <w:szCs w:val="18"/>
                          </w:rPr>
                        </w:pPr>
                        <w:r>
                          <w:rPr>
                            <w:sz w:val="18"/>
                            <w:szCs w:val="18"/>
                          </w:rPr>
                          <w:t>实收资本 (或股本)</w:t>
                        </w:r>
                      </w:p>
                    </w:tc>
                  </w:sdtContent>
                </w:sdt>
                <w:sdt>
                  <w:sdtPr>
                    <w:tag w:val="_PLD_4097b1c4c4f449ef94e9dedb67cf7c3a"/>
                    <w:id w:val="865723894"/>
                    <w:lock w:val="sdtLocked"/>
                  </w:sdtPr>
                  <w:sdtContent>
                    <w:tc>
                      <w:tcPr>
                        <w:tcW w:w="278"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865723895"/>
                    <w:lock w:val="sdtLocked"/>
                  </w:sdtPr>
                  <w:sdtContent>
                    <w:tc>
                      <w:tcPr>
                        <w:tcW w:w="508"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865723896"/>
                    <w:lock w:val="sdtLocked"/>
                  </w:sdtPr>
                  <w:sdtContent>
                    <w:tc>
                      <w:tcPr>
                        <w:tcW w:w="93"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865723897"/>
                    <w:lock w:val="sdtLocked"/>
                  </w:sdtPr>
                  <w:sdtContent>
                    <w:tc>
                      <w:tcPr>
                        <w:tcW w:w="452"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865723898"/>
                    <w:lock w:val="sdtLocked"/>
                  </w:sdtPr>
                  <w:sdtContent>
                    <w:tc>
                      <w:tcPr>
                        <w:tcW w:w="128"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865723899"/>
                    <w:lock w:val="sdtLocked"/>
                  </w:sdtPr>
                  <w:sdtContent>
                    <w:tc>
                      <w:tcPr>
                        <w:tcW w:w="554"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865723900"/>
                    <w:lock w:val="sdtLocked"/>
                  </w:sdtPr>
                  <w:sdtContent>
                    <w:tc>
                      <w:tcPr>
                        <w:tcW w:w="97"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865723901"/>
                    <w:lock w:val="sdtLocked"/>
                  </w:sdtPr>
                  <w:sdtContent>
                    <w:tc>
                      <w:tcPr>
                        <w:tcW w:w="482"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96" w:type="pct"/>
                    <w:vMerge w:val="restart"/>
                    <w:vAlign w:val="center"/>
                  </w:tcPr>
                  <w:sdt>
                    <w:sdtPr>
                      <w:rPr>
                        <w:rFonts w:hint="eastAsia"/>
                        <w:sz w:val="18"/>
                        <w:szCs w:val="18"/>
                      </w:rPr>
                      <w:tag w:val="_PLD_ae449a7a80f64d56b34968f1f21d2198"/>
                      <w:id w:val="865723903"/>
                      <w:lock w:val="sdtLocked"/>
                    </w:sdtPr>
                    <w:sdtEndPr>
                      <w:rPr>
                        <w:rFonts w:hint="eastAsia"/>
                        <w:sz w:val="18"/>
                        <w:szCs w:val="18"/>
                      </w:rPr>
                    </w:sdtEndPr>
                    <w:sdtContent>
                      <w:sdt>
                        <w:sdtPr>
                          <w:rPr>
                            <w:rFonts w:hint="eastAsia"/>
                            <w:sz w:val="18"/>
                            <w:szCs w:val="18"/>
                          </w:rPr>
                          <w:tag w:val="_PLD_c4da6a74366840789b623f0d61440178"/>
                          <w:id w:val="865723902"/>
                          <w:lock w:val="sdtLocked"/>
                          <w:placeholder>
                            <w:docPart w:val="GBC11111111111111111111111111111"/>
                          </w:placeholder>
                        </w:sdtPr>
                        <w:sdtEndPr>
                          <w:rPr>
                            <w:rFonts w:hint="eastAsia"/>
                            <w:sz w:val="18"/>
                            <w:szCs w:val="18"/>
                          </w:rPr>
                        </w:sdtEndPr>
                        <w:sdtContent>
                          <w:p>
                            <w:pPr>
                              <w:jc w:val="center"/>
                              <w:rPr>
                                <w:sz w:val="18"/>
                                <w:szCs w:val="18"/>
                              </w:rPr>
                            </w:pPr>
                            <w:r>
                              <w:rPr>
                                <w:rFonts w:hint="eastAsia"/>
                                <w:sz w:val="18"/>
                                <w:szCs w:val="18"/>
                              </w:rPr>
                              <w:t>其他</w:t>
                            </w:r>
                          </w:p>
                        </w:sdtContent>
                      </w:sdt>
                    </w:sdtContent>
                  </w:sdt>
                </w:tc>
                <w:tc>
                  <w:tcPr>
                    <w:tcW w:w="531" w:type="pct"/>
                    <w:vMerge w:val="restart"/>
                    <w:vAlign w:val="center"/>
                  </w:tcPr>
                  <w:sdt>
                    <w:sdtPr>
                      <w:rPr>
                        <w:rFonts w:hint="eastAsia"/>
                        <w:sz w:val="18"/>
                        <w:szCs w:val="18"/>
                      </w:rPr>
                      <w:tag w:val="_PLD_f2691f33b2164ad8b83415f8cd404dea"/>
                      <w:id w:val="865723904"/>
                      <w:lock w:val="sdtLocked"/>
                    </w:sdtPr>
                    <w:sdtEndPr>
                      <w:rPr>
                        <w:rFonts w:hint="eastAsia"/>
                        <w:sz w:val="18"/>
                        <w:szCs w:val="18"/>
                      </w:rPr>
                    </w:sdtEndPr>
                    <w:sdtContent>
                      <w:p>
                        <w:pPr>
                          <w:jc w:val="center"/>
                          <w:rPr>
                            <w:sz w:val="18"/>
                            <w:szCs w:val="18"/>
                          </w:rPr>
                        </w:pPr>
                        <w:r>
                          <w:rPr>
                            <w:rFonts w:hint="eastAsia"/>
                            <w:sz w:val="18"/>
                            <w:szCs w:val="18"/>
                          </w:rPr>
                          <w:t>小计</w:t>
                        </w:r>
                      </w:p>
                    </w:sdtContent>
                  </w:sdt>
                </w:tc>
                <w:tc>
                  <w:tcPr>
                    <w:tcW w:w="434" w:type="pct"/>
                    <w:vMerge w:val="continue"/>
                  </w:tcPr>
                  <w:p>
                    <w:pPr>
                      <w:jc w:val="center"/>
                      <w:rPr>
                        <w:sz w:val="18"/>
                        <w:szCs w:val="18"/>
                      </w:rPr>
                    </w:pPr>
                  </w:p>
                </w:tc>
                <w:tc>
                  <w:tcPr>
                    <w:tcW w:w="529" w:type="pct"/>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trPr>
                <w:tc>
                  <w:tcPr>
                    <w:tcW w:w="358" w:type="pct"/>
                    <w:vMerge w:val="continue"/>
                  </w:tcPr>
                  <w:p>
                    <w:pPr>
                      <w:snapToGrid w:val="0"/>
                      <w:spacing w:line="240" w:lineRule="atLeast"/>
                      <w:ind w:right="-1594" w:rightChars="-759"/>
                      <w:rPr>
                        <w:sz w:val="18"/>
                        <w:szCs w:val="18"/>
                      </w:rPr>
                    </w:pPr>
                  </w:p>
                </w:tc>
                <w:tc>
                  <w:tcPr>
                    <w:tcW w:w="460" w:type="pct"/>
                    <w:vMerge w:val="continue"/>
                  </w:tcPr>
                  <w:p>
                    <w:pPr>
                      <w:snapToGrid w:val="0"/>
                      <w:spacing w:line="240" w:lineRule="atLeast"/>
                      <w:jc w:val="center"/>
                      <w:rPr>
                        <w:sz w:val="18"/>
                        <w:szCs w:val="18"/>
                      </w:rPr>
                    </w:pPr>
                  </w:p>
                </w:tc>
                <w:sdt>
                  <w:sdtPr>
                    <w:tag w:val="_PLD_c8e4e3f938444f399262729a0267aa59"/>
                    <w:id w:val="865723905"/>
                    <w:lock w:val="sdtLocked"/>
                  </w:sdtPr>
                  <w:sdtContent>
                    <w:tc>
                      <w:tcPr>
                        <w:tcW w:w="92" w:type="pct"/>
                        <w:vAlign w:val="center"/>
                      </w:tcPr>
                      <w:p>
                        <w:pPr>
                          <w:jc w:val="center"/>
                          <w:rPr>
                            <w:sz w:val="18"/>
                            <w:szCs w:val="18"/>
                          </w:rPr>
                        </w:pPr>
                        <w:r>
                          <w:rPr>
                            <w:rFonts w:hint="eastAsia"/>
                            <w:sz w:val="18"/>
                            <w:szCs w:val="18"/>
                          </w:rPr>
                          <w:t>优先股</w:t>
                        </w:r>
                      </w:p>
                    </w:tc>
                  </w:sdtContent>
                </w:sdt>
                <w:sdt>
                  <w:sdtPr>
                    <w:tag w:val="_PLD_70f3796cf4ab4ecbb92343a346942a09"/>
                    <w:id w:val="865723906"/>
                    <w:lock w:val="sdtLocked"/>
                  </w:sdtPr>
                  <w:sdtContent>
                    <w:tc>
                      <w:tcPr>
                        <w:tcW w:w="92" w:type="pct"/>
                        <w:vAlign w:val="center"/>
                      </w:tcPr>
                      <w:p>
                        <w:pPr>
                          <w:jc w:val="center"/>
                          <w:rPr>
                            <w:sz w:val="18"/>
                            <w:szCs w:val="18"/>
                          </w:rPr>
                        </w:pPr>
                        <w:r>
                          <w:rPr>
                            <w:rFonts w:hint="eastAsia"/>
                            <w:sz w:val="18"/>
                            <w:szCs w:val="18"/>
                          </w:rPr>
                          <w:t>永续债</w:t>
                        </w:r>
                      </w:p>
                    </w:tc>
                  </w:sdtContent>
                </w:sdt>
                <w:sdt>
                  <w:sdtPr>
                    <w:tag w:val="_PLD_a3d4853d11ed4217a1c5e27cfc45c1c9"/>
                    <w:id w:val="865723907"/>
                    <w:lock w:val="sdtLocked"/>
                  </w:sdtPr>
                  <w:sdtContent>
                    <w:tc>
                      <w:tcPr>
                        <w:tcW w:w="94" w:type="pct"/>
                        <w:vAlign w:val="center"/>
                      </w:tcPr>
                      <w:p>
                        <w:pPr>
                          <w:jc w:val="center"/>
                          <w:rPr>
                            <w:sz w:val="18"/>
                            <w:szCs w:val="18"/>
                          </w:rPr>
                        </w:pPr>
                        <w:r>
                          <w:rPr>
                            <w:rFonts w:hint="eastAsia"/>
                            <w:sz w:val="18"/>
                            <w:szCs w:val="18"/>
                          </w:rPr>
                          <w:t>其他</w:t>
                        </w:r>
                      </w:p>
                    </w:tc>
                  </w:sdtContent>
                </w:sdt>
                <w:tc>
                  <w:tcPr>
                    <w:tcW w:w="508" w:type="pct"/>
                    <w:vMerge w:val="continue"/>
                  </w:tcPr>
                  <w:p>
                    <w:pPr>
                      <w:snapToGrid w:val="0"/>
                      <w:spacing w:line="240" w:lineRule="atLeast"/>
                      <w:jc w:val="center"/>
                      <w:rPr>
                        <w:sz w:val="18"/>
                        <w:szCs w:val="18"/>
                      </w:rPr>
                    </w:pPr>
                  </w:p>
                </w:tc>
                <w:tc>
                  <w:tcPr>
                    <w:tcW w:w="93" w:type="pct"/>
                    <w:vMerge w:val="continue"/>
                  </w:tcPr>
                  <w:p>
                    <w:pPr>
                      <w:snapToGrid w:val="0"/>
                      <w:spacing w:line="240" w:lineRule="atLeast"/>
                      <w:jc w:val="center"/>
                      <w:rPr>
                        <w:sz w:val="18"/>
                        <w:szCs w:val="18"/>
                      </w:rPr>
                    </w:pPr>
                  </w:p>
                </w:tc>
                <w:tc>
                  <w:tcPr>
                    <w:tcW w:w="452" w:type="pct"/>
                    <w:vMerge w:val="continue"/>
                  </w:tcPr>
                  <w:p>
                    <w:pPr>
                      <w:snapToGrid w:val="0"/>
                      <w:spacing w:line="240" w:lineRule="atLeast"/>
                      <w:jc w:val="center"/>
                      <w:rPr>
                        <w:sz w:val="18"/>
                        <w:szCs w:val="18"/>
                      </w:rPr>
                    </w:pPr>
                  </w:p>
                </w:tc>
                <w:tc>
                  <w:tcPr>
                    <w:tcW w:w="128" w:type="pct"/>
                    <w:vMerge w:val="continue"/>
                  </w:tcPr>
                  <w:p>
                    <w:pPr>
                      <w:snapToGrid w:val="0"/>
                      <w:spacing w:line="240" w:lineRule="atLeast"/>
                      <w:jc w:val="center"/>
                      <w:rPr>
                        <w:sz w:val="18"/>
                        <w:szCs w:val="18"/>
                      </w:rPr>
                    </w:pPr>
                  </w:p>
                </w:tc>
                <w:tc>
                  <w:tcPr>
                    <w:tcW w:w="554" w:type="pct"/>
                    <w:vMerge w:val="continue"/>
                  </w:tcPr>
                  <w:p>
                    <w:pPr>
                      <w:snapToGrid w:val="0"/>
                      <w:spacing w:line="240" w:lineRule="atLeast"/>
                      <w:jc w:val="center"/>
                      <w:rPr>
                        <w:sz w:val="18"/>
                        <w:szCs w:val="18"/>
                      </w:rPr>
                    </w:pPr>
                  </w:p>
                </w:tc>
                <w:tc>
                  <w:tcPr>
                    <w:tcW w:w="97" w:type="pct"/>
                    <w:vMerge w:val="continue"/>
                  </w:tcPr>
                  <w:p>
                    <w:pPr>
                      <w:snapToGrid w:val="0"/>
                      <w:spacing w:line="240" w:lineRule="atLeast"/>
                      <w:jc w:val="center"/>
                      <w:rPr>
                        <w:sz w:val="18"/>
                        <w:szCs w:val="18"/>
                      </w:rPr>
                    </w:pPr>
                  </w:p>
                </w:tc>
                <w:tc>
                  <w:tcPr>
                    <w:tcW w:w="482" w:type="pct"/>
                    <w:vMerge w:val="continue"/>
                  </w:tcPr>
                  <w:p>
                    <w:pPr>
                      <w:snapToGrid w:val="0"/>
                      <w:spacing w:line="240" w:lineRule="atLeast"/>
                      <w:jc w:val="center"/>
                      <w:rPr>
                        <w:sz w:val="18"/>
                        <w:szCs w:val="18"/>
                      </w:rPr>
                    </w:pPr>
                  </w:p>
                </w:tc>
                <w:tc>
                  <w:tcPr>
                    <w:tcW w:w="96" w:type="pct"/>
                    <w:vMerge w:val="continue"/>
                  </w:tcPr>
                  <w:p>
                    <w:pPr>
                      <w:jc w:val="center"/>
                      <w:rPr>
                        <w:sz w:val="18"/>
                        <w:szCs w:val="18"/>
                      </w:rPr>
                    </w:pPr>
                  </w:p>
                </w:tc>
                <w:tc>
                  <w:tcPr>
                    <w:tcW w:w="531" w:type="pct"/>
                    <w:vMerge w:val="continue"/>
                  </w:tcPr>
                  <w:p>
                    <w:pPr>
                      <w:jc w:val="center"/>
                      <w:rPr>
                        <w:sz w:val="18"/>
                        <w:szCs w:val="18"/>
                      </w:rPr>
                    </w:pPr>
                  </w:p>
                </w:tc>
                <w:tc>
                  <w:tcPr>
                    <w:tcW w:w="434" w:type="pct"/>
                    <w:vMerge w:val="continue"/>
                  </w:tcPr>
                  <w:p>
                    <w:pPr>
                      <w:jc w:val="center"/>
                      <w:rPr>
                        <w:sz w:val="18"/>
                        <w:szCs w:val="18"/>
                      </w:rPr>
                    </w:pPr>
                  </w:p>
                </w:tc>
                <w:tc>
                  <w:tcPr>
                    <w:tcW w:w="529" w:type="pct"/>
                    <w:vMerge w:val="continue"/>
                    <w:tcBorders>
                      <w:bottom w:val="nil"/>
                    </w:tcBorders>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4c39056f5874862855dc37ef7f0d558"/>
                    <w:id w:val="865723908"/>
                    <w:lock w:val="sdtLocked"/>
                  </w:sdtPr>
                  <w:sdtContent>
                    <w:tc>
                      <w:tcPr>
                        <w:tcW w:w="358" w:type="pct"/>
                      </w:tcPr>
                      <w:p>
                        <w:pPr>
                          <w:rPr>
                            <w:sz w:val="18"/>
                            <w:szCs w:val="18"/>
                          </w:rPr>
                        </w:pPr>
                        <w:r>
                          <w:rPr>
                            <w:sz w:val="18"/>
                            <w:szCs w:val="18"/>
                          </w:rPr>
                          <w:t>一、上年</w:t>
                        </w:r>
                        <w:r>
                          <w:rPr>
                            <w:rFonts w:hint="eastAsia"/>
                            <w:sz w:val="18"/>
                            <w:szCs w:val="18"/>
                          </w:rPr>
                          <w:t>年</w:t>
                        </w:r>
                        <w:r>
                          <w:rPr>
                            <w:sz w:val="18"/>
                            <w:szCs w:val="18"/>
                          </w:rPr>
                          <w:t>末余额</w:t>
                        </w:r>
                      </w:p>
                    </w:tc>
                  </w:sdtContent>
                </w:sdt>
                <w:tc>
                  <w:tcPr>
                    <w:tcW w:w="460" w:type="pct"/>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r>
                      <w:rPr>
                        <w:rFonts w:ascii="Times New Roman" w:hAnsi="Times New Roman" w:cs="Times New Roman"/>
                        <w:sz w:val="18"/>
                        <w:szCs w:val="18"/>
                      </w:rPr>
                      <w:t>1,184,901,870.95</w:t>
                    </w: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r>
                      <w:rPr>
                        <w:rFonts w:ascii="Times New Roman" w:hAnsi="Times New Roman" w:cs="Times New Roman"/>
                        <w:sz w:val="18"/>
                        <w:szCs w:val="18"/>
                      </w:rPr>
                      <w:t>-8,825,807.26</w:t>
                    </w: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r>
                      <w:rPr>
                        <w:rFonts w:ascii="Times New Roman" w:hAnsi="Times New Roman" w:cs="Times New Roman"/>
                        <w:sz w:val="18"/>
                        <w:szCs w:val="18"/>
                      </w:rPr>
                      <w:t>245,652,148.24</w:t>
                    </w: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r>
                      <w:rPr>
                        <w:rFonts w:ascii="Times New Roman" w:hAnsi="Times New Roman" w:cs="Times New Roman"/>
                        <w:sz w:val="18"/>
                        <w:szCs w:val="18"/>
                      </w:rPr>
                      <w:t>96,793,046.06</w:t>
                    </w: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r>
                      <w:rPr>
                        <w:rFonts w:ascii="Times New Roman" w:hAnsi="Times New Roman" w:cs="Times New Roman"/>
                        <w:sz w:val="18"/>
                        <w:szCs w:val="18"/>
                      </w:rPr>
                      <w:t>2,068,521,257.99</w:t>
                    </w:r>
                  </w:p>
                </w:tc>
                <w:tc>
                  <w:tcPr>
                    <w:tcW w:w="434" w:type="pct"/>
                    <w:vAlign w:val="center"/>
                  </w:tcPr>
                  <w:p>
                    <w:pPr>
                      <w:jc w:val="right"/>
                      <w:rPr>
                        <w:rFonts w:ascii="Times New Roman" w:hAnsi="Times New Roman" w:cs="Times New Roman"/>
                        <w:sz w:val="18"/>
                        <w:szCs w:val="18"/>
                      </w:rPr>
                    </w:pPr>
                    <w:r>
                      <w:rPr>
                        <w:rFonts w:ascii="Times New Roman" w:hAnsi="Times New Roman" w:cs="Times New Roman"/>
                        <w:sz w:val="18"/>
                        <w:szCs w:val="18"/>
                      </w:rPr>
                      <w:t>-6,187,339.84</w:t>
                    </w:r>
                  </w:p>
                </w:tc>
                <w:tc>
                  <w:tcPr>
                    <w:tcW w:w="529" w:type="pct"/>
                    <w:vAlign w:val="center"/>
                  </w:tcPr>
                  <w:p>
                    <w:pPr>
                      <w:jc w:val="right"/>
                      <w:rPr>
                        <w:rFonts w:ascii="Times New Roman" w:hAnsi="Times New Roman" w:cs="Times New Roman"/>
                        <w:sz w:val="18"/>
                        <w:szCs w:val="18"/>
                      </w:rPr>
                    </w:pPr>
                    <w:r>
                      <w:rPr>
                        <w:rFonts w:ascii="Times New Roman" w:hAnsi="Times New Roman" w:cs="Times New Roman"/>
                        <w:sz w:val="18"/>
                        <w:szCs w:val="18"/>
                      </w:rPr>
                      <w:t>2,062,333,918.15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feb351bb250466a8fad5b20d2922c70"/>
                    <w:id w:val="865723909"/>
                    <w:lock w:val="sdtLocked"/>
                  </w:sdtPr>
                  <w:sdtContent>
                    <w:tc>
                      <w:tcPr>
                        <w:tcW w:w="358" w:type="pct"/>
                      </w:tcPr>
                      <w:p>
                        <w:pPr>
                          <w:rPr>
                            <w:sz w:val="18"/>
                            <w:szCs w:val="18"/>
                          </w:rPr>
                        </w:pPr>
                        <w:r>
                          <w:rPr>
                            <w:rFonts w:hint="eastAsia"/>
                            <w:sz w:val="18"/>
                            <w:szCs w:val="18"/>
                          </w:rPr>
                          <w:t>加：</w:t>
                        </w:r>
                        <w:r>
                          <w:rPr>
                            <w:sz w:val="18"/>
                            <w:szCs w:val="18"/>
                          </w:rPr>
                          <w:t>会计政策变更</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r>
                      <w:rPr>
                        <w:rFonts w:ascii="Times New Roman" w:hAnsi="Times New Roman" w:cs="Times New Roman"/>
                        <w:sz w:val="18"/>
                        <w:szCs w:val="18"/>
                      </w:rPr>
                      <w:t xml:space="preserve">-30,299.49 </w:t>
                    </w: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r>
                      <w:rPr>
                        <w:rFonts w:ascii="Times New Roman" w:hAnsi="Times New Roman" w:cs="Times New Roman"/>
                        <w:sz w:val="18"/>
                        <w:szCs w:val="18"/>
                      </w:rPr>
                      <w:t>-296,919.43</w:t>
                    </w: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r>
                      <w:rPr>
                        <w:rFonts w:ascii="Times New Roman" w:hAnsi="Times New Roman" w:cs="Times New Roman"/>
                        <w:sz w:val="18"/>
                        <w:szCs w:val="18"/>
                      </w:rPr>
                      <w:t>-327,218.92</w:t>
                    </w:r>
                  </w:p>
                </w:tc>
                <w:tc>
                  <w:tcPr>
                    <w:tcW w:w="434" w:type="pct"/>
                    <w:vAlign w:val="center"/>
                  </w:tcPr>
                  <w:p>
                    <w:pPr>
                      <w:jc w:val="right"/>
                      <w:rPr>
                        <w:rFonts w:ascii="Times New Roman" w:hAnsi="Times New Roman" w:cs="Times New Roman"/>
                        <w:sz w:val="18"/>
                        <w:szCs w:val="18"/>
                      </w:rPr>
                    </w:pPr>
                    <w:r>
                      <w:rPr>
                        <w:rFonts w:ascii="Times New Roman" w:hAnsi="Times New Roman" w:cs="Times New Roman"/>
                        <w:sz w:val="18"/>
                        <w:szCs w:val="18"/>
                      </w:rPr>
                      <w:t>-21,628.54</w:t>
                    </w:r>
                  </w:p>
                </w:tc>
                <w:tc>
                  <w:tcPr>
                    <w:tcW w:w="529" w:type="pct"/>
                    <w:vAlign w:val="center"/>
                  </w:tcPr>
                  <w:p>
                    <w:pPr>
                      <w:jc w:val="right"/>
                      <w:rPr>
                        <w:rFonts w:ascii="Times New Roman" w:hAnsi="Times New Roman" w:cs="Times New Roman"/>
                        <w:sz w:val="18"/>
                        <w:szCs w:val="18"/>
                      </w:rPr>
                    </w:pPr>
                    <w:r>
                      <w:rPr>
                        <w:rFonts w:ascii="Times New Roman" w:hAnsi="Times New Roman" w:cs="Times New Roman"/>
                        <w:sz w:val="18"/>
                        <w:szCs w:val="18"/>
                      </w:rPr>
                      <w:t>-348,847.46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480764b7144ae885e5b5b29f4f4705"/>
                    <w:id w:val="865723910"/>
                    <w:lock w:val="sdtLocked"/>
                  </w:sdtPr>
                  <w:sdtContent>
                    <w:tc>
                      <w:tcPr>
                        <w:tcW w:w="358" w:type="pct"/>
                      </w:tcPr>
                      <w:p>
                        <w:pPr>
                          <w:ind w:firstLine="420" w:firstLineChars="200"/>
                          <w:rPr>
                            <w:sz w:val="18"/>
                            <w:szCs w:val="18"/>
                          </w:rPr>
                        </w:pPr>
                        <w:r>
                          <w:rPr>
                            <w:sz w:val="18"/>
                            <w:szCs w:val="18"/>
                          </w:rPr>
                          <w:t>前期差错更正</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f09ee4c9b7416b9923560f93f21ac6"/>
                    <w:id w:val="865723911"/>
                    <w:lock w:val="sdtLocked"/>
                  </w:sdtPr>
                  <w:sdtContent>
                    <w:tc>
                      <w:tcPr>
                        <w:tcW w:w="358" w:type="pct"/>
                      </w:tcPr>
                      <w:p>
                        <w:pPr>
                          <w:ind w:firstLine="420" w:firstLineChars="200"/>
                          <w:rPr>
                            <w:sz w:val="18"/>
                            <w:szCs w:val="18"/>
                          </w:rPr>
                        </w:pPr>
                        <w:r>
                          <w:rPr>
                            <w:rFonts w:hint="eastAsia"/>
                            <w:sz w:val="18"/>
                            <w:szCs w:val="18"/>
                          </w:rPr>
                          <w:t>同一控制下企业合并</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226061f12cf4cf887adc2639edc13d6"/>
                    <w:id w:val="865723912"/>
                    <w:lock w:val="sdtLocked"/>
                  </w:sdtPr>
                  <w:sdtContent>
                    <w:tc>
                      <w:tcPr>
                        <w:tcW w:w="358" w:type="pct"/>
                      </w:tcPr>
                      <w:p>
                        <w:pPr>
                          <w:ind w:firstLine="420" w:firstLineChars="200"/>
                          <w:rPr>
                            <w:sz w:val="18"/>
                            <w:szCs w:val="18"/>
                          </w:rPr>
                        </w:pPr>
                        <w:r>
                          <w:rPr>
                            <w:rFonts w:hint="eastAsia"/>
                            <w:sz w:val="18"/>
                            <w:szCs w:val="18"/>
                          </w:rPr>
                          <w:t>其他</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438083d485a4ed1a2cb2a35b3d400f3"/>
                    <w:id w:val="865723913"/>
                    <w:lock w:val="sdtLocked"/>
                  </w:sdtPr>
                  <w:sdtContent>
                    <w:tc>
                      <w:tcPr>
                        <w:tcW w:w="358" w:type="pct"/>
                      </w:tcPr>
                      <w:p>
                        <w:pPr>
                          <w:rPr>
                            <w:sz w:val="18"/>
                            <w:szCs w:val="18"/>
                          </w:rPr>
                        </w:pPr>
                        <w:r>
                          <w:rPr>
                            <w:sz w:val="18"/>
                            <w:szCs w:val="18"/>
                          </w:rPr>
                          <w:t>二、本年</w:t>
                        </w:r>
                        <w:r>
                          <w:rPr>
                            <w:rFonts w:hint="eastAsia"/>
                            <w:sz w:val="18"/>
                            <w:szCs w:val="18"/>
                          </w:rPr>
                          <w:t>期</w:t>
                        </w:r>
                        <w:r>
                          <w:rPr>
                            <w:sz w:val="18"/>
                            <w:szCs w:val="18"/>
                          </w:rPr>
                          <w:t>初余额</w:t>
                        </w:r>
                      </w:p>
                    </w:tc>
                  </w:sdtContent>
                </w:sdt>
                <w:tc>
                  <w:tcPr>
                    <w:tcW w:w="460" w:type="pct"/>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r>
                      <w:rPr>
                        <w:rFonts w:ascii="Times New Roman" w:hAnsi="Times New Roman" w:cs="Times New Roman"/>
                        <w:sz w:val="18"/>
                        <w:szCs w:val="18"/>
                      </w:rPr>
                      <w:t>1,184,901,870.95</w:t>
                    </w: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r>
                      <w:rPr>
                        <w:rFonts w:ascii="Times New Roman" w:hAnsi="Times New Roman" w:cs="Times New Roman"/>
                        <w:sz w:val="18"/>
                        <w:szCs w:val="18"/>
                      </w:rPr>
                      <w:t>-8,825,807.26</w:t>
                    </w: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r>
                      <w:rPr>
                        <w:rFonts w:ascii="Times New Roman" w:hAnsi="Times New Roman" w:cs="Times New Roman"/>
                        <w:sz w:val="18"/>
                        <w:szCs w:val="18"/>
                      </w:rPr>
                      <w:t>245,621,848.75</w:t>
                    </w: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r>
                      <w:rPr>
                        <w:rFonts w:ascii="Times New Roman" w:hAnsi="Times New Roman" w:cs="Times New Roman"/>
                        <w:sz w:val="18"/>
                        <w:szCs w:val="18"/>
                      </w:rPr>
                      <w:t>96,496,126.63</w:t>
                    </w: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r>
                      <w:rPr>
                        <w:rFonts w:ascii="Times New Roman" w:hAnsi="Times New Roman" w:cs="Times New Roman"/>
                        <w:sz w:val="18"/>
                        <w:szCs w:val="18"/>
                      </w:rPr>
                      <w:t>2,068,194,039.07</w:t>
                    </w:r>
                  </w:p>
                </w:tc>
                <w:tc>
                  <w:tcPr>
                    <w:tcW w:w="434" w:type="pct"/>
                    <w:vAlign w:val="center"/>
                  </w:tcPr>
                  <w:p>
                    <w:pPr>
                      <w:jc w:val="right"/>
                      <w:rPr>
                        <w:rFonts w:ascii="Times New Roman" w:hAnsi="Times New Roman" w:cs="Times New Roman"/>
                        <w:sz w:val="18"/>
                        <w:szCs w:val="18"/>
                      </w:rPr>
                    </w:pPr>
                    <w:r>
                      <w:rPr>
                        <w:rFonts w:ascii="Times New Roman" w:hAnsi="Times New Roman" w:cs="Times New Roman"/>
                        <w:sz w:val="18"/>
                        <w:szCs w:val="18"/>
                      </w:rPr>
                      <w:t>-6,208,968.38</w:t>
                    </w:r>
                  </w:p>
                </w:tc>
                <w:tc>
                  <w:tcPr>
                    <w:tcW w:w="529" w:type="pct"/>
                    <w:vAlign w:val="center"/>
                  </w:tcPr>
                  <w:p>
                    <w:pPr>
                      <w:jc w:val="right"/>
                      <w:rPr>
                        <w:rFonts w:ascii="Times New Roman" w:hAnsi="Times New Roman" w:cs="Times New Roman"/>
                        <w:sz w:val="18"/>
                        <w:szCs w:val="18"/>
                      </w:rPr>
                    </w:pPr>
                    <w:r>
                      <w:rPr>
                        <w:rFonts w:ascii="Times New Roman" w:hAnsi="Times New Roman" w:cs="Times New Roman"/>
                        <w:sz w:val="18"/>
                        <w:szCs w:val="18"/>
                      </w:rPr>
                      <w:t>2,061,985,070.69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0d70a8ecfa64251bc0240cb363e3dd7"/>
                    <w:id w:val="865723914"/>
                    <w:lock w:val="sdtLocked"/>
                  </w:sdtPr>
                  <w:sdtContent>
                    <w:tc>
                      <w:tcPr>
                        <w:tcW w:w="358" w:type="pct"/>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r>
                      <w:rPr>
                        <w:rFonts w:ascii="Times New Roman" w:hAnsi="Times New Roman" w:cs="Times New Roman"/>
                        <w:sz w:val="18"/>
                        <w:szCs w:val="18"/>
                      </w:rPr>
                      <w:t>58,781,318.45</w:t>
                    </w: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r>
                      <w:rPr>
                        <w:rFonts w:ascii="Times New Roman" w:hAnsi="Times New Roman" w:cs="Times New Roman"/>
                        <w:sz w:val="18"/>
                        <w:szCs w:val="18"/>
                      </w:rPr>
                      <w:t>58,781,318.45</w:t>
                    </w:r>
                  </w:p>
                </w:tc>
                <w:tc>
                  <w:tcPr>
                    <w:tcW w:w="434" w:type="pct"/>
                    <w:vAlign w:val="center"/>
                  </w:tcPr>
                  <w:p>
                    <w:pPr>
                      <w:jc w:val="right"/>
                      <w:rPr>
                        <w:rFonts w:ascii="Times New Roman" w:hAnsi="Times New Roman" w:cs="Times New Roman"/>
                        <w:sz w:val="18"/>
                        <w:szCs w:val="18"/>
                      </w:rPr>
                    </w:pPr>
                    <w:r>
                      <w:rPr>
                        <w:rFonts w:ascii="Times New Roman" w:hAnsi="Times New Roman" w:cs="Times New Roman"/>
                        <w:sz w:val="18"/>
                        <w:szCs w:val="18"/>
                      </w:rPr>
                      <w:t>183,147.95</w:t>
                    </w:r>
                  </w:p>
                </w:tc>
                <w:tc>
                  <w:tcPr>
                    <w:tcW w:w="529" w:type="pct"/>
                    <w:vAlign w:val="center"/>
                  </w:tcPr>
                  <w:p>
                    <w:pPr>
                      <w:jc w:val="right"/>
                      <w:rPr>
                        <w:rFonts w:ascii="Times New Roman" w:hAnsi="Times New Roman" w:cs="Times New Roman"/>
                        <w:sz w:val="18"/>
                        <w:szCs w:val="18"/>
                      </w:rPr>
                    </w:pPr>
                    <w:r>
                      <w:rPr>
                        <w:rFonts w:ascii="Times New Roman" w:hAnsi="Times New Roman" w:cs="Times New Roman"/>
                        <w:sz w:val="18"/>
                        <w:szCs w:val="18"/>
                      </w:rPr>
                      <w:t>58,964,466.40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sdt>
                  <w:sdtPr>
                    <w:tag w:val="_PLD_d3b5283bf10a4a3c8882e3f3c30046c5"/>
                    <w:id w:val="865723915"/>
                    <w:lock w:val="sdtLocked"/>
                  </w:sdtPr>
                  <w:sdtContent>
                    <w:tc>
                      <w:tcPr>
                        <w:tcW w:w="358" w:type="pct"/>
                      </w:tcPr>
                      <w:p>
                        <w:pPr>
                          <w:rPr>
                            <w:sz w:val="18"/>
                            <w:szCs w:val="18"/>
                          </w:rPr>
                        </w:pPr>
                        <w:r>
                          <w:rPr>
                            <w:rFonts w:hint="eastAsia"/>
                            <w:sz w:val="18"/>
                            <w:szCs w:val="18"/>
                          </w:rPr>
                          <w:t>（一）综合收益总额</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r>
                      <w:rPr>
                        <w:rFonts w:ascii="Times New Roman" w:hAnsi="Times New Roman" w:cs="Times New Roman"/>
                        <w:sz w:val="18"/>
                        <w:szCs w:val="18"/>
                      </w:rPr>
                      <w:t>58,049,318.45</w:t>
                    </w: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r>
                      <w:rPr>
                        <w:rFonts w:ascii="Times New Roman" w:hAnsi="Times New Roman" w:cs="Times New Roman"/>
                        <w:sz w:val="18"/>
                        <w:szCs w:val="18"/>
                      </w:rPr>
                      <w:t>58,049,318.45</w:t>
                    </w:r>
                  </w:p>
                </w:tc>
                <w:tc>
                  <w:tcPr>
                    <w:tcW w:w="434" w:type="pct"/>
                    <w:vAlign w:val="center"/>
                  </w:tcPr>
                  <w:p>
                    <w:pPr>
                      <w:jc w:val="right"/>
                      <w:rPr>
                        <w:rFonts w:ascii="Times New Roman" w:hAnsi="Times New Roman" w:cs="Times New Roman"/>
                        <w:sz w:val="18"/>
                        <w:szCs w:val="18"/>
                      </w:rPr>
                    </w:pPr>
                    <w:r>
                      <w:rPr>
                        <w:rFonts w:ascii="Times New Roman" w:hAnsi="Times New Roman" w:cs="Times New Roman"/>
                        <w:sz w:val="18"/>
                        <w:szCs w:val="18"/>
                      </w:rPr>
                      <w:t>183,147.95</w:t>
                    </w:r>
                  </w:p>
                </w:tc>
                <w:tc>
                  <w:tcPr>
                    <w:tcW w:w="529" w:type="pct"/>
                    <w:vAlign w:val="center"/>
                  </w:tcPr>
                  <w:p>
                    <w:pPr>
                      <w:jc w:val="right"/>
                      <w:rPr>
                        <w:rFonts w:ascii="Times New Roman" w:hAnsi="Times New Roman" w:cs="Times New Roman"/>
                        <w:sz w:val="18"/>
                        <w:szCs w:val="18"/>
                      </w:rPr>
                    </w:pPr>
                    <w:r>
                      <w:rPr>
                        <w:rFonts w:ascii="Times New Roman" w:hAnsi="Times New Roman" w:cs="Times New Roman"/>
                        <w:sz w:val="18"/>
                        <w:szCs w:val="18"/>
                      </w:rPr>
                      <w:t>58,232,466.40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cb1a0919fe148e5893e9977ac112e36"/>
                    <w:id w:val="865723916"/>
                    <w:lock w:val="sdtLocked"/>
                  </w:sdtPr>
                  <w:sdtContent>
                    <w:tc>
                      <w:tcPr>
                        <w:tcW w:w="358" w:type="pct"/>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11ba2ed8c6b439788c9acf67433da0c"/>
                    <w:id w:val="865723917"/>
                    <w:lock w:val="sdtLocked"/>
                  </w:sdtPr>
                  <w:sdtContent>
                    <w:tc>
                      <w:tcPr>
                        <w:tcW w:w="358" w:type="pct"/>
                      </w:tcPr>
                      <w:p>
                        <w:pPr>
                          <w:rPr>
                            <w:sz w:val="18"/>
                            <w:szCs w:val="18"/>
                          </w:rPr>
                        </w:pPr>
                        <w:r>
                          <w:rPr>
                            <w:rFonts w:hint="eastAsia"/>
                            <w:sz w:val="18"/>
                            <w:szCs w:val="18"/>
                          </w:rPr>
                          <w:t>1．所有者投入的普通股</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90ad87987d54aec9ebb059ca9fe2d83"/>
                    <w:id w:val="865723918"/>
                    <w:lock w:val="sdtLocked"/>
                  </w:sdtPr>
                  <w:sdtContent>
                    <w:tc>
                      <w:tcPr>
                        <w:tcW w:w="358" w:type="pct"/>
                      </w:tcPr>
                      <w:p>
                        <w:pPr>
                          <w:rPr>
                            <w:sz w:val="18"/>
                            <w:szCs w:val="18"/>
                          </w:rPr>
                        </w:pPr>
                        <w:r>
                          <w:rPr>
                            <w:rFonts w:hint="eastAsia"/>
                            <w:sz w:val="18"/>
                            <w:szCs w:val="18"/>
                          </w:rPr>
                          <w:t>2．其他权益工具持有者投入资本</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3580ad15ab461695606b09453b2233"/>
                    <w:id w:val="865723919"/>
                    <w:lock w:val="sdtLocked"/>
                  </w:sdtPr>
                  <w:sdtContent>
                    <w:tc>
                      <w:tcPr>
                        <w:tcW w:w="358" w:type="pct"/>
                      </w:tcPr>
                      <w:p>
                        <w:pPr>
                          <w:rPr>
                            <w:sz w:val="18"/>
                            <w:szCs w:val="18"/>
                          </w:rPr>
                        </w:pPr>
                        <w:r>
                          <w:rPr>
                            <w:rFonts w:hint="eastAsia"/>
                            <w:sz w:val="18"/>
                            <w:szCs w:val="18"/>
                          </w:rPr>
                          <w:t>3</w:t>
                        </w:r>
                        <w:r>
                          <w:rPr>
                            <w:sz w:val="18"/>
                            <w:szCs w:val="18"/>
                          </w:rPr>
                          <w:t>．股份支付计入所有者权益的金额</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2d1c7d278224bfa80a28845c7639c86"/>
                    <w:id w:val="865723920"/>
                    <w:lock w:val="sdtLocked"/>
                  </w:sdtPr>
                  <w:sdtContent>
                    <w:tc>
                      <w:tcPr>
                        <w:tcW w:w="358" w:type="pct"/>
                      </w:tcPr>
                      <w:p>
                        <w:pPr>
                          <w:rPr>
                            <w:sz w:val="18"/>
                            <w:szCs w:val="18"/>
                          </w:rPr>
                        </w:pPr>
                        <w:r>
                          <w:rPr>
                            <w:rFonts w:hint="eastAsia"/>
                            <w:sz w:val="18"/>
                            <w:szCs w:val="18"/>
                          </w:rPr>
                          <w:t>4</w:t>
                        </w:r>
                        <w:r>
                          <w:rPr>
                            <w:sz w:val="18"/>
                            <w:szCs w:val="18"/>
                          </w:rPr>
                          <w:t>．其他</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f4c1a0d22784a4a81a90a7b772560b9"/>
                    <w:id w:val="865723921"/>
                    <w:lock w:val="sdtLocked"/>
                  </w:sdtPr>
                  <w:sdtContent>
                    <w:tc>
                      <w:tcPr>
                        <w:tcW w:w="358" w:type="pct"/>
                      </w:tcPr>
                      <w:p>
                        <w:pPr>
                          <w:rPr>
                            <w:sz w:val="18"/>
                            <w:szCs w:val="18"/>
                          </w:rPr>
                        </w:pPr>
                        <w:r>
                          <w:rPr>
                            <w:sz w:val="18"/>
                            <w:szCs w:val="18"/>
                          </w:rPr>
                          <w:t>（</w:t>
                        </w:r>
                        <w:r>
                          <w:rPr>
                            <w:rFonts w:hint="eastAsia"/>
                            <w:sz w:val="18"/>
                            <w:szCs w:val="18"/>
                          </w:rPr>
                          <w:t>三</w:t>
                        </w:r>
                        <w:r>
                          <w:rPr>
                            <w:sz w:val="18"/>
                            <w:szCs w:val="18"/>
                          </w:rPr>
                          <w:t>）利润分配</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3a49eb420a24cdbb4f7f5ce05660344"/>
                    <w:id w:val="865723922"/>
                    <w:lock w:val="sdtLocked"/>
                  </w:sdtPr>
                  <w:sdtContent>
                    <w:tc>
                      <w:tcPr>
                        <w:tcW w:w="358" w:type="pct"/>
                      </w:tcPr>
                      <w:p>
                        <w:pPr>
                          <w:rPr>
                            <w:sz w:val="18"/>
                            <w:szCs w:val="18"/>
                          </w:rPr>
                        </w:pPr>
                        <w:r>
                          <w:rPr>
                            <w:sz w:val="18"/>
                            <w:szCs w:val="18"/>
                          </w:rPr>
                          <w:t>1．提取盈余公积</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30083ca1b684aa0b92b69b31995ea1b"/>
                    <w:id w:val="865723923"/>
                    <w:lock w:val="sdtLocked"/>
                  </w:sdtPr>
                  <w:sdtContent>
                    <w:tc>
                      <w:tcPr>
                        <w:tcW w:w="358" w:type="pct"/>
                      </w:tcPr>
                      <w:p>
                        <w:pPr>
                          <w:rPr>
                            <w:sz w:val="18"/>
                            <w:szCs w:val="18"/>
                          </w:rPr>
                        </w:pPr>
                        <w:r>
                          <w:rPr>
                            <w:sz w:val="18"/>
                            <w:szCs w:val="18"/>
                          </w:rPr>
                          <w:t>2．提取一般风险准备</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19b1d04bab14e67b22ee23afd215d76"/>
                    <w:id w:val="865723924"/>
                    <w:lock w:val="sdtLocked"/>
                  </w:sdtPr>
                  <w:sdtContent>
                    <w:tc>
                      <w:tcPr>
                        <w:tcW w:w="358" w:type="pct"/>
                      </w:tcPr>
                      <w:p>
                        <w:pPr>
                          <w:rPr>
                            <w:sz w:val="18"/>
                            <w:szCs w:val="18"/>
                          </w:rPr>
                        </w:pPr>
                        <w:r>
                          <w:rPr>
                            <w:sz w:val="18"/>
                            <w:szCs w:val="18"/>
                          </w:rPr>
                          <w:t>3．对所有者（或股东）的分配</w:t>
                        </w:r>
                      </w:p>
                    </w:tc>
                  </w:sdtContent>
                </w:sdt>
                <w:tc>
                  <w:tcPr>
                    <w:tcW w:w="460" w:type="pct"/>
                  </w:tcPr>
                  <w:p>
                    <w:pPr>
                      <w:jc w:val="right"/>
                      <w:rPr>
                        <w:sz w:val="18"/>
                        <w:szCs w:val="18"/>
                      </w:rPr>
                    </w:pPr>
                  </w:p>
                </w:tc>
                <w:tc>
                  <w:tcPr>
                    <w:tcW w:w="92" w:type="pct"/>
                  </w:tcPr>
                  <w:p>
                    <w:pPr>
                      <w:jc w:val="right"/>
                      <w:rPr>
                        <w:sz w:val="18"/>
                        <w:szCs w:val="18"/>
                      </w:rPr>
                    </w:pPr>
                  </w:p>
                </w:tc>
                <w:tc>
                  <w:tcPr>
                    <w:tcW w:w="92" w:type="pct"/>
                  </w:tcPr>
                  <w:p>
                    <w:pPr>
                      <w:jc w:val="right"/>
                      <w:rPr>
                        <w:sz w:val="18"/>
                        <w:szCs w:val="18"/>
                      </w:rPr>
                    </w:pPr>
                  </w:p>
                </w:tc>
                <w:tc>
                  <w:tcPr>
                    <w:tcW w:w="94" w:type="pct"/>
                  </w:tcPr>
                  <w:p>
                    <w:pPr>
                      <w:jc w:val="right"/>
                      <w:rPr>
                        <w:sz w:val="18"/>
                        <w:szCs w:val="18"/>
                      </w:rPr>
                    </w:pPr>
                  </w:p>
                </w:tc>
                <w:tc>
                  <w:tcPr>
                    <w:tcW w:w="508" w:type="pct"/>
                  </w:tcPr>
                  <w:p>
                    <w:pPr>
                      <w:jc w:val="right"/>
                      <w:rPr>
                        <w:sz w:val="18"/>
                        <w:szCs w:val="18"/>
                      </w:rPr>
                    </w:pPr>
                  </w:p>
                </w:tc>
                <w:tc>
                  <w:tcPr>
                    <w:tcW w:w="93" w:type="pct"/>
                  </w:tcPr>
                  <w:p>
                    <w:pPr>
                      <w:jc w:val="right"/>
                      <w:rPr>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5628e129d04d23a2d71da503cecfdd"/>
                    <w:id w:val="865723925"/>
                    <w:lock w:val="sdtLocked"/>
                  </w:sdtPr>
                  <w:sdtContent>
                    <w:tc>
                      <w:tcPr>
                        <w:tcW w:w="358" w:type="pct"/>
                      </w:tcPr>
                      <w:p>
                        <w:pPr>
                          <w:rPr>
                            <w:sz w:val="18"/>
                            <w:szCs w:val="18"/>
                          </w:rPr>
                        </w:pPr>
                        <w:r>
                          <w:rPr>
                            <w:sz w:val="18"/>
                            <w:szCs w:val="18"/>
                          </w:rPr>
                          <w:t>4．其他</w:t>
                        </w:r>
                      </w:p>
                    </w:tc>
                  </w:sdtContent>
                </w:sdt>
                <w:tc>
                  <w:tcPr>
                    <w:tcW w:w="460" w:type="pct"/>
                  </w:tcPr>
                  <w:p>
                    <w:pPr>
                      <w:jc w:val="right"/>
                      <w:rPr>
                        <w:sz w:val="18"/>
                        <w:szCs w:val="18"/>
                      </w:rPr>
                    </w:pPr>
                  </w:p>
                </w:tc>
                <w:tc>
                  <w:tcPr>
                    <w:tcW w:w="92" w:type="pct"/>
                  </w:tcPr>
                  <w:p>
                    <w:pPr>
                      <w:jc w:val="right"/>
                      <w:rPr>
                        <w:sz w:val="18"/>
                        <w:szCs w:val="18"/>
                      </w:rPr>
                    </w:pPr>
                  </w:p>
                </w:tc>
                <w:tc>
                  <w:tcPr>
                    <w:tcW w:w="92" w:type="pct"/>
                  </w:tcPr>
                  <w:p>
                    <w:pPr>
                      <w:jc w:val="right"/>
                      <w:rPr>
                        <w:sz w:val="18"/>
                        <w:szCs w:val="18"/>
                      </w:rPr>
                    </w:pPr>
                  </w:p>
                </w:tc>
                <w:tc>
                  <w:tcPr>
                    <w:tcW w:w="94" w:type="pct"/>
                  </w:tcPr>
                  <w:p>
                    <w:pPr>
                      <w:jc w:val="right"/>
                      <w:rPr>
                        <w:sz w:val="18"/>
                        <w:szCs w:val="18"/>
                      </w:rPr>
                    </w:pPr>
                  </w:p>
                </w:tc>
                <w:tc>
                  <w:tcPr>
                    <w:tcW w:w="508" w:type="pct"/>
                  </w:tcPr>
                  <w:p>
                    <w:pPr>
                      <w:jc w:val="right"/>
                      <w:rPr>
                        <w:sz w:val="18"/>
                        <w:szCs w:val="18"/>
                      </w:rPr>
                    </w:pPr>
                  </w:p>
                </w:tc>
                <w:tc>
                  <w:tcPr>
                    <w:tcW w:w="93" w:type="pct"/>
                  </w:tcPr>
                  <w:p>
                    <w:pPr>
                      <w:jc w:val="right"/>
                      <w:rPr>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953b61d69004a7a91974afa1318df0a"/>
                    <w:id w:val="865723926"/>
                    <w:lock w:val="sdtLocked"/>
                  </w:sdtPr>
                  <w:sdtContent>
                    <w:tc>
                      <w:tcPr>
                        <w:tcW w:w="358" w:type="pct"/>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460" w:type="pct"/>
                  </w:tcPr>
                  <w:p>
                    <w:pPr>
                      <w:jc w:val="right"/>
                      <w:rPr>
                        <w:sz w:val="18"/>
                        <w:szCs w:val="18"/>
                      </w:rPr>
                    </w:pPr>
                  </w:p>
                </w:tc>
                <w:tc>
                  <w:tcPr>
                    <w:tcW w:w="92" w:type="pct"/>
                  </w:tcPr>
                  <w:p>
                    <w:pPr>
                      <w:jc w:val="right"/>
                      <w:rPr>
                        <w:sz w:val="18"/>
                        <w:szCs w:val="18"/>
                      </w:rPr>
                    </w:pPr>
                  </w:p>
                </w:tc>
                <w:tc>
                  <w:tcPr>
                    <w:tcW w:w="92" w:type="pct"/>
                  </w:tcPr>
                  <w:p>
                    <w:pPr>
                      <w:jc w:val="right"/>
                      <w:rPr>
                        <w:sz w:val="18"/>
                        <w:szCs w:val="18"/>
                      </w:rPr>
                    </w:pPr>
                  </w:p>
                </w:tc>
                <w:tc>
                  <w:tcPr>
                    <w:tcW w:w="94" w:type="pct"/>
                  </w:tcPr>
                  <w:p>
                    <w:pPr>
                      <w:jc w:val="right"/>
                      <w:rPr>
                        <w:sz w:val="18"/>
                        <w:szCs w:val="18"/>
                      </w:rPr>
                    </w:pPr>
                  </w:p>
                </w:tc>
                <w:tc>
                  <w:tcPr>
                    <w:tcW w:w="508" w:type="pct"/>
                  </w:tcPr>
                  <w:p>
                    <w:pPr>
                      <w:jc w:val="right"/>
                      <w:rPr>
                        <w:sz w:val="18"/>
                        <w:szCs w:val="18"/>
                      </w:rPr>
                    </w:pPr>
                  </w:p>
                </w:tc>
                <w:tc>
                  <w:tcPr>
                    <w:tcW w:w="93" w:type="pct"/>
                  </w:tcPr>
                  <w:p>
                    <w:pPr>
                      <w:jc w:val="right"/>
                      <w:rPr>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r>
                      <w:rPr>
                        <w:rFonts w:ascii="Times New Roman" w:hAnsi="Times New Roman" w:cs="Times New Roman"/>
                        <w:sz w:val="18"/>
                        <w:szCs w:val="18"/>
                      </w:rPr>
                      <w:t>732,000.00</w:t>
                    </w: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r>
                      <w:rPr>
                        <w:rFonts w:ascii="Times New Roman" w:hAnsi="Times New Roman" w:cs="Times New Roman"/>
                        <w:sz w:val="18"/>
                        <w:szCs w:val="18"/>
                      </w:rPr>
                      <w:t>732,000.00</w:t>
                    </w: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r>
                      <w:rPr>
                        <w:rFonts w:ascii="Times New Roman" w:hAnsi="Times New Roman" w:cs="Times New Roman"/>
                        <w:sz w:val="18"/>
                        <w:szCs w:val="18"/>
                      </w:rPr>
                      <w:t>732,000.00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78fa3d290b3473aacd1d849016a2959"/>
                    <w:id w:val="865723927"/>
                    <w:lock w:val="sdtLocked"/>
                  </w:sdtPr>
                  <w:sdtContent>
                    <w:tc>
                      <w:tcPr>
                        <w:tcW w:w="358" w:type="pct"/>
                      </w:tcPr>
                      <w:p>
                        <w:pPr>
                          <w:rPr>
                            <w:sz w:val="18"/>
                            <w:szCs w:val="18"/>
                          </w:rPr>
                        </w:pPr>
                        <w:r>
                          <w:rPr>
                            <w:sz w:val="18"/>
                            <w:szCs w:val="18"/>
                          </w:rPr>
                          <w:t>1．资本公积转增资本（或股本）</w:t>
                        </w:r>
                      </w:p>
                    </w:tc>
                  </w:sdtContent>
                </w:sdt>
                <w:tc>
                  <w:tcPr>
                    <w:tcW w:w="460" w:type="pct"/>
                  </w:tcPr>
                  <w:p>
                    <w:pPr>
                      <w:jc w:val="right"/>
                      <w:rPr>
                        <w:sz w:val="18"/>
                        <w:szCs w:val="18"/>
                      </w:rPr>
                    </w:pPr>
                  </w:p>
                </w:tc>
                <w:tc>
                  <w:tcPr>
                    <w:tcW w:w="92" w:type="pct"/>
                  </w:tcPr>
                  <w:p>
                    <w:pPr>
                      <w:jc w:val="right"/>
                      <w:rPr>
                        <w:sz w:val="18"/>
                        <w:szCs w:val="18"/>
                      </w:rPr>
                    </w:pPr>
                  </w:p>
                </w:tc>
                <w:tc>
                  <w:tcPr>
                    <w:tcW w:w="92" w:type="pct"/>
                  </w:tcPr>
                  <w:p>
                    <w:pPr>
                      <w:jc w:val="right"/>
                      <w:rPr>
                        <w:sz w:val="18"/>
                        <w:szCs w:val="18"/>
                      </w:rPr>
                    </w:pPr>
                  </w:p>
                </w:tc>
                <w:tc>
                  <w:tcPr>
                    <w:tcW w:w="94" w:type="pct"/>
                  </w:tcPr>
                  <w:p>
                    <w:pPr>
                      <w:jc w:val="right"/>
                      <w:rPr>
                        <w:sz w:val="18"/>
                        <w:szCs w:val="18"/>
                      </w:rPr>
                    </w:pPr>
                  </w:p>
                </w:tc>
                <w:tc>
                  <w:tcPr>
                    <w:tcW w:w="508" w:type="pct"/>
                  </w:tcPr>
                  <w:p>
                    <w:pPr>
                      <w:jc w:val="right"/>
                      <w:rPr>
                        <w:sz w:val="18"/>
                        <w:szCs w:val="18"/>
                      </w:rPr>
                    </w:pPr>
                  </w:p>
                </w:tc>
                <w:tc>
                  <w:tcPr>
                    <w:tcW w:w="93" w:type="pct"/>
                  </w:tcPr>
                  <w:p>
                    <w:pPr>
                      <w:jc w:val="right"/>
                      <w:rPr>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beb2e6cbbd4ba2a65e4f369c7e7929"/>
                    <w:id w:val="865723928"/>
                    <w:lock w:val="sdtLocked"/>
                  </w:sdtPr>
                  <w:sdtContent>
                    <w:tc>
                      <w:tcPr>
                        <w:tcW w:w="358" w:type="pct"/>
                      </w:tcPr>
                      <w:p>
                        <w:pPr>
                          <w:rPr>
                            <w:sz w:val="18"/>
                            <w:szCs w:val="18"/>
                          </w:rPr>
                        </w:pPr>
                        <w:r>
                          <w:rPr>
                            <w:sz w:val="18"/>
                            <w:szCs w:val="18"/>
                          </w:rPr>
                          <w:t>2．盈余公积转增资本（或股本）</w:t>
                        </w:r>
                      </w:p>
                    </w:tc>
                  </w:sdtContent>
                </w:sdt>
                <w:tc>
                  <w:tcPr>
                    <w:tcW w:w="460" w:type="pct"/>
                  </w:tcPr>
                  <w:p>
                    <w:pPr>
                      <w:jc w:val="right"/>
                      <w:rPr>
                        <w:sz w:val="18"/>
                        <w:szCs w:val="18"/>
                      </w:rPr>
                    </w:pPr>
                  </w:p>
                </w:tc>
                <w:tc>
                  <w:tcPr>
                    <w:tcW w:w="92" w:type="pct"/>
                  </w:tcPr>
                  <w:p>
                    <w:pPr>
                      <w:jc w:val="right"/>
                      <w:rPr>
                        <w:sz w:val="18"/>
                        <w:szCs w:val="18"/>
                      </w:rPr>
                    </w:pPr>
                  </w:p>
                </w:tc>
                <w:tc>
                  <w:tcPr>
                    <w:tcW w:w="92" w:type="pct"/>
                  </w:tcPr>
                  <w:p>
                    <w:pPr>
                      <w:jc w:val="right"/>
                      <w:rPr>
                        <w:sz w:val="18"/>
                        <w:szCs w:val="18"/>
                      </w:rPr>
                    </w:pPr>
                  </w:p>
                </w:tc>
                <w:tc>
                  <w:tcPr>
                    <w:tcW w:w="94" w:type="pct"/>
                  </w:tcPr>
                  <w:p>
                    <w:pPr>
                      <w:jc w:val="right"/>
                      <w:rPr>
                        <w:sz w:val="18"/>
                        <w:szCs w:val="18"/>
                      </w:rPr>
                    </w:pPr>
                  </w:p>
                </w:tc>
                <w:tc>
                  <w:tcPr>
                    <w:tcW w:w="508" w:type="pct"/>
                  </w:tcPr>
                  <w:p>
                    <w:pPr>
                      <w:jc w:val="right"/>
                      <w:rPr>
                        <w:sz w:val="18"/>
                        <w:szCs w:val="18"/>
                      </w:rPr>
                    </w:pPr>
                  </w:p>
                </w:tc>
                <w:tc>
                  <w:tcPr>
                    <w:tcW w:w="93" w:type="pct"/>
                  </w:tcPr>
                  <w:p>
                    <w:pPr>
                      <w:jc w:val="right"/>
                      <w:rPr>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f2b570df754e85bb72c0f63cdd3f1c"/>
                    <w:id w:val="865723929"/>
                    <w:lock w:val="sdtLocked"/>
                  </w:sdtPr>
                  <w:sdtContent>
                    <w:tc>
                      <w:tcPr>
                        <w:tcW w:w="358" w:type="pct"/>
                      </w:tcPr>
                      <w:p>
                        <w:pPr>
                          <w:rPr>
                            <w:sz w:val="18"/>
                            <w:szCs w:val="18"/>
                          </w:rPr>
                        </w:pPr>
                        <w:r>
                          <w:rPr>
                            <w:sz w:val="18"/>
                            <w:szCs w:val="18"/>
                          </w:rPr>
                          <w:t>3．盈余公积弥补亏损</w:t>
                        </w:r>
                      </w:p>
                    </w:tc>
                  </w:sdtContent>
                </w:sdt>
                <w:tc>
                  <w:tcPr>
                    <w:tcW w:w="460" w:type="pct"/>
                  </w:tcPr>
                  <w:p>
                    <w:pPr>
                      <w:jc w:val="right"/>
                      <w:rPr>
                        <w:sz w:val="18"/>
                        <w:szCs w:val="18"/>
                      </w:rPr>
                    </w:pPr>
                  </w:p>
                </w:tc>
                <w:tc>
                  <w:tcPr>
                    <w:tcW w:w="92" w:type="pct"/>
                  </w:tcPr>
                  <w:p>
                    <w:pPr>
                      <w:jc w:val="right"/>
                      <w:rPr>
                        <w:sz w:val="18"/>
                        <w:szCs w:val="18"/>
                      </w:rPr>
                    </w:pPr>
                  </w:p>
                </w:tc>
                <w:tc>
                  <w:tcPr>
                    <w:tcW w:w="92" w:type="pct"/>
                  </w:tcPr>
                  <w:p>
                    <w:pPr>
                      <w:jc w:val="right"/>
                      <w:rPr>
                        <w:sz w:val="18"/>
                        <w:szCs w:val="18"/>
                      </w:rPr>
                    </w:pPr>
                  </w:p>
                </w:tc>
                <w:tc>
                  <w:tcPr>
                    <w:tcW w:w="94" w:type="pct"/>
                  </w:tcPr>
                  <w:p>
                    <w:pPr>
                      <w:jc w:val="right"/>
                      <w:rPr>
                        <w:sz w:val="18"/>
                        <w:szCs w:val="18"/>
                      </w:rPr>
                    </w:pPr>
                  </w:p>
                </w:tc>
                <w:tc>
                  <w:tcPr>
                    <w:tcW w:w="508" w:type="pct"/>
                  </w:tcPr>
                  <w:p>
                    <w:pPr>
                      <w:jc w:val="right"/>
                      <w:rPr>
                        <w:sz w:val="18"/>
                        <w:szCs w:val="18"/>
                      </w:rPr>
                    </w:pPr>
                  </w:p>
                </w:tc>
                <w:tc>
                  <w:tcPr>
                    <w:tcW w:w="93" w:type="pct"/>
                  </w:tcPr>
                  <w:p>
                    <w:pPr>
                      <w:jc w:val="right"/>
                      <w:rPr>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tcPr>
                  <w:sdt>
                    <w:sdtPr>
                      <w:rPr>
                        <w:sz w:val="18"/>
                        <w:szCs w:val="18"/>
                      </w:rPr>
                      <w:tag w:val="_PLD_88022ba02c7c4775ba5e9f75f6b07fa4"/>
                      <w:id w:val="865723930"/>
                      <w:lock w:val="sdtLocked"/>
                    </w:sdtPr>
                    <w:sdtEndPr>
                      <w:rPr>
                        <w:sz w:val="18"/>
                        <w:szCs w:val="18"/>
                      </w:rPr>
                    </w:sdtEndPr>
                    <w:sdtContent>
                      <w:p>
                        <w:r>
                          <w:rPr>
                            <w:sz w:val="18"/>
                            <w:szCs w:val="18"/>
                          </w:rPr>
                          <w:t>4．设定受益计划变动额结转留存收益</w:t>
                        </w:r>
                      </w:p>
                    </w:sdtContent>
                  </w:sdt>
                </w:tc>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tcPr>
                  <w:sdt>
                    <w:sdtPr>
                      <w:rPr>
                        <w:sz w:val="18"/>
                        <w:szCs w:val="18"/>
                      </w:rPr>
                      <w:tag w:val="_PLD_0259028a18dd4c059a8b77a9e4fe86f9"/>
                      <w:id w:val="865723931"/>
                      <w:lock w:val="sdtLocked"/>
                    </w:sdtPr>
                    <w:sdtEndPr>
                      <w:rPr>
                        <w:sz w:val="18"/>
                        <w:szCs w:val="18"/>
                      </w:rPr>
                    </w:sdtEndPr>
                    <w:sdtContent>
                      <w:p>
                        <w:pPr>
                          <w:rPr>
                            <w:sz w:val="18"/>
                            <w:szCs w:val="18"/>
                          </w:rPr>
                        </w:pPr>
                        <w:r>
                          <w:rPr>
                            <w:sz w:val="18"/>
                            <w:szCs w:val="18"/>
                          </w:rPr>
                          <w:t>5．其他综合收益结转留存收益</w:t>
                        </w:r>
                      </w:p>
                    </w:sdtContent>
                  </w:sdt>
                </w:tc>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r>
                      <w:rPr>
                        <w:rFonts w:ascii="Times New Roman" w:hAnsi="Times New Roman" w:cs="Times New Roman"/>
                        <w:sz w:val="18"/>
                        <w:szCs w:val="18"/>
                      </w:rPr>
                      <w:t>732,000.00</w:t>
                    </w: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r>
                      <w:rPr>
                        <w:rFonts w:ascii="Times New Roman" w:hAnsi="Times New Roman" w:cs="Times New Roman"/>
                        <w:sz w:val="18"/>
                        <w:szCs w:val="18"/>
                      </w:rPr>
                      <w:t>732,000.00</w:t>
                    </w: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r>
                      <w:rPr>
                        <w:rFonts w:ascii="Times New Roman" w:hAnsi="Times New Roman" w:cs="Times New Roman"/>
                        <w:sz w:val="18"/>
                        <w:szCs w:val="18"/>
                      </w:rPr>
                      <w:t>732,000.00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44253ac18b45ceaa765e5b2f55d052"/>
                    <w:id w:val="865723932"/>
                    <w:lock w:val="sdtLocked"/>
                  </w:sdtPr>
                  <w:sdtContent>
                    <w:tc>
                      <w:tcPr>
                        <w:tcW w:w="358" w:type="pct"/>
                      </w:tcPr>
                      <w:p>
                        <w:pPr>
                          <w:rPr>
                            <w:sz w:val="18"/>
                            <w:szCs w:val="18"/>
                          </w:rPr>
                        </w:pPr>
                        <w:r>
                          <w:rPr>
                            <w:sz w:val="18"/>
                            <w:szCs w:val="18"/>
                          </w:rPr>
                          <w:t>6．其他</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bf2260615f4991a49bda77fd1fc28b"/>
                    <w:id w:val="865723933"/>
                    <w:lock w:val="sdtLocked"/>
                  </w:sdtPr>
                  <w:sdtContent>
                    <w:tc>
                      <w:tcPr>
                        <w:tcW w:w="358" w:type="pct"/>
                      </w:tcPr>
                      <w:p>
                        <w:pPr>
                          <w:rPr>
                            <w:sz w:val="18"/>
                            <w:szCs w:val="18"/>
                          </w:rPr>
                        </w:pPr>
                        <w:r>
                          <w:rPr>
                            <w:rFonts w:hint="eastAsia"/>
                            <w:sz w:val="18"/>
                            <w:szCs w:val="18"/>
                          </w:rPr>
                          <w:t>（五）专项储备</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e833fa15ec452384f3784c7a9b36fe"/>
                    <w:id w:val="865723934"/>
                    <w:lock w:val="sdtLocked"/>
                  </w:sdtPr>
                  <w:sdtContent>
                    <w:tc>
                      <w:tcPr>
                        <w:tcW w:w="358" w:type="pct"/>
                      </w:tcPr>
                      <w:p>
                        <w:pPr>
                          <w:rPr>
                            <w:sz w:val="18"/>
                            <w:szCs w:val="18"/>
                          </w:rPr>
                        </w:pPr>
                        <w:r>
                          <w:rPr>
                            <w:rFonts w:hint="eastAsia"/>
                            <w:sz w:val="18"/>
                            <w:szCs w:val="18"/>
                          </w:rPr>
                          <w:t>1．本期提取</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01fc21ab7954268be9851ddd0cf2d8a"/>
                    <w:id w:val="865723935"/>
                    <w:lock w:val="sdtLocked"/>
                  </w:sdtPr>
                  <w:sdtContent>
                    <w:tc>
                      <w:tcPr>
                        <w:tcW w:w="358" w:type="pct"/>
                      </w:tcPr>
                      <w:p>
                        <w:pPr>
                          <w:rPr>
                            <w:sz w:val="18"/>
                            <w:szCs w:val="18"/>
                          </w:rPr>
                        </w:pPr>
                        <w:r>
                          <w:rPr>
                            <w:rFonts w:hint="eastAsia"/>
                            <w:sz w:val="18"/>
                            <w:szCs w:val="18"/>
                          </w:rPr>
                          <w:t>2．本期使用</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3b1e5b489b047e98cf38f8c5f130759"/>
                    <w:id w:val="865723936"/>
                    <w:lock w:val="sdtLocked"/>
                  </w:sdtPr>
                  <w:sdtContent>
                    <w:tc>
                      <w:tcPr>
                        <w:tcW w:w="358" w:type="pct"/>
                      </w:tcPr>
                      <w:p>
                        <w:pPr>
                          <w:rPr>
                            <w:sz w:val="18"/>
                            <w:szCs w:val="18"/>
                          </w:rPr>
                        </w:pPr>
                        <w:r>
                          <w:rPr>
                            <w:rFonts w:hint="eastAsia"/>
                            <w:sz w:val="18"/>
                            <w:szCs w:val="18"/>
                          </w:rPr>
                          <w:t>（六）其他</w:t>
                        </w:r>
                      </w:p>
                    </w:tc>
                  </w:sdtContent>
                </w:sdt>
                <w:tc>
                  <w:tcPr>
                    <w:tcW w:w="460"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p>
                </w:tc>
                <w:tc>
                  <w:tcPr>
                    <w:tcW w:w="434" w:type="pct"/>
                    <w:vAlign w:val="center"/>
                  </w:tcPr>
                  <w:p>
                    <w:pPr>
                      <w:jc w:val="right"/>
                      <w:rPr>
                        <w:rFonts w:ascii="Times New Roman" w:hAnsi="Times New Roman" w:cs="Times New Roman"/>
                        <w:sz w:val="18"/>
                        <w:szCs w:val="18"/>
                      </w:rPr>
                    </w:pPr>
                  </w:p>
                </w:tc>
                <w:tc>
                  <w:tcPr>
                    <w:tcW w:w="529" w:type="pct"/>
                    <w:vAlign w:val="center"/>
                  </w:tcPr>
                  <w:p>
                    <w:pPr>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0" w:hRule="atLeast"/>
                </w:trPr>
                <w:sdt>
                  <w:sdtPr>
                    <w:tag w:val="_PLD_7355d7c321c84166a15737d2581911bf"/>
                    <w:id w:val="865723937"/>
                    <w:lock w:val="sdtLocked"/>
                  </w:sdtPr>
                  <w:sdtContent>
                    <w:tc>
                      <w:tcPr>
                        <w:tcW w:w="358" w:type="pct"/>
                      </w:tcPr>
                      <w:p>
                        <w:pPr>
                          <w:rPr>
                            <w:sz w:val="18"/>
                            <w:szCs w:val="18"/>
                          </w:rPr>
                        </w:pPr>
                        <w:r>
                          <w:rPr>
                            <w:sz w:val="18"/>
                            <w:szCs w:val="18"/>
                          </w:rPr>
                          <w:t>四、本期期末余额</w:t>
                        </w:r>
                      </w:p>
                    </w:tc>
                  </w:sdtContent>
                </w:sdt>
                <w:tc>
                  <w:tcPr>
                    <w:tcW w:w="460" w:type="pct"/>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92" w:type="pct"/>
                    <w:vAlign w:val="center"/>
                  </w:tcPr>
                  <w:p>
                    <w:pPr>
                      <w:jc w:val="right"/>
                      <w:rPr>
                        <w:rFonts w:ascii="Times New Roman" w:hAnsi="Times New Roman" w:cs="Times New Roman"/>
                        <w:sz w:val="18"/>
                        <w:szCs w:val="18"/>
                      </w:rPr>
                    </w:pPr>
                  </w:p>
                </w:tc>
                <w:tc>
                  <w:tcPr>
                    <w:tcW w:w="92" w:type="pct"/>
                    <w:vAlign w:val="center"/>
                  </w:tcPr>
                  <w:p>
                    <w:pPr>
                      <w:jc w:val="right"/>
                      <w:rPr>
                        <w:rFonts w:ascii="Times New Roman" w:hAnsi="Times New Roman" w:cs="Times New Roman"/>
                        <w:sz w:val="18"/>
                        <w:szCs w:val="18"/>
                      </w:rPr>
                    </w:pPr>
                  </w:p>
                </w:tc>
                <w:tc>
                  <w:tcPr>
                    <w:tcW w:w="94" w:type="pct"/>
                    <w:vAlign w:val="center"/>
                  </w:tcPr>
                  <w:p>
                    <w:pPr>
                      <w:jc w:val="right"/>
                      <w:rPr>
                        <w:rFonts w:ascii="Times New Roman" w:hAnsi="Times New Roman" w:cs="Times New Roman"/>
                        <w:sz w:val="18"/>
                        <w:szCs w:val="18"/>
                      </w:rPr>
                    </w:pPr>
                  </w:p>
                </w:tc>
                <w:tc>
                  <w:tcPr>
                    <w:tcW w:w="508" w:type="pct"/>
                    <w:vAlign w:val="center"/>
                  </w:tcPr>
                  <w:p>
                    <w:pPr>
                      <w:jc w:val="right"/>
                      <w:rPr>
                        <w:rFonts w:ascii="Times New Roman" w:hAnsi="Times New Roman" w:cs="Times New Roman"/>
                        <w:sz w:val="18"/>
                        <w:szCs w:val="18"/>
                      </w:rPr>
                    </w:pPr>
                    <w:r>
                      <w:rPr>
                        <w:rFonts w:ascii="Times New Roman" w:hAnsi="Times New Roman" w:cs="Times New Roman"/>
                        <w:sz w:val="18"/>
                        <w:szCs w:val="18"/>
                      </w:rPr>
                      <w:t>1,184,901,870.95</w:t>
                    </w:r>
                  </w:p>
                </w:tc>
                <w:tc>
                  <w:tcPr>
                    <w:tcW w:w="93" w:type="pct"/>
                    <w:vAlign w:val="center"/>
                  </w:tcPr>
                  <w:p>
                    <w:pPr>
                      <w:jc w:val="right"/>
                      <w:rPr>
                        <w:rFonts w:ascii="Times New Roman" w:hAnsi="Times New Roman" w:cs="Times New Roman"/>
                        <w:sz w:val="18"/>
                        <w:szCs w:val="18"/>
                      </w:rPr>
                    </w:pPr>
                  </w:p>
                </w:tc>
                <w:tc>
                  <w:tcPr>
                    <w:tcW w:w="452" w:type="pct"/>
                    <w:vAlign w:val="center"/>
                  </w:tcPr>
                  <w:p>
                    <w:pPr>
                      <w:jc w:val="right"/>
                      <w:rPr>
                        <w:rFonts w:ascii="Times New Roman" w:hAnsi="Times New Roman" w:cs="Times New Roman"/>
                        <w:sz w:val="18"/>
                        <w:szCs w:val="18"/>
                      </w:rPr>
                    </w:pPr>
                    <w:r>
                      <w:rPr>
                        <w:rFonts w:ascii="Times New Roman" w:hAnsi="Times New Roman" w:cs="Times New Roman"/>
                        <w:sz w:val="18"/>
                        <w:szCs w:val="18"/>
                      </w:rPr>
                      <w:t>-8,825,807.26</w:t>
                    </w:r>
                  </w:p>
                </w:tc>
                <w:tc>
                  <w:tcPr>
                    <w:tcW w:w="128" w:type="pct"/>
                    <w:vAlign w:val="center"/>
                  </w:tcPr>
                  <w:p>
                    <w:pPr>
                      <w:jc w:val="right"/>
                      <w:rPr>
                        <w:rFonts w:ascii="Times New Roman" w:hAnsi="Times New Roman" w:cs="Times New Roman"/>
                        <w:sz w:val="18"/>
                        <w:szCs w:val="18"/>
                      </w:rPr>
                    </w:pPr>
                  </w:p>
                </w:tc>
                <w:tc>
                  <w:tcPr>
                    <w:tcW w:w="554" w:type="pct"/>
                    <w:vAlign w:val="center"/>
                  </w:tcPr>
                  <w:p>
                    <w:pPr>
                      <w:jc w:val="right"/>
                      <w:rPr>
                        <w:rFonts w:ascii="Times New Roman" w:hAnsi="Times New Roman" w:cs="Times New Roman"/>
                        <w:sz w:val="18"/>
                        <w:szCs w:val="18"/>
                      </w:rPr>
                    </w:pPr>
                    <w:r>
                      <w:rPr>
                        <w:rFonts w:ascii="Times New Roman" w:hAnsi="Times New Roman" w:cs="Times New Roman"/>
                        <w:sz w:val="18"/>
                        <w:szCs w:val="18"/>
                      </w:rPr>
                      <w:t>245,621,848.75</w:t>
                    </w:r>
                  </w:p>
                </w:tc>
                <w:tc>
                  <w:tcPr>
                    <w:tcW w:w="97" w:type="pct"/>
                    <w:vAlign w:val="center"/>
                  </w:tcPr>
                  <w:p>
                    <w:pPr>
                      <w:jc w:val="right"/>
                      <w:rPr>
                        <w:rFonts w:ascii="Times New Roman" w:hAnsi="Times New Roman" w:cs="Times New Roman"/>
                        <w:sz w:val="18"/>
                        <w:szCs w:val="18"/>
                      </w:rPr>
                    </w:pPr>
                  </w:p>
                </w:tc>
                <w:tc>
                  <w:tcPr>
                    <w:tcW w:w="482" w:type="pct"/>
                    <w:vAlign w:val="center"/>
                  </w:tcPr>
                  <w:p>
                    <w:pPr>
                      <w:jc w:val="right"/>
                      <w:rPr>
                        <w:rFonts w:ascii="Times New Roman" w:hAnsi="Times New Roman" w:cs="Times New Roman"/>
                        <w:sz w:val="18"/>
                        <w:szCs w:val="18"/>
                      </w:rPr>
                    </w:pPr>
                    <w:r>
                      <w:rPr>
                        <w:rFonts w:ascii="Times New Roman" w:hAnsi="Times New Roman" w:cs="Times New Roman"/>
                        <w:sz w:val="18"/>
                        <w:szCs w:val="18"/>
                      </w:rPr>
                      <w:t>155,277,445.08</w:t>
                    </w:r>
                  </w:p>
                </w:tc>
                <w:tc>
                  <w:tcPr>
                    <w:tcW w:w="96" w:type="pct"/>
                    <w:vAlign w:val="center"/>
                  </w:tcPr>
                  <w:p>
                    <w:pPr>
                      <w:jc w:val="right"/>
                      <w:rPr>
                        <w:rFonts w:ascii="Times New Roman" w:hAnsi="Times New Roman" w:cs="Times New Roman"/>
                        <w:sz w:val="18"/>
                        <w:szCs w:val="18"/>
                      </w:rPr>
                    </w:pPr>
                  </w:p>
                </w:tc>
                <w:tc>
                  <w:tcPr>
                    <w:tcW w:w="531" w:type="pct"/>
                    <w:vAlign w:val="center"/>
                  </w:tcPr>
                  <w:p>
                    <w:pPr>
                      <w:jc w:val="right"/>
                      <w:rPr>
                        <w:rFonts w:ascii="Times New Roman" w:hAnsi="Times New Roman" w:cs="Times New Roman"/>
                        <w:sz w:val="18"/>
                        <w:szCs w:val="18"/>
                      </w:rPr>
                    </w:pPr>
                    <w:r>
                      <w:rPr>
                        <w:rFonts w:ascii="Times New Roman" w:hAnsi="Times New Roman" w:cs="Times New Roman"/>
                        <w:sz w:val="18"/>
                        <w:szCs w:val="18"/>
                      </w:rPr>
                      <w:t>2,126,975,357.52</w:t>
                    </w:r>
                  </w:p>
                </w:tc>
                <w:tc>
                  <w:tcPr>
                    <w:tcW w:w="434" w:type="pct"/>
                    <w:vAlign w:val="center"/>
                  </w:tcPr>
                  <w:p>
                    <w:pPr>
                      <w:jc w:val="right"/>
                      <w:rPr>
                        <w:rFonts w:ascii="Times New Roman" w:hAnsi="Times New Roman" w:cs="Times New Roman"/>
                        <w:sz w:val="18"/>
                        <w:szCs w:val="18"/>
                      </w:rPr>
                    </w:pPr>
                    <w:r>
                      <w:rPr>
                        <w:rFonts w:ascii="Times New Roman" w:hAnsi="Times New Roman" w:cs="Times New Roman"/>
                        <w:sz w:val="18"/>
                        <w:szCs w:val="18"/>
                      </w:rPr>
                      <w:t>-6,025,820.43</w:t>
                    </w:r>
                  </w:p>
                </w:tc>
                <w:tc>
                  <w:tcPr>
                    <w:tcW w:w="529" w:type="pct"/>
                    <w:vAlign w:val="center"/>
                  </w:tcPr>
                  <w:p>
                    <w:pPr>
                      <w:jc w:val="right"/>
                      <w:rPr>
                        <w:rFonts w:ascii="Times New Roman" w:hAnsi="Times New Roman" w:cs="Times New Roman"/>
                        <w:sz w:val="18"/>
                        <w:szCs w:val="18"/>
                      </w:rPr>
                    </w:pPr>
                    <w:r>
                      <w:rPr>
                        <w:rFonts w:ascii="Times New Roman" w:hAnsi="Times New Roman" w:cs="Times New Roman"/>
                        <w:sz w:val="18"/>
                        <w:szCs w:val="18"/>
                      </w:rPr>
                      <w:t>2,120,949,537.09</w:t>
                    </w:r>
                  </w:p>
                </w:tc>
              </w:tr>
            </w:tbl>
            <w:p>
              <w:pPr>
                <w:snapToGrid w:val="0"/>
                <w:spacing w:line="240" w:lineRule="atLeast"/>
                <w:rPr>
                  <w:szCs w:val="21"/>
                </w:rPr>
              </w:pPr>
            </w:p>
            <w:p>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865723938"/>
                  <w:lock w:val="sdtLocked"/>
                  <w:placeholder>
                    <w:docPart w:val="GBC22222222222222222222222222222"/>
                  </w:placeholder>
                  <w15:dataBinding w:prefixMappings="xmlns:clcid-mr='clcid-mr'" w:xpath="/*/clcid-mr:GongSiFuZeRenXingMing[not(@periodRef)]" w:storeItemID="{89EBAB94-44A0-46A2-B712-30D997D04A6D}"/>
                  <w:text/>
                </w:sdtPr>
                <w:sdtEndPr>
                  <w:rPr>
                    <w:rFonts w:hint="eastAsia"/>
                    <w:szCs w:val="21"/>
                  </w:rPr>
                </w:sdtEndPr>
                <w:sdtContent>
                  <w:r>
                    <w:rPr>
                      <w:rFonts w:hint="eastAsia"/>
                      <w:szCs w:val="21"/>
                    </w:rPr>
                    <w:t xml:space="preserve">林钻煌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865723939"/>
                  <w:lock w:val="sdtLocked"/>
                  <w:placeholder>
                    <w:docPart w:val="GBC22222222222222222222222222222"/>
                  </w:placeholder>
                  <w15:dataBinding w:prefixMappings="xmlns:clcid-mr='clcid-mr'" w:xpath="/*/clcid-mr:ZhuGuanKuaiJiGongZuoFuZeRenXingMing[not(@periodRef)]" w:storeItemID="{89EBAB94-44A0-46A2-B712-30D997D04A6D}"/>
                  <w:text/>
                </w:sdtPr>
                <w:sdtEndPr>
                  <w:rPr>
                    <w:rFonts w:hint="eastAsia"/>
                    <w:szCs w:val="21"/>
                  </w:rPr>
                </w:sdtEndPr>
                <w:sdtContent>
                  <w:r>
                    <w:rPr>
                      <w:rFonts w:hint="eastAsia"/>
                      <w:szCs w:val="21"/>
                    </w:rPr>
                    <w:t>王为民</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865723940"/>
                  <w:lock w:val="sdtLocked"/>
                  <w:placeholder>
                    <w:docPart w:val="GBC22222222222222222222222222222"/>
                  </w:placeholder>
                  <w15:dataBinding w:prefixMappings="xmlns:clcid-mr='clcid-mr'" w:xpath="/*/clcid-mr:KuaiJiJiGouFuZeRenXingMing[not(@periodRef)]" w:storeItemID="{89EBAB94-44A0-46A2-B712-30D997D04A6D}"/>
                  <w:text/>
                </w:sdtPr>
                <w:sdtEndPr>
                  <w:rPr>
                    <w:rFonts w:hint="eastAsia"/>
                    <w:szCs w:val="21"/>
                  </w:rPr>
                </w:sdtEndPr>
                <w:sdtContent>
                  <w:r>
                    <w:rPr>
                      <w:rFonts w:hint="eastAsia"/>
                      <w:szCs w:val="21"/>
                    </w:rPr>
                    <w:t xml:space="preserve">游发禄 </w:t>
                  </w:r>
                </w:sdtContent>
              </w:sdt>
            </w:p>
          </w:sdtContent>
        </w:sdt>
        <w:p>
          <w:pPr>
            <w:rPr>
              <w:szCs w:val="21"/>
            </w:rPr>
          </w:pPr>
        </w:p>
        <w:p>
          <w:pPr>
            <w:rPr>
              <w:szCs w:val="21"/>
            </w:rPr>
          </w:pPr>
        </w:p>
        <w:p>
          <w:pPr>
            <w:rPr>
              <w:szCs w:val="21"/>
            </w:rPr>
          </w:pPr>
        </w:p>
        <w:sdt>
          <w:sdtPr>
            <w:rPr>
              <w:b/>
              <w:szCs w:val="21"/>
            </w:rPr>
            <w:tag w:val="_GBC_24560eea01804b8b9d3678736eb60ca8"/>
            <w:id w:val="865724031"/>
            <w:lock w:val="sdtLocked"/>
            <w:placeholder>
              <w:docPart w:val="GBC22222222222222222222222222222"/>
            </w:placeholder>
          </w:sdtPr>
          <w:sdtEndPr>
            <w:rPr>
              <w:rFonts w:ascii="Times New Roman" w:hAnsi="Times New Roman" w:cs="Times New Roman"/>
              <w:b w:val="0"/>
              <w:szCs w:val="21"/>
            </w:rPr>
          </w:sdtEndPr>
          <w:sdtContent>
            <w:p>
              <w:pPr>
                <w:tabs>
                  <w:tab w:val="left" w:pos="10080"/>
                </w:tabs>
                <w:snapToGrid w:val="0"/>
                <w:spacing w:line="240" w:lineRule="atLeast"/>
                <w:ind w:right="25" w:rightChars="12"/>
                <w:jc w:val="center"/>
                <w:outlineLvl w:val="2"/>
                <w:rPr>
                  <w:b/>
                  <w:szCs w:val="21"/>
                </w:rPr>
              </w:pPr>
              <w:r>
                <w:rPr>
                  <w:b/>
                  <w:szCs w:val="21"/>
                </w:rPr>
                <w:t>母公司</w:t>
              </w:r>
              <w:r>
                <w:rPr>
                  <w:rFonts w:hint="eastAsia"/>
                  <w:b/>
                  <w:szCs w:val="21"/>
                </w:rPr>
                <w:t>所有者权益变动表</w:t>
              </w:r>
            </w:p>
            <w:p>
              <w:pPr>
                <w:tabs>
                  <w:tab w:val="left" w:pos="10080"/>
                </w:tabs>
                <w:snapToGrid w:val="0"/>
                <w:spacing w:line="240" w:lineRule="atLeast"/>
                <w:ind w:right="25" w:rightChars="12"/>
                <w:jc w:val="center"/>
                <w:rPr>
                  <w:rFonts w:ascii="Times New Roman" w:hAnsi="Times New Roman" w:cs="Times New Roman"/>
                  <w:b/>
                  <w:bCs/>
                  <w:szCs w:val="21"/>
                </w:rPr>
              </w:pPr>
              <w:r>
                <w:rPr>
                  <w:rFonts w:ascii="Times New Roman" w:hAnsi="Times New Roman" w:cs="Times New Roman"/>
                  <w:szCs w:val="21"/>
                </w:rPr>
                <w:t>2021</w:t>
              </w:r>
              <w:r>
                <w:rPr>
                  <w:rFonts w:ascii="Times New Roman" w:cs="Times New Roman"/>
                  <w:szCs w:val="21"/>
                </w:rPr>
                <w:t>年</w:t>
              </w:r>
              <w:r>
                <w:rPr>
                  <w:rFonts w:ascii="Times New Roman" w:hAnsi="Times New Roman" w:cs="Times New Roman"/>
                  <w:szCs w:val="21"/>
                </w:rPr>
                <w:t>1—12</w:t>
              </w:r>
              <w:r>
                <w:rPr>
                  <w:rFonts w:ascii="Times New Roman" w:cs="Times New Roman"/>
                  <w:szCs w:val="21"/>
                </w:rPr>
                <w:t>月</w:t>
              </w:r>
            </w:p>
            <w:p>
              <w:pPr>
                <w:snapToGrid w:val="0"/>
                <w:spacing w:line="240" w:lineRule="atLeast"/>
                <w:jc w:val="right"/>
                <w:rPr>
                  <w:szCs w:val="21"/>
                </w:rPr>
              </w:pPr>
              <w:r>
                <w:rPr>
                  <w:szCs w:val="21"/>
                </w:rPr>
                <w:t>单位:</w:t>
              </w:r>
              <w:sdt>
                <w:sdtPr>
                  <w:rPr>
                    <w:szCs w:val="21"/>
                  </w:rPr>
                  <w:alias w:val="单位：母公司股东权益调节表"/>
                  <w:tag w:val="_GBC_048773409e614c6bb753000b028316a5"/>
                  <w:id w:val="8657239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865723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07"/>
                <w:tblW w:w="13948" w:type="dxa"/>
                <w:tblInd w:w="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50"/>
                <w:gridCol w:w="1434"/>
                <w:gridCol w:w="694"/>
                <w:gridCol w:w="723"/>
                <w:gridCol w:w="567"/>
                <w:gridCol w:w="1673"/>
                <w:gridCol w:w="427"/>
                <w:gridCol w:w="565"/>
                <w:gridCol w:w="425"/>
                <w:gridCol w:w="1701"/>
                <w:gridCol w:w="1418"/>
                <w:gridCol w:w="1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243181199ca48faaab1b52ea7b6f562"/>
                    <w:id w:val="865723944"/>
                    <w:lock w:val="sdtLocked"/>
                  </w:sdtPr>
                  <w:sdtContent>
                    <w:tc>
                      <w:tcPr>
                        <w:tcW w:w="2450" w:type="dxa"/>
                        <w:vMerge w:val="restart"/>
                        <w:vAlign w:val="center"/>
                      </w:tcPr>
                      <w:p>
                        <w:pPr>
                          <w:adjustRightInd w:val="0"/>
                          <w:snapToGrid w:val="0"/>
                          <w:jc w:val="center"/>
                          <w:rPr>
                            <w:sz w:val="18"/>
                            <w:szCs w:val="18"/>
                          </w:rPr>
                        </w:pPr>
                        <w:r>
                          <w:rPr>
                            <w:rFonts w:hint="eastAsia"/>
                            <w:sz w:val="18"/>
                            <w:szCs w:val="18"/>
                          </w:rPr>
                          <w:t>项目</w:t>
                        </w:r>
                      </w:p>
                    </w:tc>
                  </w:sdtContent>
                </w:sdt>
                <w:tc>
                  <w:tcPr>
                    <w:tcW w:w="11498" w:type="dxa"/>
                    <w:gridSpan w:val="11"/>
                    <w:vAlign w:val="center"/>
                  </w:tcPr>
                  <w:p>
                    <w:pPr>
                      <w:adjustRightInd w:val="0"/>
                      <w:snapToGrid w:val="0"/>
                      <w:jc w:val="center"/>
                    </w:pPr>
                    <w:r>
                      <w:rPr>
                        <w:rFonts w:hint="eastAsia"/>
                      </w:rPr>
                      <w:t xml:space="preserve"> </w:t>
                    </w:r>
                    <w:sdt>
                      <w:sdtPr>
                        <w:rPr>
                          <w:rFonts w:hint="eastAsia"/>
                        </w:rPr>
                        <w:tag w:val="_PLD_53ebc36a4faa4485960520df843f0c63"/>
                        <w:id w:val="865723945"/>
                        <w:lock w:val="sdtLocked"/>
                      </w:sdtPr>
                      <w:sdtEndPr>
                        <w:rPr>
                          <w:rFonts w:hint="eastAsia"/>
                        </w:rPr>
                      </w:sdtEndPr>
                      <w:sdtContent>
                        <w:r>
                          <w:rPr>
                            <w:rFonts w:hint="eastAsia"/>
                            <w:sz w:val="18"/>
                          </w:rPr>
                          <w:t>2021年度</w:t>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450" w:type="dxa"/>
                    <w:vMerge w:val="continue"/>
                  </w:tcPr>
                  <w:p>
                    <w:pPr>
                      <w:adjustRightInd w:val="0"/>
                      <w:snapToGrid w:val="0"/>
                      <w:rPr>
                        <w:sz w:val="18"/>
                        <w:szCs w:val="18"/>
                      </w:rPr>
                    </w:pPr>
                  </w:p>
                </w:tc>
                <w:sdt>
                  <w:sdtPr>
                    <w:tag w:val="_PLD_d42b0ce5c44e4777bd36491652f20dd8"/>
                    <w:id w:val="865723946"/>
                    <w:lock w:val="sdtLocked"/>
                  </w:sdtPr>
                  <w:sdtContent>
                    <w:tc>
                      <w:tcPr>
                        <w:tcW w:w="1434" w:type="dxa"/>
                        <w:vMerge w:val="restart"/>
                        <w:tcBorders>
                          <w:right w:val="single" w:color="auto" w:sz="4" w:space="0"/>
                        </w:tcBorders>
                        <w:vAlign w:val="center"/>
                      </w:tcPr>
                      <w:p>
                        <w:pPr>
                          <w:adjustRightInd w:val="0"/>
                          <w:snapToGrid w:val="0"/>
                          <w:jc w:val="center"/>
                          <w:rPr>
                            <w:sz w:val="18"/>
                            <w:szCs w:val="18"/>
                          </w:rPr>
                        </w:pPr>
                        <w:r>
                          <w:rPr>
                            <w:sz w:val="18"/>
                            <w:szCs w:val="18"/>
                          </w:rPr>
                          <w:t>实收资本 (或股本)</w:t>
                        </w:r>
                      </w:p>
                    </w:tc>
                  </w:sdtContent>
                </w:sdt>
                <w:sdt>
                  <w:sdtPr>
                    <w:tag w:val="_PLD_2b96b9233b354a859329aa59fac6fc9e"/>
                    <w:id w:val="865723947"/>
                    <w:lock w:val="sdtLocked"/>
                  </w:sdtPr>
                  <w:sdtContent>
                    <w:tc>
                      <w:tcPr>
                        <w:tcW w:w="1984" w:type="dxa"/>
                        <w:gridSpan w:val="3"/>
                        <w:tcBorders>
                          <w:left w:val="single" w:color="auto" w:sz="4" w:space="0"/>
                          <w:bottom w:val="single" w:color="auto" w:sz="4" w:space="0"/>
                        </w:tcBorders>
                        <w:vAlign w:val="center"/>
                      </w:tcPr>
                      <w:p>
                        <w:pPr>
                          <w:adjustRightInd w:val="0"/>
                          <w:snapToGrid w:val="0"/>
                          <w:jc w:val="center"/>
                          <w:rPr>
                            <w:sz w:val="18"/>
                            <w:szCs w:val="18"/>
                          </w:rPr>
                        </w:pPr>
                        <w:r>
                          <w:rPr>
                            <w:rFonts w:hint="eastAsia"/>
                            <w:sz w:val="18"/>
                            <w:szCs w:val="18"/>
                          </w:rPr>
                          <w:t>其他权益工具</w:t>
                        </w:r>
                      </w:p>
                    </w:tc>
                  </w:sdtContent>
                </w:sdt>
                <w:sdt>
                  <w:sdtPr>
                    <w:tag w:val="_PLD_dafb11707213467d9f285bde7429767a"/>
                    <w:id w:val="865723948"/>
                    <w:lock w:val="sdtLocked"/>
                  </w:sdtPr>
                  <w:sdtContent>
                    <w:tc>
                      <w:tcPr>
                        <w:tcW w:w="1673" w:type="dxa"/>
                        <w:vMerge w:val="restart"/>
                        <w:vAlign w:val="center"/>
                      </w:tcPr>
                      <w:p>
                        <w:pPr>
                          <w:adjustRightInd w:val="0"/>
                          <w:snapToGrid w:val="0"/>
                          <w:jc w:val="center"/>
                          <w:rPr>
                            <w:sz w:val="18"/>
                            <w:szCs w:val="18"/>
                          </w:rPr>
                        </w:pPr>
                        <w:r>
                          <w:rPr>
                            <w:sz w:val="18"/>
                            <w:szCs w:val="18"/>
                          </w:rPr>
                          <w:t>资本公积</w:t>
                        </w:r>
                      </w:p>
                    </w:tc>
                  </w:sdtContent>
                </w:sdt>
                <w:sdt>
                  <w:sdtPr>
                    <w:tag w:val="_PLD_2fb702eaa01c41839715d0f477a28608"/>
                    <w:id w:val="865723949"/>
                    <w:lock w:val="sdtLocked"/>
                  </w:sdtPr>
                  <w:sdtContent>
                    <w:tc>
                      <w:tcPr>
                        <w:tcW w:w="427" w:type="dxa"/>
                        <w:vMerge w:val="restart"/>
                        <w:vAlign w:val="center"/>
                      </w:tcPr>
                      <w:p>
                        <w:pPr>
                          <w:adjustRightInd w:val="0"/>
                          <w:snapToGrid w:val="0"/>
                          <w:jc w:val="center"/>
                          <w:rPr>
                            <w:sz w:val="18"/>
                            <w:szCs w:val="18"/>
                          </w:rPr>
                        </w:pPr>
                        <w:r>
                          <w:rPr>
                            <w:sz w:val="18"/>
                            <w:szCs w:val="18"/>
                          </w:rPr>
                          <w:t>减：库存股</w:t>
                        </w:r>
                      </w:p>
                    </w:tc>
                  </w:sdtContent>
                </w:sdt>
                <w:sdt>
                  <w:sdtPr>
                    <w:tag w:val="_PLD_01fd07c61bdc4289ad848770e21829f0"/>
                    <w:id w:val="865723950"/>
                    <w:lock w:val="sdtLocked"/>
                  </w:sdtPr>
                  <w:sdtContent>
                    <w:tc>
                      <w:tcPr>
                        <w:tcW w:w="565" w:type="dxa"/>
                        <w:vMerge w:val="restart"/>
                        <w:vAlign w:val="center"/>
                      </w:tcPr>
                      <w:p>
                        <w:pPr>
                          <w:jc w:val="center"/>
                          <w:rPr>
                            <w:sz w:val="18"/>
                            <w:szCs w:val="18"/>
                          </w:rPr>
                        </w:pPr>
                        <w:r>
                          <w:rPr>
                            <w:rFonts w:hint="eastAsia"/>
                            <w:sz w:val="18"/>
                            <w:szCs w:val="18"/>
                          </w:rPr>
                          <w:t>其他综合收益</w:t>
                        </w:r>
                      </w:p>
                    </w:tc>
                  </w:sdtContent>
                </w:sdt>
                <w:sdt>
                  <w:sdtPr>
                    <w:tag w:val="_PLD_90a7206226784441ae3a059bd6e2aeb9"/>
                    <w:id w:val="865723951"/>
                    <w:lock w:val="sdtLocked"/>
                  </w:sdtPr>
                  <w:sdtContent>
                    <w:tc>
                      <w:tcPr>
                        <w:tcW w:w="425" w:type="dxa"/>
                        <w:vMerge w:val="restart"/>
                        <w:vAlign w:val="center"/>
                      </w:tcPr>
                      <w:p>
                        <w:pPr>
                          <w:adjustRightInd w:val="0"/>
                          <w:snapToGrid w:val="0"/>
                          <w:jc w:val="center"/>
                          <w:rPr>
                            <w:sz w:val="18"/>
                            <w:szCs w:val="18"/>
                          </w:rPr>
                        </w:pPr>
                        <w:r>
                          <w:rPr>
                            <w:rFonts w:hint="eastAsia"/>
                            <w:sz w:val="18"/>
                            <w:szCs w:val="18"/>
                          </w:rPr>
                          <w:t>专项储备</w:t>
                        </w:r>
                      </w:p>
                    </w:tc>
                  </w:sdtContent>
                </w:sdt>
                <w:sdt>
                  <w:sdtPr>
                    <w:tag w:val="_PLD_e9a70df1813948df997635772bea7de3"/>
                    <w:id w:val="865723952"/>
                    <w:lock w:val="sdtLocked"/>
                  </w:sdtPr>
                  <w:sdtContent>
                    <w:tc>
                      <w:tcPr>
                        <w:tcW w:w="1701" w:type="dxa"/>
                        <w:vMerge w:val="restart"/>
                        <w:vAlign w:val="center"/>
                      </w:tcPr>
                      <w:p>
                        <w:pPr>
                          <w:adjustRightInd w:val="0"/>
                          <w:snapToGrid w:val="0"/>
                          <w:jc w:val="center"/>
                          <w:rPr>
                            <w:sz w:val="18"/>
                            <w:szCs w:val="18"/>
                          </w:rPr>
                        </w:pPr>
                        <w:r>
                          <w:rPr>
                            <w:sz w:val="18"/>
                            <w:szCs w:val="18"/>
                          </w:rPr>
                          <w:t>盈余公积</w:t>
                        </w:r>
                      </w:p>
                    </w:tc>
                  </w:sdtContent>
                </w:sdt>
                <w:sdt>
                  <w:sdtPr>
                    <w:tag w:val="_PLD_9b2be5c2b4a3447c85cf695b1da440fa"/>
                    <w:id w:val="865723953"/>
                    <w:lock w:val="sdtLocked"/>
                  </w:sdtPr>
                  <w:sdtContent>
                    <w:tc>
                      <w:tcPr>
                        <w:tcW w:w="1418" w:type="dxa"/>
                        <w:vMerge w:val="restart"/>
                        <w:vAlign w:val="center"/>
                      </w:tcPr>
                      <w:p>
                        <w:pPr>
                          <w:adjustRightInd w:val="0"/>
                          <w:snapToGrid w:val="0"/>
                          <w:jc w:val="center"/>
                          <w:rPr>
                            <w:sz w:val="18"/>
                            <w:szCs w:val="18"/>
                          </w:rPr>
                        </w:pPr>
                        <w:r>
                          <w:rPr>
                            <w:sz w:val="18"/>
                            <w:szCs w:val="18"/>
                          </w:rPr>
                          <w:t>未分配利润</w:t>
                        </w:r>
                      </w:p>
                    </w:tc>
                  </w:sdtContent>
                </w:sdt>
                <w:sdt>
                  <w:sdtPr>
                    <w:tag w:val="_PLD_61dd0378fbe645dfb87cfecfbc846206"/>
                    <w:id w:val="865723954"/>
                    <w:lock w:val="sdtLocked"/>
                  </w:sdtPr>
                  <w:sdtContent>
                    <w:tc>
                      <w:tcPr>
                        <w:tcW w:w="1871" w:type="dxa"/>
                        <w:vMerge w:val="restart"/>
                        <w:vAlign w:val="center"/>
                      </w:tcPr>
                      <w:p>
                        <w:pPr>
                          <w:adjustRightInd w:val="0"/>
                          <w:snapToGrid w:val="0"/>
                          <w:jc w:val="center"/>
                          <w:rPr>
                            <w:sz w:val="18"/>
                            <w:szCs w:val="18"/>
                          </w:rPr>
                        </w:pPr>
                        <w:r>
                          <w:rPr>
                            <w:sz w:val="18"/>
                            <w:szCs w:val="18"/>
                          </w:rPr>
                          <w:t>所有者权益合计</w:t>
                        </w:r>
                      </w:p>
                    </w:tc>
                  </w:sdtContent>
                </w:sdt>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2450" w:type="dxa"/>
                    <w:vMerge w:val="continue"/>
                  </w:tcPr>
                  <w:p>
                    <w:pPr>
                      <w:adjustRightInd w:val="0"/>
                      <w:snapToGrid w:val="0"/>
                      <w:rPr>
                        <w:sz w:val="18"/>
                        <w:szCs w:val="18"/>
                      </w:rPr>
                    </w:pPr>
                  </w:p>
                </w:tc>
                <w:tc>
                  <w:tcPr>
                    <w:tcW w:w="1434" w:type="dxa"/>
                    <w:vMerge w:val="continue"/>
                    <w:tcBorders>
                      <w:right w:val="single" w:color="auto" w:sz="4" w:space="0"/>
                    </w:tcBorders>
                    <w:vAlign w:val="center"/>
                  </w:tcPr>
                  <w:p>
                    <w:pPr>
                      <w:adjustRightInd w:val="0"/>
                      <w:snapToGrid w:val="0"/>
                      <w:jc w:val="center"/>
                      <w:rPr>
                        <w:sz w:val="18"/>
                        <w:szCs w:val="18"/>
                      </w:rPr>
                    </w:pPr>
                  </w:p>
                </w:tc>
                <w:sdt>
                  <w:sdtPr>
                    <w:tag w:val="_PLD_506dd395f17d4bea92c50a0850471ea4"/>
                    <w:id w:val="865723955"/>
                    <w:lock w:val="sdtLocked"/>
                  </w:sdtPr>
                  <w:sdtContent>
                    <w:tc>
                      <w:tcPr>
                        <w:tcW w:w="694"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优先股</w:t>
                        </w:r>
                      </w:p>
                    </w:tc>
                  </w:sdtContent>
                </w:sdt>
                <w:sdt>
                  <w:sdtPr>
                    <w:tag w:val="_PLD_d66ebd59f659426db31ba0d488ae47d0"/>
                    <w:id w:val="865723956"/>
                    <w:lock w:val="sdtLocked"/>
                  </w:sdtPr>
                  <w:sdtContent>
                    <w:tc>
                      <w:tcPr>
                        <w:tcW w:w="723"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永续债</w:t>
                        </w:r>
                      </w:p>
                    </w:tc>
                  </w:sdtContent>
                </w:sdt>
                <w:sdt>
                  <w:sdtPr>
                    <w:tag w:val="_PLD_997e05d9124249eeb1a10ac094efcb41"/>
                    <w:id w:val="865723957"/>
                    <w:lock w:val="sdtLocked"/>
                  </w:sdtPr>
                  <w:sdtContent>
                    <w:tc>
                      <w:tcPr>
                        <w:tcW w:w="567" w:type="dxa"/>
                        <w:tcBorders>
                          <w:top w:val="single" w:color="auto" w:sz="4" w:space="0"/>
                          <w:left w:val="single" w:color="auto" w:sz="4" w:space="0"/>
                        </w:tcBorders>
                        <w:vAlign w:val="center"/>
                      </w:tcPr>
                      <w:p>
                        <w:pPr>
                          <w:adjustRightInd w:val="0"/>
                          <w:snapToGrid w:val="0"/>
                          <w:jc w:val="center"/>
                          <w:rPr>
                            <w:sz w:val="18"/>
                            <w:szCs w:val="18"/>
                          </w:rPr>
                        </w:pPr>
                        <w:r>
                          <w:rPr>
                            <w:rFonts w:hint="eastAsia"/>
                            <w:sz w:val="18"/>
                            <w:szCs w:val="18"/>
                          </w:rPr>
                          <w:t>其他</w:t>
                        </w:r>
                      </w:p>
                    </w:tc>
                  </w:sdtContent>
                </w:sdt>
                <w:tc>
                  <w:tcPr>
                    <w:tcW w:w="1673" w:type="dxa"/>
                    <w:vMerge w:val="continue"/>
                  </w:tcPr>
                  <w:p>
                    <w:pPr>
                      <w:adjustRightInd w:val="0"/>
                      <w:snapToGrid w:val="0"/>
                      <w:jc w:val="center"/>
                      <w:rPr>
                        <w:sz w:val="18"/>
                        <w:szCs w:val="18"/>
                      </w:rPr>
                    </w:pPr>
                  </w:p>
                </w:tc>
                <w:tc>
                  <w:tcPr>
                    <w:tcW w:w="427" w:type="dxa"/>
                    <w:vMerge w:val="continue"/>
                  </w:tcPr>
                  <w:p>
                    <w:pPr>
                      <w:adjustRightInd w:val="0"/>
                      <w:snapToGrid w:val="0"/>
                      <w:jc w:val="center"/>
                      <w:rPr>
                        <w:sz w:val="18"/>
                        <w:szCs w:val="18"/>
                      </w:rPr>
                    </w:pPr>
                  </w:p>
                </w:tc>
                <w:tc>
                  <w:tcPr>
                    <w:tcW w:w="565" w:type="dxa"/>
                    <w:vMerge w:val="continue"/>
                  </w:tcPr>
                  <w:p>
                    <w:pPr>
                      <w:jc w:val="center"/>
                      <w:rPr>
                        <w:sz w:val="18"/>
                        <w:szCs w:val="18"/>
                      </w:rPr>
                    </w:pPr>
                  </w:p>
                </w:tc>
                <w:tc>
                  <w:tcPr>
                    <w:tcW w:w="425" w:type="dxa"/>
                    <w:vMerge w:val="continue"/>
                  </w:tcPr>
                  <w:p>
                    <w:pPr>
                      <w:adjustRightInd w:val="0"/>
                      <w:snapToGrid w:val="0"/>
                      <w:jc w:val="center"/>
                      <w:rPr>
                        <w:sz w:val="18"/>
                        <w:szCs w:val="18"/>
                      </w:rPr>
                    </w:pPr>
                  </w:p>
                </w:tc>
                <w:tc>
                  <w:tcPr>
                    <w:tcW w:w="1701" w:type="dxa"/>
                    <w:vMerge w:val="continue"/>
                  </w:tcPr>
                  <w:p>
                    <w:pPr>
                      <w:adjustRightInd w:val="0"/>
                      <w:snapToGrid w:val="0"/>
                      <w:jc w:val="center"/>
                      <w:rPr>
                        <w:sz w:val="18"/>
                        <w:szCs w:val="18"/>
                      </w:rPr>
                    </w:pPr>
                  </w:p>
                </w:tc>
                <w:tc>
                  <w:tcPr>
                    <w:tcW w:w="1418" w:type="dxa"/>
                    <w:vMerge w:val="continue"/>
                  </w:tcPr>
                  <w:p>
                    <w:pPr>
                      <w:adjustRightInd w:val="0"/>
                      <w:snapToGrid w:val="0"/>
                      <w:jc w:val="center"/>
                      <w:rPr>
                        <w:sz w:val="18"/>
                        <w:szCs w:val="18"/>
                      </w:rPr>
                    </w:pPr>
                  </w:p>
                </w:tc>
                <w:tc>
                  <w:tcPr>
                    <w:tcW w:w="1871" w:type="dxa"/>
                    <w:vMerge w:val="continue"/>
                  </w:tcPr>
                  <w:p>
                    <w:pPr>
                      <w:adjustRightInd w:val="0"/>
                      <w:snapToGrid w:val="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08f8c5f19f2b42f7ae650f62c6878570"/>
                    <w:id w:val="865723958"/>
                    <w:lock w:val="sdtLocked"/>
                  </w:sdtPr>
                  <w:sdtContent>
                    <w:tc>
                      <w:tcPr>
                        <w:tcW w:w="2450" w:type="dxa"/>
                      </w:tcPr>
                      <w:p>
                        <w:pPr>
                          <w:rPr>
                            <w:sz w:val="18"/>
                            <w:szCs w:val="18"/>
                          </w:rPr>
                        </w:pPr>
                        <w:r>
                          <w:rPr>
                            <w:sz w:val="18"/>
                            <w:szCs w:val="18"/>
                          </w:rPr>
                          <w:t>一、上年</w:t>
                        </w:r>
                        <w:r>
                          <w:rPr>
                            <w:rFonts w:hint="eastAsia"/>
                            <w:sz w:val="18"/>
                            <w:szCs w:val="18"/>
                          </w:rPr>
                          <w:t>年</w:t>
                        </w:r>
                        <w:r>
                          <w:rPr>
                            <w:sz w:val="18"/>
                            <w:szCs w:val="18"/>
                          </w:rPr>
                          <w:t>末余额</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694"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1673" w:type="dxa"/>
                    <w:tcBorders>
                      <w:lef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579,271,389.07</w:t>
                    </w:r>
                  </w:p>
                </w:tc>
                <w:tc>
                  <w:tcPr>
                    <w:tcW w:w="427" w:type="dxa"/>
                    <w:vAlign w:val="center"/>
                  </w:tcPr>
                  <w:p>
                    <w:pPr>
                      <w:jc w:val="right"/>
                      <w:rPr>
                        <w:rFonts w:ascii="Times New Roman" w:hAnsi="Times New Roman" w:cs="Times New Roman"/>
                        <w:sz w:val="18"/>
                        <w:szCs w:val="18"/>
                      </w:rPr>
                    </w:pPr>
                  </w:p>
                </w:tc>
                <w:tc>
                  <w:tcPr>
                    <w:tcW w:w="565" w:type="dxa"/>
                    <w:vAlign w:val="center"/>
                  </w:tcPr>
                  <w:p>
                    <w:pPr>
                      <w:jc w:val="right"/>
                      <w:rPr>
                        <w:rFonts w:ascii="Times New Roman" w:hAnsi="Times New Roman" w:cs="Times New Roman"/>
                        <w:sz w:val="18"/>
                        <w:szCs w:val="18"/>
                      </w:rPr>
                    </w:pPr>
                  </w:p>
                </w:tc>
                <w:tc>
                  <w:tcPr>
                    <w:tcW w:w="425"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r>
                      <w:rPr>
                        <w:rFonts w:ascii="Times New Roman" w:hAnsi="Times New Roman" w:cs="Times New Roman"/>
                        <w:sz w:val="18"/>
                        <w:szCs w:val="18"/>
                      </w:rPr>
                      <w:t>217,325,819.43</w:t>
                    </w:r>
                  </w:p>
                </w:tc>
                <w:tc>
                  <w:tcPr>
                    <w:tcW w:w="1418" w:type="dxa"/>
                    <w:vAlign w:val="center"/>
                  </w:tcPr>
                  <w:p>
                    <w:pPr>
                      <w:jc w:val="right"/>
                      <w:rPr>
                        <w:rFonts w:ascii="Times New Roman" w:hAnsi="Times New Roman" w:cs="Times New Roman"/>
                        <w:sz w:val="18"/>
                        <w:szCs w:val="18"/>
                      </w:rPr>
                    </w:pPr>
                    <w:r>
                      <w:rPr>
                        <w:rFonts w:ascii="Times New Roman" w:hAnsi="Times New Roman" w:cs="Times New Roman"/>
                        <w:sz w:val="18"/>
                        <w:szCs w:val="18"/>
                      </w:rPr>
                      <w:t>695,706,936.52</w:t>
                    </w:r>
                  </w:p>
                </w:tc>
                <w:tc>
                  <w:tcPr>
                    <w:tcW w:w="1871" w:type="dxa"/>
                    <w:vAlign w:val="center"/>
                  </w:tcPr>
                  <w:p>
                    <w:pPr>
                      <w:jc w:val="right"/>
                      <w:rPr>
                        <w:rFonts w:ascii="Times New Roman" w:hAnsi="Times New Roman" w:cs="Times New Roman"/>
                        <w:sz w:val="18"/>
                        <w:szCs w:val="18"/>
                      </w:rPr>
                    </w:pPr>
                    <w:r>
                      <w:rPr>
                        <w:rFonts w:ascii="Times New Roman" w:hAnsi="Times New Roman" w:cs="Times New Roman"/>
                        <w:sz w:val="18"/>
                        <w:szCs w:val="18"/>
                      </w:rPr>
                      <w:t>2,042,304,145.02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977aa291b254801929edbd8e09eff6f"/>
                    <w:id w:val="865723959"/>
                    <w:lock w:val="sdtLocked"/>
                  </w:sdtPr>
                  <w:sdtContent>
                    <w:tc>
                      <w:tcPr>
                        <w:tcW w:w="2450" w:type="dxa"/>
                      </w:tcPr>
                      <w:p>
                        <w:pPr>
                          <w:rPr>
                            <w:sz w:val="18"/>
                            <w:szCs w:val="18"/>
                          </w:rPr>
                        </w:pPr>
                        <w:r>
                          <w:rPr>
                            <w:sz w:val="18"/>
                            <w:szCs w:val="18"/>
                          </w:rPr>
                          <w:t>加：会计政策变更</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1673" w:type="dxa"/>
                    <w:tcBorders>
                      <w:left w:val="single" w:color="auto" w:sz="4" w:space="0"/>
                    </w:tcBorders>
                    <w:vAlign w:val="center"/>
                  </w:tcPr>
                  <w:p>
                    <w:pPr>
                      <w:jc w:val="right"/>
                      <w:rPr>
                        <w:rFonts w:ascii="Times New Roman" w:hAnsi="Times New Roman" w:cs="Times New Roman"/>
                        <w:sz w:val="18"/>
                        <w:szCs w:val="18"/>
                      </w:rPr>
                    </w:pPr>
                  </w:p>
                </w:tc>
                <w:tc>
                  <w:tcPr>
                    <w:tcW w:w="427" w:type="dxa"/>
                    <w:vAlign w:val="center"/>
                  </w:tcPr>
                  <w:p>
                    <w:pPr>
                      <w:jc w:val="right"/>
                      <w:rPr>
                        <w:rFonts w:ascii="Times New Roman" w:hAnsi="Times New Roman" w:cs="Times New Roman"/>
                        <w:sz w:val="18"/>
                        <w:szCs w:val="18"/>
                      </w:rPr>
                    </w:pPr>
                  </w:p>
                </w:tc>
                <w:tc>
                  <w:tcPr>
                    <w:tcW w:w="565" w:type="dxa"/>
                    <w:vAlign w:val="center"/>
                  </w:tcPr>
                  <w:p>
                    <w:pPr>
                      <w:jc w:val="right"/>
                      <w:rPr>
                        <w:rFonts w:ascii="Times New Roman" w:hAnsi="Times New Roman" w:cs="Times New Roman"/>
                        <w:sz w:val="18"/>
                        <w:szCs w:val="18"/>
                      </w:rPr>
                    </w:pPr>
                  </w:p>
                </w:tc>
                <w:tc>
                  <w:tcPr>
                    <w:tcW w:w="425"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8" w:type="dxa"/>
                    <w:vAlign w:val="center"/>
                  </w:tcPr>
                  <w:p>
                    <w:pPr>
                      <w:jc w:val="right"/>
                      <w:rPr>
                        <w:rFonts w:ascii="Times New Roman" w:hAnsi="Times New Roman" w:cs="Times New Roman"/>
                        <w:sz w:val="18"/>
                        <w:szCs w:val="18"/>
                      </w:rPr>
                    </w:pPr>
                  </w:p>
                </w:tc>
                <w:tc>
                  <w:tcPr>
                    <w:tcW w:w="1871" w:type="dxa"/>
                    <w:vAlign w:val="center"/>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dcd3d26f66745c0b48a5fac832ef867"/>
                    <w:id w:val="865723960"/>
                    <w:lock w:val="sdtLocked"/>
                  </w:sdtPr>
                  <w:sdtContent>
                    <w:tc>
                      <w:tcPr>
                        <w:tcW w:w="2450" w:type="dxa"/>
                      </w:tcPr>
                      <w:p>
                        <w:pPr>
                          <w:ind w:firstLine="420" w:firstLineChars="200"/>
                          <w:rPr>
                            <w:sz w:val="18"/>
                            <w:szCs w:val="18"/>
                          </w:rPr>
                        </w:pPr>
                        <w:r>
                          <w:rPr>
                            <w:sz w:val="18"/>
                            <w:szCs w:val="18"/>
                          </w:rPr>
                          <w:t>前期差错更正</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1673" w:type="dxa"/>
                    <w:tcBorders>
                      <w:left w:val="single" w:color="auto" w:sz="4" w:space="0"/>
                    </w:tcBorders>
                    <w:vAlign w:val="center"/>
                  </w:tcPr>
                  <w:p>
                    <w:pPr>
                      <w:jc w:val="right"/>
                      <w:rPr>
                        <w:rFonts w:ascii="Times New Roman" w:hAnsi="Times New Roman" w:cs="Times New Roman"/>
                        <w:sz w:val="18"/>
                        <w:szCs w:val="18"/>
                      </w:rPr>
                    </w:pPr>
                  </w:p>
                </w:tc>
                <w:tc>
                  <w:tcPr>
                    <w:tcW w:w="427" w:type="dxa"/>
                    <w:vAlign w:val="center"/>
                  </w:tcPr>
                  <w:p>
                    <w:pPr>
                      <w:jc w:val="right"/>
                      <w:rPr>
                        <w:rFonts w:ascii="Times New Roman" w:hAnsi="Times New Roman" w:cs="Times New Roman"/>
                        <w:sz w:val="18"/>
                        <w:szCs w:val="18"/>
                      </w:rPr>
                    </w:pPr>
                  </w:p>
                </w:tc>
                <w:tc>
                  <w:tcPr>
                    <w:tcW w:w="565" w:type="dxa"/>
                    <w:vAlign w:val="center"/>
                  </w:tcPr>
                  <w:p>
                    <w:pPr>
                      <w:jc w:val="right"/>
                      <w:rPr>
                        <w:rFonts w:ascii="Times New Roman" w:hAnsi="Times New Roman" w:cs="Times New Roman"/>
                        <w:sz w:val="18"/>
                        <w:szCs w:val="18"/>
                      </w:rPr>
                    </w:pPr>
                  </w:p>
                </w:tc>
                <w:tc>
                  <w:tcPr>
                    <w:tcW w:w="425"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8" w:type="dxa"/>
                    <w:vAlign w:val="center"/>
                  </w:tcPr>
                  <w:p>
                    <w:pPr>
                      <w:jc w:val="right"/>
                      <w:rPr>
                        <w:rFonts w:ascii="Times New Roman" w:hAnsi="Times New Roman" w:cs="Times New Roman"/>
                        <w:sz w:val="18"/>
                        <w:szCs w:val="18"/>
                      </w:rPr>
                    </w:pPr>
                  </w:p>
                </w:tc>
                <w:tc>
                  <w:tcPr>
                    <w:tcW w:w="1871" w:type="dxa"/>
                    <w:vAlign w:val="center"/>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e1d4d884e6e401b8c40d08e9d6c5d32"/>
                    <w:id w:val="865723961"/>
                    <w:lock w:val="sdtLocked"/>
                  </w:sdtPr>
                  <w:sdtContent>
                    <w:tc>
                      <w:tcPr>
                        <w:tcW w:w="2450" w:type="dxa"/>
                      </w:tcPr>
                      <w:p>
                        <w:pPr>
                          <w:ind w:firstLine="420" w:firstLineChars="200"/>
                          <w:rPr>
                            <w:sz w:val="18"/>
                            <w:szCs w:val="18"/>
                          </w:rPr>
                        </w:pPr>
                        <w:r>
                          <w:rPr>
                            <w:rFonts w:hint="eastAsia"/>
                            <w:sz w:val="18"/>
                            <w:szCs w:val="18"/>
                          </w:rPr>
                          <w:t>其他</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1673" w:type="dxa"/>
                    <w:tcBorders>
                      <w:left w:val="single" w:color="auto" w:sz="4" w:space="0"/>
                    </w:tcBorders>
                    <w:vAlign w:val="center"/>
                  </w:tcPr>
                  <w:p>
                    <w:pPr>
                      <w:jc w:val="right"/>
                      <w:rPr>
                        <w:rFonts w:ascii="Times New Roman" w:hAnsi="Times New Roman" w:cs="Times New Roman"/>
                        <w:sz w:val="18"/>
                        <w:szCs w:val="18"/>
                      </w:rPr>
                    </w:pPr>
                  </w:p>
                </w:tc>
                <w:tc>
                  <w:tcPr>
                    <w:tcW w:w="427" w:type="dxa"/>
                    <w:vAlign w:val="center"/>
                  </w:tcPr>
                  <w:p>
                    <w:pPr>
                      <w:jc w:val="right"/>
                      <w:rPr>
                        <w:rFonts w:ascii="Times New Roman" w:hAnsi="Times New Roman" w:cs="Times New Roman"/>
                        <w:sz w:val="18"/>
                        <w:szCs w:val="18"/>
                      </w:rPr>
                    </w:pPr>
                  </w:p>
                </w:tc>
                <w:tc>
                  <w:tcPr>
                    <w:tcW w:w="565" w:type="dxa"/>
                    <w:vAlign w:val="center"/>
                  </w:tcPr>
                  <w:p>
                    <w:pPr>
                      <w:jc w:val="right"/>
                      <w:rPr>
                        <w:rFonts w:ascii="Times New Roman" w:hAnsi="Times New Roman" w:cs="Times New Roman"/>
                        <w:sz w:val="18"/>
                        <w:szCs w:val="18"/>
                      </w:rPr>
                    </w:pPr>
                  </w:p>
                </w:tc>
                <w:tc>
                  <w:tcPr>
                    <w:tcW w:w="425"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8" w:type="dxa"/>
                    <w:vAlign w:val="center"/>
                  </w:tcPr>
                  <w:p>
                    <w:pPr>
                      <w:jc w:val="right"/>
                      <w:rPr>
                        <w:rFonts w:ascii="Times New Roman" w:hAnsi="Times New Roman" w:cs="Times New Roman"/>
                        <w:sz w:val="18"/>
                        <w:szCs w:val="18"/>
                      </w:rPr>
                    </w:pPr>
                  </w:p>
                </w:tc>
                <w:tc>
                  <w:tcPr>
                    <w:tcW w:w="1871" w:type="dxa"/>
                    <w:vAlign w:val="center"/>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abc6effbbaad4f92a93b112da199425f"/>
                    <w:id w:val="865723962"/>
                    <w:lock w:val="sdtLocked"/>
                  </w:sdtPr>
                  <w:sdtContent>
                    <w:tc>
                      <w:tcPr>
                        <w:tcW w:w="2450" w:type="dxa"/>
                      </w:tcPr>
                      <w:p>
                        <w:pPr>
                          <w:rPr>
                            <w:sz w:val="18"/>
                            <w:szCs w:val="18"/>
                          </w:rPr>
                        </w:pPr>
                        <w:r>
                          <w:rPr>
                            <w:sz w:val="18"/>
                            <w:szCs w:val="18"/>
                          </w:rPr>
                          <w:t>二、本年</w:t>
                        </w:r>
                        <w:r>
                          <w:rPr>
                            <w:rFonts w:hint="eastAsia"/>
                            <w:sz w:val="18"/>
                            <w:szCs w:val="18"/>
                          </w:rPr>
                          <w:t>期</w:t>
                        </w:r>
                        <w:r>
                          <w:rPr>
                            <w:sz w:val="18"/>
                            <w:szCs w:val="18"/>
                          </w:rPr>
                          <w:t>初余额</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694"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1673" w:type="dxa"/>
                    <w:tcBorders>
                      <w:lef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579,271,389.07</w:t>
                    </w:r>
                  </w:p>
                </w:tc>
                <w:tc>
                  <w:tcPr>
                    <w:tcW w:w="427" w:type="dxa"/>
                    <w:vAlign w:val="center"/>
                  </w:tcPr>
                  <w:p>
                    <w:pPr>
                      <w:jc w:val="right"/>
                      <w:rPr>
                        <w:rFonts w:ascii="Times New Roman" w:hAnsi="Times New Roman" w:cs="Times New Roman"/>
                        <w:sz w:val="18"/>
                        <w:szCs w:val="18"/>
                      </w:rPr>
                    </w:pPr>
                  </w:p>
                </w:tc>
                <w:tc>
                  <w:tcPr>
                    <w:tcW w:w="565" w:type="dxa"/>
                    <w:vAlign w:val="center"/>
                  </w:tcPr>
                  <w:p>
                    <w:pPr>
                      <w:jc w:val="right"/>
                      <w:rPr>
                        <w:rFonts w:ascii="Times New Roman" w:hAnsi="Times New Roman" w:cs="Times New Roman"/>
                        <w:sz w:val="18"/>
                        <w:szCs w:val="18"/>
                      </w:rPr>
                    </w:pPr>
                  </w:p>
                </w:tc>
                <w:tc>
                  <w:tcPr>
                    <w:tcW w:w="425"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r>
                      <w:rPr>
                        <w:rFonts w:ascii="Times New Roman" w:hAnsi="Times New Roman" w:cs="Times New Roman"/>
                        <w:sz w:val="18"/>
                        <w:szCs w:val="18"/>
                      </w:rPr>
                      <w:t>217,325,819.43</w:t>
                    </w:r>
                  </w:p>
                </w:tc>
                <w:tc>
                  <w:tcPr>
                    <w:tcW w:w="1418" w:type="dxa"/>
                    <w:vAlign w:val="center"/>
                  </w:tcPr>
                  <w:p>
                    <w:pPr>
                      <w:jc w:val="right"/>
                      <w:rPr>
                        <w:rFonts w:ascii="Times New Roman" w:hAnsi="Times New Roman" w:cs="Times New Roman"/>
                        <w:sz w:val="18"/>
                        <w:szCs w:val="18"/>
                      </w:rPr>
                    </w:pPr>
                    <w:r>
                      <w:rPr>
                        <w:rFonts w:ascii="Times New Roman" w:hAnsi="Times New Roman" w:cs="Times New Roman"/>
                        <w:sz w:val="18"/>
                        <w:szCs w:val="18"/>
                      </w:rPr>
                      <w:t>695,706,936.52</w:t>
                    </w:r>
                  </w:p>
                </w:tc>
                <w:tc>
                  <w:tcPr>
                    <w:tcW w:w="1871" w:type="dxa"/>
                    <w:vAlign w:val="center"/>
                  </w:tcPr>
                  <w:p>
                    <w:pPr>
                      <w:jc w:val="right"/>
                      <w:rPr>
                        <w:rFonts w:ascii="Times New Roman" w:hAnsi="Times New Roman" w:cs="Times New Roman"/>
                        <w:sz w:val="18"/>
                        <w:szCs w:val="18"/>
                      </w:rPr>
                    </w:pPr>
                    <w:r>
                      <w:rPr>
                        <w:rFonts w:ascii="Times New Roman" w:hAnsi="Times New Roman" w:cs="Times New Roman"/>
                        <w:sz w:val="18"/>
                        <w:szCs w:val="18"/>
                      </w:rPr>
                      <w:t>2,042,304,145.02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2eea8f5bd284adbb011ea489737927b"/>
                    <w:id w:val="865723963"/>
                    <w:lock w:val="sdtLocked"/>
                  </w:sdtPr>
                  <w:sdtContent>
                    <w:tc>
                      <w:tcPr>
                        <w:tcW w:w="2450" w:type="dxa"/>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673" w:type="dxa"/>
                    <w:vAlign w:val="center"/>
                  </w:tcPr>
                  <w:p>
                    <w:pPr>
                      <w:jc w:val="right"/>
                      <w:rPr>
                        <w:rFonts w:ascii="Times New Roman" w:hAnsi="Times New Roman" w:cs="Times New Roman"/>
                        <w:sz w:val="18"/>
                        <w:szCs w:val="18"/>
                      </w:rPr>
                    </w:pPr>
                  </w:p>
                </w:tc>
                <w:tc>
                  <w:tcPr>
                    <w:tcW w:w="427" w:type="dxa"/>
                    <w:vAlign w:val="center"/>
                  </w:tcPr>
                  <w:p>
                    <w:pPr>
                      <w:jc w:val="right"/>
                      <w:rPr>
                        <w:rFonts w:ascii="Times New Roman" w:hAnsi="Times New Roman" w:cs="Times New Roman"/>
                        <w:sz w:val="18"/>
                        <w:szCs w:val="18"/>
                      </w:rPr>
                    </w:pPr>
                  </w:p>
                </w:tc>
                <w:tc>
                  <w:tcPr>
                    <w:tcW w:w="565" w:type="dxa"/>
                    <w:vAlign w:val="center"/>
                  </w:tcPr>
                  <w:p>
                    <w:pPr>
                      <w:jc w:val="right"/>
                      <w:rPr>
                        <w:rFonts w:ascii="Times New Roman" w:hAnsi="Times New Roman" w:cs="Times New Roman"/>
                        <w:sz w:val="18"/>
                        <w:szCs w:val="18"/>
                      </w:rPr>
                    </w:pPr>
                  </w:p>
                </w:tc>
                <w:tc>
                  <w:tcPr>
                    <w:tcW w:w="425"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8" w:type="dxa"/>
                    <w:vAlign w:val="center"/>
                  </w:tcPr>
                  <w:p>
                    <w:pPr>
                      <w:jc w:val="right"/>
                      <w:rPr>
                        <w:rFonts w:ascii="Times New Roman" w:hAnsi="Times New Roman" w:cs="Times New Roman"/>
                        <w:sz w:val="18"/>
                        <w:szCs w:val="18"/>
                      </w:rPr>
                    </w:pPr>
                    <w:r>
                      <w:rPr>
                        <w:rFonts w:ascii="Times New Roman" w:hAnsi="Times New Roman" w:cs="Times New Roman"/>
                        <w:sz w:val="18"/>
                        <w:szCs w:val="18"/>
                      </w:rPr>
                      <w:t>-911,454.49</w:t>
                    </w:r>
                  </w:p>
                </w:tc>
                <w:tc>
                  <w:tcPr>
                    <w:tcW w:w="1871" w:type="dxa"/>
                    <w:vAlign w:val="center"/>
                  </w:tcPr>
                  <w:p>
                    <w:pPr>
                      <w:jc w:val="right"/>
                      <w:rPr>
                        <w:rFonts w:ascii="Times New Roman" w:hAnsi="Times New Roman" w:cs="Times New Roman"/>
                        <w:sz w:val="18"/>
                        <w:szCs w:val="18"/>
                      </w:rPr>
                    </w:pPr>
                    <w:r>
                      <w:rPr>
                        <w:rFonts w:ascii="Times New Roman" w:hAnsi="Times New Roman" w:cs="Times New Roman"/>
                        <w:sz w:val="18"/>
                        <w:szCs w:val="18"/>
                      </w:rPr>
                      <w:t>-911,454.49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6bc7260292e4c19ad140bdfdf1ee46c"/>
                    <w:id w:val="865723964"/>
                    <w:lock w:val="sdtLocked"/>
                  </w:sdtPr>
                  <w:sdtContent>
                    <w:tc>
                      <w:tcPr>
                        <w:tcW w:w="2450" w:type="dxa"/>
                      </w:tcPr>
                      <w:p>
                        <w:pPr>
                          <w:rPr>
                            <w:sz w:val="18"/>
                            <w:szCs w:val="18"/>
                          </w:rPr>
                        </w:pPr>
                        <w:r>
                          <w:rPr>
                            <w:rFonts w:hint="eastAsia"/>
                            <w:sz w:val="18"/>
                            <w:szCs w:val="18"/>
                          </w:rPr>
                          <w:t>（一）综合收益总额</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673" w:type="dxa"/>
                    <w:vAlign w:val="center"/>
                  </w:tcPr>
                  <w:p>
                    <w:pPr>
                      <w:jc w:val="right"/>
                      <w:rPr>
                        <w:rFonts w:ascii="Times New Roman" w:hAnsi="Times New Roman" w:cs="Times New Roman"/>
                        <w:sz w:val="18"/>
                        <w:szCs w:val="18"/>
                      </w:rPr>
                    </w:pPr>
                  </w:p>
                </w:tc>
                <w:tc>
                  <w:tcPr>
                    <w:tcW w:w="427" w:type="dxa"/>
                    <w:vAlign w:val="center"/>
                  </w:tcPr>
                  <w:p>
                    <w:pPr>
                      <w:jc w:val="right"/>
                      <w:rPr>
                        <w:rFonts w:ascii="Times New Roman" w:hAnsi="Times New Roman" w:cs="Times New Roman"/>
                        <w:sz w:val="18"/>
                        <w:szCs w:val="18"/>
                      </w:rPr>
                    </w:pPr>
                  </w:p>
                </w:tc>
                <w:tc>
                  <w:tcPr>
                    <w:tcW w:w="565" w:type="dxa"/>
                    <w:vAlign w:val="center"/>
                  </w:tcPr>
                  <w:p>
                    <w:pPr>
                      <w:jc w:val="right"/>
                      <w:rPr>
                        <w:rFonts w:ascii="Times New Roman" w:hAnsi="Times New Roman" w:cs="Times New Roman"/>
                        <w:sz w:val="18"/>
                        <w:szCs w:val="18"/>
                      </w:rPr>
                    </w:pPr>
                  </w:p>
                </w:tc>
                <w:tc>
                  <w:tcPr>
                    <w:tcW w:w="425"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8" w:type="dxa"/>
                    <w:vAlign w:val="center"/>
                  </w:tcPr>
                  <w:p>
                    <w:pPr>
                      <w:jc w:val="right"/>
                      <w:rPr>
                        <w:rFonts w:ascii="Times New Roman" w:hAnsi="Times New Roman" w:cs="Times New Roman"/>
                        <w:sz w:val="18"/>
                        <w:szCs w:val="18"/>
                      </w:rPr>
                    </w:pPr>
                    <w:r>
                      <w:rPr>
                        <w:rFonts w:ascii="Times New Roman" w:hAnsi="Times New Roman" w:cs="Times New Roman"/>
                        <w:sz w:val="18"/>
                        <w:szCs w:val="18"/>
                      </w:rPr>
                      <w:t>-911,454.49</w:t>
                    </w:r>
                  </w:p>
                </w:tc>
                <w:tc>
                  <w:tcPr>
                    <w:tcW w:w="1871" w:type="dxa"/>
                    <w:vAlign w:val="center"/>
                  </w:tcPr>
                  <w:p>
                    <w:pPr>
                      <w:jc w:val="right"/>
                      <w:rPr>
                        <w:rFonts w:ascii="Times New Roman" w:hAnsi="Times New Roman" w:cs="Times New Roman"/>
                        <w:sz w:val="18"/>
                        <w:szCs w:val="18"/>
                      </w:rPr>
                    </w:pPr>
                    <w:r>
                      <w:rPr>
                        <w:rFonts w:ascii="Times New Roman" w:hAnsi="Times New Roman" w:cs="Times New Roman"/>
                        <w:sz w:val="18"/>
                        <w:szCs w:val="18"/>
                      </w:rPr>
                      <w:t>-911,454.49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78006a38fe64d8788706ec54fa4a47b"/>
                    <w:id w:val="865723965"/>
                    <w:lock w:val="sdtLocked"/>
                  </w:sdtPr>
                  <w:sdtContent>
                    <w:tc>
                      <w:tcPr>
                        <w:tcW w:w="2450" w:type="dxa"/>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673" w:type="dxa"/>
                    <w:vAlign w:val="center"/>
                  </w:tcPr>
                  <w:p>
                    <w:pPr>
                      <w:jc w:val="right"/>
                      <w:rPr>
                        <w:rFonts w:ascii="Times New Roman" w:hAnsi="Times New Roman" w:cs="Times New Roman"/>
                        <w:sz w:val="18"/>
                        <w:szCs w:val="18"/>
                      </w:rPr>
                    </w:pPr>
                  </w:p>
                </w:tc>
                <w:tc>
                  <w:tcPr>
                    <w:tcW w:w="427" w:type="dxa"/>
                    <w:vAlign w:val="center"/>
                  </w:tcPr>
                  <w:p>
                    <w:pPr>
                      <w:jc w:val="right"/>
                      <w:rPr>
                        <w:rFonts w:ascii="Times New Roman" w:hAnsi="Times New Roman" w:cs="Times New Roman"/>
                        <w:sz w:val="18"/>
                        <w:szCs w:val="18"/>
                      </w:rPr>
                    </w:pPr>
                  </w:p>
                </w:tc>
                <w:tc>
                  <w:tcPr>
                    <w:tcW w:w="565" w:type="dxa"/>
                    <w:vAlign w:val="center"/>
                  </w:tcPr>
                  <w:p>
                    <w:pPr>
                      <w:jc w:val="right"/>
                      <w:rPr>
                        <w:rFonts w:ascii="Times New Roman" w:hAnsi="Times New Roman" w:cs="Times New Roman"/>
                        <w:sz w:val="18"/>
                        <w:szCs w:val="18"/>
                      </w:rPr>
                    </w:pPr>
                  </w:p>
                </w:tc>
                <w:tc>
                  <w:tcPr>
                    <w:tcW w:w="425"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8" w:type="dxa"/>
                    <w:vAlign w:val="center"/>
                  </w:tcPr>
                  <w:p>
                    <w:pPr>
                      <w:jc w:val="right"/>
                      <w:rPr>
                        <w:rFonts w:ascii="Times New Roman" w:hAnsi="Times New Roman" w:cs="Times New Roman"/>
                        <w:sz w:val="18"/>
                        <w:szCs w:val="18"/>
                      </w:rPr>
                    </w:pPr>
                  </w:p>
                </w:tc>
                <w:tc>
                  <w:tcPr>
                    <w:tcW w:w="1871" w:type="dxa"/>
                    <w:vAlign w:val="center"/>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7b7ce2356df4876b71161948845f6e6"/>
                    <w:id w:val="865723966"/>
                    <w:lock w:val="sdtLocked"/>
                  </w:sdtPr>
                  <w:sdtContent>
                    <w:tc>
                      <w:tcPr>
                        <w:tcW w:w="2450" w:type="dxa"/>
                      </w:tcPr>
                      <w:p>
                        <w:pPr>
                          <w:rPr>
                            <w:sz w:val="18"/>
                            <w:szCs w:val="18"/>
                          </w:rPr>
                        </w:pPr>
                        <w:r>
                          <w:rPr>
                            <w:rFonts w:hint="eastAsia"/>
                            <w:sz w:val="18"/>
                            <w:szCs w:val="18"/>
                          </w:rPr>
                          <w:t>1．所有者投入的普通股</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673" w:type="dxa"/>
                  </w:tcPr>
                  <w:p>
                    <w:pPr>
                      <w:jc w:val="right"/>
                      <w:rPr>
                        <w:rFonts w:ascii="Times New Roman" w:hAnsi="Times New Roman" w:cs="Times New Roman"/>
                        <w:sz w:val="18"/>
                        <w:szCs w:val="18"/>
                      </w:rPr>
                    </w:pPr>
                  </w:p>
                </w:tc>
                <w:tc>
                  <w:tcPr>
                    <w:tcW w:w="427" w:type="dxa"/>
                  </w:tcPr>
                  <w:p>
                    <w:pPr>
                      <w:jc w:val="right"/>
                      <w:rPr>
                        <w:rFonts w:ascii="Times New Roman" w:hAnsi="Times New Roman" w:cs="Times New Roman"/>
                        <w:sz w:val="18"/>
                        <w:szCs w:val="18"/>
                      </w:rPr>
                    </w:pPr>
                  </w:p>
                </w:tc>
                <w:tc>
                  <w:tcPr>
                    <w:tcW w:w="565" w:type="dxa"/>
                  </w:tcPr>
                  <w:p>
                    <w:pPr>
                      <w:jc w:val="right"/>
                      <w:rPr>
                        <w:rFonts w:ascii="Times New Roman" w:hAnsi="Times New Roman" w:cs="Times New Roman"/>
                        <w:sz w:val="18"/>
                        <w:szCs w:val="18"/>
                      </w:rPr>
                    </w:pPr>
                  </w:p>
                </w:tc>
                <w:tc>
                  <w:tcPr>
                    <w:tcW w:w="425"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8" w:type="dxa"/>
                  </w:tcPr>
                  <w:p>
                    <w:pPr>
                      <w:jc w:val="right"/>
                      <w:rPr>
                        <w:rFonts w:ascii="Times New Roman" w:hAnsi="Times New Roman" w:cs="Times New Roman"/>
                        <w:sz w:val="18"/>
                        <w:szCs w:val="18"/>
                      </w:rPr>
                    </w:pPr>
                  </w:p>
                </w:tc>
                <w:tc>
                  <w:tcPr>
                    <w:tcW w:w="1871" w:type="dxa"/>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364b722055ed48639a8a73b5223e270d"/>
                    <w:id w:val="865723967"/>
                    <w:lock w:val="sdtLocked"/>
                  </w:sdtPr>
                  <w:sdtContent>
                    <w:tc>
                      <w:tcPr>
                        <w:tcW w:w="2450" w:type="dxa"/>
                      </w:tcPr>
                      <w:p>
                        <w:pPr>
                          <w:rPr>
                            <w:sz w:val="18"/>
                            <w:szCs w:val="18"/>
                          </w:rPr>
                        </w:pPr>
                        <w:r>
                          <w:rPr>
                            <w:rFonts w:hint="eastAsia"/>
                            <w:sz w:val="18"/>
                            <w:szCs w:val="18"/>
                          </w:rPr>
                          <w:t>2．其他权益工具持有者投入资本</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673" w:type="dxa"/>
                  </w:tcPr>
                  <w:p>
                    <w:pPr>
                      <w:jc w:val="right"/>
                      <w:rPr>
                        <w:rFonts w:ascii="Times New Roman" w:hAnsi="Times New Roman" w:cs="Times New Roman"/>
                        <w:sz w:val="18"/>
                        <w:szCs w:val="18"/>
                      </w:rPr>
                    </w:pPr>
                  </w:p>
                </w:tc>
                <w:tc>
                  <w:tcPr>
                    <w:tcW w:w="427" w:type="dxa"/>
                  </w:tcPr>
                  <w:p>
                    <w:pPr>
                      <w:jc w:val="right"/>
                      <w:rPr>
                        <w:rFonts w:ascii="Times New Roman" w:hAnsi="Times New Roman" w:cs="Times New Roman"/>
                        <w:sz w:val="18"/>
                        <w:szCs w:val="18"/>
                      </w:rPr>
                    </w:pPr>
                  </w:p>
                </w:tc>
                <w:tc>
                  <w:tcPr>
                    <w:tcW w:w="565" w:type="dxa"/>
                  </w:tcPr>
                  <w:p>
                    <w:pPr>
                      <w:jc w:val="right"/>
                      <w:rPr>
                        <w:rFonts w:ascii="Times New Roman" w:hAnsi="Times New Roman" w:cs="Times New Roman"/>
                        <w:sz w:val="18"/>
                        <w:szCs w:val="18"/>
                      </w:rPr>
                    </w:pPr>
                  </w:p>
                </w:tc>
                <w:tc>
                  <w:tcPr>
                    <w:tcW w:w="425"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8" w:type="dxa"/>
                  </w:tcPr>
                  <w:p>
                    <w:pPr>
                      <w:jc w:val="right"/>
                      <w:rPr>
                        <w:rFonts w:ascii="Times New Roman" w:hAnsi="Times New Roman" w:cs="Times New Roman"/>
                        <w:sz w:val="18"/>
                        <w:szCs w:val="18"/>
                      </w:rPr>
                    </w:pPr>
                  </w:p>
                </w:tc>
                <w:tc>
                  <w:tcPr>
                    <w:tcW w:w="1871" w:type="dxa"/>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24ee219054e4248b57b186593db85a6"/>
                    <w:id w:val="865723968"/>
                    <w:lock w:val="sdtLocked"/>
                  </w:sdtPr>
                  <w:sdtContent>
                    <w:tc>
                      <w:tcPr>
                        <w:tcW w:w="2450" w:type="dxa"/>
                      </w:tcPr>
                      <w:p>
                        <w:pPr>
                          <w:rPr>
                            <w:sz w:val="18"/>
                            <w:szCs w:val="18"/>
                          </w:rPr>
                        </w:pPr>
                        <w:r>
                          <w:rPr>
                            <w:rFonts w:hint="eastAsia"/>
                            <w:sz w:val="18"/>
                            <w:szCs w:val="18"/>
                          </w:rPr>
                          <w:t>3</w:t>
                        </w:r>
                        <w:r>
                          <w:rPr>
                            <w:sz w:val="18"/>
                            <w:szCs w:val="18"/>
                          </w:rPr>
                          <w:t>．股份支付计入所有者权益的金额</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673" w:type="dxa"/>
                  </w:tcPr>
                  <w:p>
                    <w:pPr>
                      <w:jc w:val="right"/>
                      <w:rPr>
                        <w:rFonts w:ascii="Times New Roman" w:hAnsi="Times New Roman" w:cs="Times New Roman"/>
                        <w:sz w:val="18"/>
                        <w:szCs w:val="18"/>
                      </w:rPr>
                    </w:pPr>
                  </w:p>
                </w:tc>
                <w:tc>
                  <w:tcPr>
                    <w:tcW w:w="427" w:type="dxa"/>
                  </w:tcPr>
                  <w:p>
                    <w:pPr>
                      <w:jc w:val="right"/>
                      <w:rPr>
                        <w:rFonts w:ascii="Times New Roman" w:hAnsi="Times New Roman" w:cs="Times New Roman"/>
                        <w:sz w:val="18"/>
                        <w:szCs w:val="18"/>
                      </w:rPr>
                    </w:pPr>
                  </w:p>
                </w:tc>
                <w:tc>
                  <w:tcPr>
                    <w:tcW w:w="565" w:type="dxa"/>
                  </w:tcPr>
                  <w:p>
                    <w:pPr>
                      <w:jc w:val="right"/>
                      <w:rPr>
                        <w:rFonts w:ascii="Times New Roman" w:hAnsi="Times New Roman" w:cs="Times New Roman"/>
                        <w:sz w:val="18"/>
                        <w:szCs w:val="18"/>
                      </w:rPr>
                    </w:pPr>
                  </w:p>
                </w:tc>
                <w:tc>
                  <w:tcPr>
                    <w:tcW w:w="425"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8" w:type="dxa"/>
                  </w:tcPr>
                  <w:p>
                    <w:pPr>
                      <w:jc w:val="right"/>
                      <w:rPr>
                        <w:rFonts w:ascii="Times New Roman" w:hAnsi="Times New Roman" w:cs="Times New Roman"/>
                        <w:sz w:val="18"/>
                        <w:szCs w:val="18"/>
                      </w:rPr>
                    </w:pPr>
                  </w:p>
                </w:tc>
                <w:tc>
                  <w:tcPr>
                    <w:tcW w:w="1871" w:type="dxa"/>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bb07b8c813f401e9b889121fc03b9bd"/>
                    <w:id w:val="865723969"/>
                    <w:lock w:val="sdtLocked"/>
                  </w:sdtPr>
                  <w:sdtContent>
                    <w:tc>
                      <w:tcPr>
                        <w:tcW w:w="2450" w:type="dxa"/>
                      </w:tcPr>
                      <w:p>
                        <w:pPr>
                          <w:rPr>
                            <w:sz w:val="18"/>
                            <w:szCs w:val="18"/>
                          </w:rPr>
                        </w:pPr>
                        <w:r>
                          <w:rPr>
                            <w:rFonts w:hint="eastAsia"/>
                            <w:sz w:val="18"/>
                            <w:szCs w:val="18"/>
                          </w:rPr>
                          <w:t>4</w:t>
                        </w:r>
                        <w:r>
                          <w:rPr>
                            <w:sz w:val="18"/>
                            <w:szCs w:val="18"/>
                          </w:rPr>
                          <w:t>．其他</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673" w:type="dxa"/>
                  </w:tcPr>
                  <w:p>
                    <w:pPr>
                      <w:jc w:val="right"/>
                      <w:rPr>
                        <w:rFonts w:ascii="Times New Roman" w:hAnsi="Times New Roman" w:cs="Times New Roman"/>
                        <w:sz w:val="18"/>
                        <w:szCs w:val="18"/>
                      </w:rPr>
                    </w:pPr>
                  </w:p>
                </w:tc>
                <w:tc>
                  <w:tcPr>
                    <w:tcW w:w="427" w:type="dxa"/>
                  </w:tcPr>
                  <w:p>
                    <w:pPr>
                      <w:jc w:val="right"/>
                      <w:rPr>
                        <w:rFonts w:ascii="Times New Roman" w:hAnsi="Times New Roman" w:cs="Times New Roman"/>
                        <w:sz w:val="18"/>
                        <w:szCs w:val="18"/>
                      </w:rPr>
                    </w:pPr>
                  </w:p>
                </w:tc>
                <w:tc>
                  <w:tcPr>
                    <w:tcW w:w="565" w:type="dxa"/>
                  </w:tcPr>
                  <w:p>
                    <w:pPr>
                      <w:jc w:val="right"/>
                      <w:rPr>
                        <w:rFonts w:ascii="Times New Roman" w:hAnsi="Times New Roman" w:cs="Times New Roman"/>
                        <w:sz w:val="18"/>
                        <w:szCs w:val="18"/>
                      </w:rPr>
                    </w:pPr>
                  </w:p>
                </w:tc>
                <w:tc>
                  <w:tcPr>
                    <w:tcW w:w="425"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8" w:type="dxa"/>
                  </w:tcPr>
                  <w:p>
                    <w:pPr>
                      <w:jc w:val="right"/>
                      <w:rPr>
                        <w:rFonts w:ascii="Times New Roman" w:hAnsi="Times New Roman" w:cs="Times New Roman"/>
                        <w:sz w:val="18"/>
                        <w:szCs w:val="18"/>
                      </w:rPr>
                    </w:pPr>
                  </w:p>
                </w:tc>
                <w:tc>
                  <w:tcPr>
                    <w:tcW w:w="1871" w:type="dxa"/>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280cf7ceeaa4dd8b4b782055ca20607"/>
                    <w:id w:val="865723970"/>
                    <w:lock w:val="sdtLocked"/>
                  </w:sdtPr>
                  <w:sdtContent>
                    <w:tc>
                      <w:tcPr>
                        <w:tcW w:w="2450" w:type="dxa"/>
                      </w:tcPr>
                      <w:p>
                        <w:pPr>
                          <w:rPr>
                            <w:sz w:val="18"/>
                            <w:szCs w:val="18"/>
                          </w:rPr>
                        </w:pPr>
                        <w:r>
                          <w:rPr>
                            <w:sz w:val="18"/>
                            <w:szCs w:val="18"/>
                          </w:rPr>
                          <w:t>（</w:t>
                        </w:r>
                        <w:r>
                          <w:rPr>
                            <w:rFonts w:hint="eastAsia"/>
                            <w:sz w:val="18"/>
                            <w:szCs w:val="18"/>
                          </w:rPr>
                          <w:t>三</w:t>
                        </w:r>
                        <w:r>
                          <w:rPr>
                            <w:sz w:val="18"/>
                            <w:szCs w:val="18"/>
                          </w:rPr>
                          <w:t>）利润分配</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673" w:type="dxa"/>
                  </w:tcPr>
                  <w:p>
                    <w:pPr>
                      <w:jc w:val="right"/>
                      <w:rPr>
                        <w:rFonts w:ascii="Times New Roman" w:hAnsi="Times New Roman" w:cs="Times New Roman"/>
                        <w:sz w:val="18"/>
                        <w:szCs w:val="18"/>
                      </w:rPr>
                    </w:pPr>
                  </w:p>
                </w:tc>
                <w:tc>
                  <w:tcPr>
                    <w:tcW w:w="427" w:type="dxa"/>
                  </w:tcPr>
                  <w:p>
                    <w:pPr>
                      <w:jc w:val="right"/>
                      <w:rPr>
                        <w:rFonts w:ascii="Times New Roman" w:hAnsi="Times New Roman" w:cs="Times New Roman"/>
                        <w:sz w:val="18"/>
                        <w:szCs w:val="18"/>
                      </w:rPr>
                    </w:pPr>
                  </w:p>
                </w:tc>
                <w:tc>
                  <w:tcPr>
                    <w:tcW w:w="565" w:type="dxa"/>
                  </w:tcPr>
                  <w:p>
                    <w:pPr>
                      <w:jc w:val="right"/>
                      <w:rPr>
                        <w:rFonts w:ascii="Times New Roman" w:hAnsi="Times New Roman" w:cs="Times New Roman"/>
                        <w:sz w:val="18"/>
                        <w:szCs w:val="18"/>
                      </w:rPr>
                    </w:pPr>
                  </w:p>
                </w:tc>
                <w:tc>
                  <w:tcPr>
                    <w:tcW w:w="425"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8" w:type="dxa"/>
                  </w:tcPr>
                  <w:p>
                    <w:pPr>
                      <w:jc w:val="right"/>
                      <w:rPr>
                        <w:rFonts w:ascii="Times New Roman" w:hAnsi="Times New Roman" w:cs="Times New Roman"/>
                        <w:sz w:val="18"/>
                        <w:szCs w:val="18"/>
                      </w:rPr>
                    </w:pPr>
                  </w:p>
                </w:tc>
                <w:tc>
                  <w:tcPr>
                    <w:tcW w:w="1871" w:type="dxa"/>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ae08be416ce4c01886da1cc65a38bd8"/>
                    <w:id w:val="865723971"/>
                    <w:lock w:val="sdtLocked"/>
                  </w:sdtPr>
                  <w:sdtContent>
                    <w:tc>
                      <w:tcPr>
                        <w:tcW w:w="2450" w:type="dxa"/>
                      </w:tcPr>
                      <w:p>
                        <w:pPr>
                          <w:rPr>
                            <w:sz w:val="18"/>
                            <w:szCs w:val="18"/>
                          </w:rPr>
                        </w:pPr>
                        <w:r>
                          <w:rPr>
                            <w:sz w:val="18"/>
                            <w:szCs w:val="18"/>
                          </w:rPr>
                          <w:t>1．提取盈余公积</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673" w:type="dxa"/>
                  </w:tcPr>
                  <w:p>
                    <w:pPr>
                      <w:jc w:val="right"/>
                      <w:rPr>
                        <w:rFonts w:ascii="Times New Roman" w:hAnsi="Times New Roman" w:cs="Times New Roman"/>
                        <w:sz w:val="18"/>
                        <w:szCs w:val="18"/>
                      </w:rPr>
                    </w:pPr>
                  </w:p>
                </w:tc>
                <w:tc>
                  <w:tcPr>
                    <w:tcW w:w="427" w:type="dxa"/>
                  </w:tcPr>
                  <w:p>
                    <w:pPr>
                      <w:jc w:val="right"/>
                      <w:rPr>
                        <w:rFonts w:ascii="Times New Roman" w:hAnsi="Times New Roman" w:cs="Times New Roman"/>
                        <w:sz w:val="18"/>
                        <w:szCs w:val="18"/>
                      </w:rPr>
                    </w:pPr>
                  </w:p>
                </w:tc>
                <w:tc>
                  <w:tcPr>
                    <w:tcW w:w="565" w:type="dxa"/>
                  </w:tcPr>
                  <w:p>
                    <w:pPr>
                      <w:jc w:val="right"/>
                      <w:rPr>
                        <w:rFonts w:ascii="Times New Roman" w:hAnsi="Times New Roman" w:cs="Times New Roman"/>
                        <w:sz w:val="18"/>
                        <w:szCs w:val="18"/>
                      </w:rPr>
                    </w:pPr>
                  </w:p>
                </w:tc>
                <w:tc>
                  <w:tcPr>
                    <w:tcW w:w="425"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8" w:type="dxa"/>
                  </w:tcPr>
                  <w:p>
                    <w:pPr>
                      <w:jc w:val="right"/>
                      <w:rPr>
                        <w:rFonts w:ascii="Times New Roman" w:hAnsi="Times New Roman" w:cs="Times New Roman"/>
                        <w:sz w:val="18"/>
                        <w:szCs w:val="18"/>
                      </w:rPr>
                    </w:pPr>
                  </w:p>
                </w:tc>
                <w:tc>
                  <w:tcPr>
                    <w:tcW w:w="1871" w:type="dxa"/>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4deac8941f8344f99337c17d7e8feb6f"/>
                    <w:id w:val="865723972"/>
                    <w:lock w:val="sdtLocked"/>
                  </w:sdtPr>
                  <w:sdtContent>
                    <w:tc>
                      <w:tcPr>
                        <w:tcW w:w="2450" w:type="dxa"/>
                      </w:tcPr>
                      <w:p>
                        <w:pPr>
                          <w:rPr>
                            <w:sz w:val="18"/>
                            <w:szCs w:val="18"/>
                          </w:rPr>
                        </w:pPr>
                        <w:r>
                          <w:rPr>
                            <w:rFonts w:hint="eastAsia"/>
                            <w:sz w:val="18"/>
                            <w:szCs w:val="18"/>
                          </w:rPr>
                          <w:t>2</w:t>
                        </w:r>
                        <w:r>
                          <w:rPr>
                            <w:sz w:val="18"/>
                            <w:szCs w:val="18"/>
                          </w:rPr>
                          <w:t>．对所有者（或股东）的分配</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673" w:type="dxa"/>
                  </w:tcPr>
                  <w:p>
                    <w:pPr>
                      <w:jc w:val="right"/>
                      <w:rPr>
                        <w:rFonts w:ascii="Times New Roman" w:hAnsi="Times New Roman" w:cs="Times New Roman"/>
                        <w:sz w:val="18"/>
                        <w:szCs w:val="18"/>
                      </w:rPr>
                    </w:pPr>
                  </w:p>
                </w:tc>
                <w:tc>
                  <w:tcPr>
                    <w:tcW w:w="427" w:type="dxa"/>
                  </w:tcPr>
                  <w:p>
                    <w:pPr>
                      <w:jc w:val="right"/>
                      <w:rPr>
                        <w:rFonts w:ascii="Times New Roman" w:hAnsi="Times New Roman" w:cs="Times New Roman"/>
                        <w:sz w:val="18"/>
                        <w:szCs w:val="18"/>
                      </w:rPr>
                    </w:pPr>
                  </w:p>
                </w:tc>
                <w:tc>
                  <w:tcPr>
                    <w:tcW w:w="565" w:type="dxa"/>
                  </w:tcPr>
                  <w:p>
                    <w:pPr>
                      <w:jc w:val="right"/>
                      <w:rPr>
                        <w:rFonts w:ascii="Times New Roman" w:hAnsi="Times New Roman" w:cs="Times New Roman"/>
                        <w:sz w:val="18"/>
                        <w:szCs w:val="18"/>
                      </w:rPr>
                    </w:pPr>
                  </w:p>
                </w:tc>
                <w:tc>
                  <w:tcPr>
                    <w:tcW w:w="425"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8" w:type="dxa"/>
                  </w:tcPr>
                  <w:p>
                    <w:pPr>
                      <w:jc w:val="right"/>
                      <w:rPr>
                        <w:rFonts w:ascii="Times New Roman" w:hAnsi="Times New Roman" w:cs="Times New Roman"/>
                        <w:sz w:val="18"/>
                        <w:szCs w:val="18"/>
                      </w:rPr>
                    </w:pPr>
                  </w:p>
                </w:tc>
                <w:tc>
                  <w:tcPr>
                    <w:tcW w:w="1871" w:type="dxa"/>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f58a7e98f194ea88a1175d96b9527b1"/>
                    <w:id w:val="865723973"/>
                    <w:lock w:val="sdtLocked"/>
                  </w:sdtPr>
                  <w:sdtContent>
                    <w:tc>
                      <w:tcPr>
                        <w:tcW w:w="2450" w:type="dxa"/>
                      </w:tcPr>
                      <w:p>
                        <w:pPr>
                          <w:rPr>
                            <w:sz w:val="18"/>
                            <w:szCs w:val="18"/>
                          </w:rPr>
                        </w:pPr>
                        <w:r>
                          <w:rPr>
                            <w:rFonts w:hint="eastAsia"/>
                            <w:sz w:val="18"/>
                            <w:szCs w:val="18"/>
                          </w:rPr>
                          <w:t>3</w:t>
                        </w:r>
                        <w:r>
                          <w:rPr>
                            <w:sz w:val="18"/>
                            <w:szCs w:val="18"/>
                          </w:rPr>
                          <w:t>．其他</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673" w:type="dxa"/>
                  </w:tcPr>
                  <w:p>
                    <w:pPr>
                      <w:jc w:val="right"/>
                      <w:rPr>
                        <w:rFonts w:ascii="Times New Roman" w:hAnsi="Times New Roman" w:cs="Times New Roman"/>
                        <w:sz w:val="18"/>
                        <w:szCs w:val="18"/>
                      </w:rPr>
                    </w:pPr>
                  </w:p>
                </w:tc>
                <w:tc>
                  <w:tcPr>
                    <w:tcW w:w="427" w:type="dxa"/>
                  </w:tcPr>
                  <w:p>
                    <w:pPr>
                      <w:jc w:val="right"/>
                      <w:rPr>
                        <w:rFonts w:ascii="Times New Roman" w:hAnsi="Times New Roman" w:cs="Times New Roman"/>
                        <w:sz w:val="18"/>
                        <w:szCs w:val="18"/>
                      </w:rPr>
                    </w:pPr>
                  </w:p>
                </w:tc>
                <w:tc>
                  <w:tcPr>
                    <w:tcW w:w="565" w:type="dxa"/>
                  </w:tcPr>
                  <w:p>
                    <w:pPr>
                      <w:jc w:val="right"/>
                      <w:rPr>
                        <w:rFonts w:ascii="Times New Roman" w:hAnsi="Times New Roman" w:cs="Times New Roman"/>
                        <w:sz w:val="18"/>
                        <w:szCs w:val="18"/>
                      </w:rPr>
                    </w:pPr>
                  </w:p>
                </w:tc>
                <w:tc>
                  <w:tcPr>
                    <w:tcW w:w="425"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8" w:type="dxa"/>
                  </w:tcPr>
                  <w:p>
                    <w:pPr>
                      <w:jc w:val="right"/>
                      <w:rPr>
                        <w:rFonts w:ascii="Times New Roman" w:hAnsi="Times New Roman" w:cs="Times New Roman"/>
                        <w:sz w:val="18"/>
                        <w:szCs w:val="18"/>
                      </w:rPr>
                    </w:pPr>
                  </w:p>
                </w:tc>
                <w:tc>
                  <w:tcPr>
                    <w:tcW w:w="1871" w:type="dxa"/>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938fb7f04ef4f54b6183645ffa42f40"/>
                    <w:id w:val="865723974"/>
                    <w:lock w:val="sdtLocked"/>
                  </w:sdtPr>
                  <w:sdtContent>
                    <w:tc>
                      <w:tcPr>
                        <w:tcW w:w="2450" w:type="dxa"/>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1434" w:type="dxa"/>
                    <w:tcBorders>
                      <w:right w:val="single" w:color="auto" w:sz="4" w:space="0"/>
                    </w:tcBorders>
                  </w:tcPr>
                  <w:p>
                    <w:pPr>
                      <w:jc w:val="right"/>
                      <w:rPr>
                        <w:sz w:val="18"/>
                        <w:szCs w:val="18"/>
                      </w:rPr>
                    </w:pPr>
                  </w:p>
                </w:tc>
                <w:tc>
                  <w:tcPr>
                    <w:tcW w:w="694" w:type="dxa"/>
                    <w:tcBorders>
                      <w:left w:val="single" w:color="auto" w:sz="4" w:space="0"/>
                      <w:right w:val="single" w:color="auto" w:sz="4" w:space="0"/>
                    </w:tcBorders>
                  </w:tcPr>
                  <w:p>
                    <w:pPr>
                      <w:jc w:val="right"/>
                      <w:rPr>
                        <w:sz w:val="18"/>
                        <w:szCs w:val="18"/>
                      </w:rPr>
                    </w:pPr>
                  </w:p>
                </w:tc>
                <w:tc>
                  <w:tcPr>
                    <w:tcW w:w="723" w:type="dxa"/>
                    <w:tcBorders>
                      <w:left w:val="single" w:color="auto" w:sz="4" w:space="0"/>
                      <w:right w:val="single" w:color="auto" w:sz="4" w:space="0"/>
                    </w:tcBorders>
                  </w:tcPr>
                  <w:p>
                    <w:pPr>
                      <w:jc w:val="right"/>
                      <w:rPr>
                        <w:sz w:val="18"/>
                        <w:szCs w:val="18"/>
                      </w:rPr>
                    </w:pPr>
                  </w:p>
                </w:tc>
                <w:tc>
                  <w:tcPr>
                    <w:tcW w:w="567" w:type="dxa"/>
                    <w:tcBorders>
                      <w:left w:val="single" w:color="auto" w:sz="4" w:space="0"/>
                    </w:tcBorders>
                  </w:tcPr>
                  <w:p>
                    <w:pPr>
                      <w:jc w:val="right"/>
                      <w:rPr>
                        <w:sz w:val="18"/>
                        <w:szCs w:val="18"/>
                      </w:rPr>
                    </w:pPr>
                  </w:p>
                </w:tc>
                <w:tc>
                  <w:tcPr>
                    <w:tcW w:w="1673" w:type="dxa"/>
                  </w:tcPr>
                  <w:p>
                    <w:pPr>
                      <w:jc w:val="right"/>
                      <w:rPr>
                        <w:sz w:val="18"/>
                        <w:szCs w:val="18"/>
                      </w:rPr>
                    </w:pPr>
                  </w:p>
                </w:tc>
                <w:tc>
                  <w:tcPr>
                    <w:tcW w:w="427" w:type="dxa"/>
                  </w:tcPr>
                  <w:p>
                    <w:pPr>
                      <w:jc w:val="right"/>
                      <w:rPr>
                        <w:sz w:val="18"/>
                        <w:szCs w:val="18"/>
                      </w:rPr>
                    </w:pPr>
                  </w:p>
                </w:tc>
                <w:tc>
                  <w:tcPr>
                    <w:tcW w:w="565" w:type="dxa"/>
                  </w:tcPr>
                  <w:p>
                    <w:pPr>
                      <w:jc w:val="right"/>
                      <w:rPr>
                        <w:sz w:val="18"/>
                        <w:szCs w:val="18"/>
                      </w:rPr>
                    </w:pPr>
                  </w:p>
                </w:tc>
                <w:tc>
                  <w:tcPr>
                    <w:tcW w:w="425" w:type="dxa"/>
                  </w:tcPr>
                  <w:p>
                    <w:pPr>
                      <w:jc w:val="right"/>
                      <w:rPr>
                        <w:sz w:val="18"/>
                        <w:szCs w:val="18"/>
                      </w:rPr>
                    </w:pPr>
                  </w:p>
                </w:tc>
                <w:tc>
                  <w:tcPr>
                    <w:tcW w:w="1701" w:type="dxa"/>
                  </w:tcPr>
                  <w:p>
                    <w:pPr>
                      <w:jc w:val="right"/>
                      <w:rPr>
                        <w:sz w:val="18"/>
                        <w:szCs w:val="18"/>
                      </w:rPr>
                    </w:pPr>
                  </w:p>
                </w:tc>
                <w:tc>
                  <w:tcPr>
                    <w:tcW w:w="1418" w:type="dxa"/>
                  </w:tcPr>
                  <w:p>
                    <w:pPr>
                      <w:jc w:val="right"/>
                      <w:rPr>
                        <w:sz w:val="18"/>
                        <w:szCs w:val="18"/>
                      </w:rPr>
                    </w:pPr>
                  </w:p>
                </w:tc>
                <w:tc>
                  <w:tcPr>
                    <w:tcW w:w="1871"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05f473e3b5c4efd99b4c472dc99ddb5"/>
                    <w:id w:val="865723975"/>
                    <w:lock w:val="sdtLocked"/>
                  </w:sdtPr>
                  <w:sdtContent>
                    <w:tc>
                      <w:tcPr>
                        <w:tcW w:w="2450" w:type="dxa"/>
                      </w:tcPr>
                      <w:p>
                        <w:pPr>
                          <w:rPr>
                            <w:sz w:val="18"/>
                            <w:szCs w:val="18"/>
                          </w:rPr>
                        </w:pPr>
                        <w:r>
                          <w:rPr>
                            <w:sz w:val="18"/>
                            <w:szCs w:val="18"/>
                          </w:rPr>
                          <w:t>1．资本公积转增资本（或股本）</w:t>
                        </w:r>
                      </w:p>
                    </w:tc>
                  </w:sdtContent>
                </w:sdt>
                <w:tc>
                  <w:tcPr>
                    <w:tcW w:w="1434" w:type="dxa"/>
                    <w:tcBorders>
                      <w:right w:val="single" w:color="auto" w:sz="4" w:space="0"/>
                    </w:tcBorders>
                  </w:tcPr>
                  <w:p>
                    <w:pPr>
                      <w:jc w:val="right"/>
                      <w:rPr>
                        <w:sz w:val="18"/>
                        <w:szCs w:val="18"/>
                      </w:rPr>
                    </w:pPr>
                  </w:p>
                </w:tc>
                <w:tc>
                  <w:tcPr>
                    <w:tcW w:w="694" w:type="dxa"/>
                    <w:tcBorders>
                      <w:left w:val="single" w:color="auto" w:sz="4" w:space="0"/>
                      <w:right w:val="single" w:color="auto" w:sz="4" w:space="0"/>
                    </w:tcBorders>
                  </w:tcPr>
                  <w:p>
                    <w:pPr>
                      <w:jc w:val="right"/>
                      <w:rPr>
                        <w:sz w:val="18"/>
                        <w:szCs w:val="18"/>
                      </w:rPr>
                    </w:pPr>
                  </w:p>
                </w:tc>
                <w:tc>
                  <w:tcPr>
                    <w:tcW w:w="723" w:type="dxa"/>
                    <w:tcBorders>
                      <w:left w:val="single" w:color="auto" w:sz="4" w:space="0"/>
                      <w:right w:val="single" w:color="auto" w:sz="4" w:space="0"/>
                    </w:tcBorders>
                  </w:tcPr>
                  <w:p>
                    <w:pPr>
                      <w:jc w:val="right"/>
                      <w:rPr>
                        <w:sz w:val="18"/>
                        <w:szCs w:val="18"/>
                      </w:rPr>
                    </w:pPr>
                  </w:p>
                </w:tc>
                <w:tc>
                  <w:tcPr>
                    <w:tcW w:w="567" w:type="dxa"/>
                    <w:tcBorders>
                      <w:left w:val="single" w:color="auto" w:sz="4" w:space="0"/>
                    </w:tcBorders>
                  </w:tcPr>
                  <w:p>
                    <w:pPr>
                      <w:jc w:val="right"/>
                      <w:rPr>
                        <w:sz w:val="18"/>
                        <w:szCs w:val="18"/>
                      </w:rPr>
                    </w:pPr>
                  </w:p>
                </w:tc>
                <w:tc>
                  <w:tcPr>
                    <w:tcW w:w="1673" w:type="dxa"/>
                  </w:tcPr>
                  <w:p>
                    <w:pPr>
                      <w:jc w:val="right"/>
                      <w:rPr>
                        <w:sz w:val="18"/>
                        <w:szCs w:val="18"/>
                      </w:rPr>
                    </w:pPr>
                  </w:p>
                </w:tc>
                <w:tc>
                  <w:tcPr>
                    <w:tcW w:w="427" w:type="dxa"/>
                  </w:tcPr>
                  <w:p>
                    <w:pPr>
                      <w:jc w:val="right"/>
                      <w:rPr>
                        <w:sz w:val="18"/>
                        <w:szCs w:val="18"/>
                      </w:rPr>
                    </w:pPr>
                  </w:p>
                </w:tc>
                <w:tc>
                  <w:tcPr>
                    <w:tcW w:w="565" w:type="dxa"/>
                  </w:tcPr>
                  <w:p>
                    <w:pPr>
                      <w:jc w:val="right"/>
                      <w:rPr>
                        <w:sz w:val="18"/>
                        <w:szCs w:val="18"/>
                      </w:rPr>
                    </w:pPr>
                  </w:p>
                </w:tc>
                <w:tc>
                  <w:tcPr>
                    <w:tcW w:w="425" w:type="dxa"/>
                  </w:tcPr>
                  <w:p>
                    <w:pPr>
                      <w:jc w:val="right"/>
                      <w:rPr>
                        <w:sz w:val="18"/>
                        <w:szCs w:val="18"/>
                      </w:rPr>
                    </w:pPr>
                  </w:p>
                </w:tc>
                <w:tc>
                  <w:tcPr>
                    <w:tcW w:w="1701" w:type="dxa"/>
                  </w:tcPr>
                  <w:p>
                    <w:pPr>
                      <w:jc w:val="right"/>
                      <w:rPr>
                        <w:sz w:val="18"/>
                        <w:szCs w:val="18"/>
                      </w:rPr>
                    </w:pPr>
                  </w:p>
                </w:tc>
                <w:tc>
                  <w:tcPr>
                    <w:tcW w:w="1418" w:type="dxa"/>
                  </w:tcPr>
                  <w:p>
                    <w:pPr>
                      <w:jc w:val="right"/>
                      <w:rPr>
                        <w:sz w:val="18"/>
                        <w:szCs w:val="18"/>
                      </w:rPr>
                    </w:pPr>
                  </w:p>
                </w:tc>
                <w:tc>
                  <w:tcPr>
                    <w:tcW w:w="1871"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c2dd17db22d54e02ba5942412d96f3ac"/>
                    <w:id w:val="865723976"/>
                    <w:lock w:val="sdtLocked"/>
                  </w:sdtPr>
                  <w:sdtContent>
                    <w:tc>
                      <w:tcPr>
                        <w:tcW w:w="2450" w:type="dxa"/>
                      </w:tcPr>
                      <w:p>
                        <w:pPr>
                          <w:rPr>
                            <w:sz w:val="18"/>
                            <w:szCs w:val="18"/>
                          </w:rPr>
                        </w:pPr>
                        <w:r>
                          <w:rPr>
                            <w:sz w:val="18"/>
                            <w:szCs w:val="18"/>
                          </w:rPr>
                          <w:t>2．盈余公积转增资本（或股本）</w:t>
                        </w:r>
                      </w:p>
                    </w:tc>
                  </w:sdtContent>
                </w:sdt>
                <w:tc>
                  <w:tcPr>
                    <w:tcW w:w="1434" w:type="dxa"/>
                    <w:tcBorders>
                      <w:right w:val="single" w:color="auto" w:sz="4" w:space="0"/>
                    </w:tcBorders>
                  </w:tcPr>
                  <w:p>
                    <w:pPr>
                      <w:jc w:val="right"/>
                      <w:rPr>
                        <w:sz w:val="18"/>
                        <w:szCs w:val="18"/>
                      </w:rPr>
                    </w:pPr>
                  </w:p>
                </w:tc>
                <w:tc>
                  <w:tcPr>
                    <w:tcW w:w="694" w:type="dxa"/>
                    <w:tcBorders>
                      <w:left w:val="single" w:color="auto" w:sz="4" w:space="0"/>
                      <w:right w:val="single" w:color="auto" w:sz="4" w:space="0"/>
                    </w:tcBorders>
                  </w:tcPr>
                  <w:p>
                    <w:pPr>
                      <w:jc w:val="right"/>
                      <w:rPr>
                        <w:sz w:val="18"/>
                        <w:szCs w:val="18"/>
                      </w:rPr>
                    </w:pPr>
                  </w:p>
                </w:tc>
                <w:tc>
                  <w:tcPr>
                    <w:tcW w:w="723" w:type="dxa"/>
                    <w:tcBorders>
                      <w:left w:val="single" w:color="auto" w:sz="4" w:space="0"/>
                      <w:right w:val="single" w:color="auto" w:sz="4" w:space="0"/>
                    </w:tcBorders>
                  </w:tcPr>
                  <w:p>
                    <w:pPr>
                      <w:jc w:val="right"/>
                      <w:rPr>
                        <w:sz w:val="18"/>
                        <w:szCs w:val="18"/>
                      </w:rPr>
                    </w:pPr>
                  </w:p>
                </w:tc>
                <w:tc>
                  <w:tcPr>
                    <w:tcW w:w="567" w:type="dxa"/>
                    <w:tcBorders>
                      <w:left w:val="single" w:color="auto" w:sz="4" w:space="0"/>
                    </w:tcBorders>
                  </w:tcPr>
                  <w:p>
                    <w:pPr>
                      <w:jc w:val="right"/>
                      <w:rPr>
                        <w:sz w:val="18"/>
                        <w:szCs w:val="18"/>
                      </w:rPr>
                    </w:pPr>
                  </w:p>
                </w:tc>
                <w:tc>
                  <w:tcPr>
                    <w:tcW w:w="1673" w:type="dxa"/>
                  </w:tcPr>
                  <w:p>
                    <w:pPr>
                      <w:jc w:val="right"/>
                      <w:rPr>
                        <w:sz w:val="18"/>
                        <w:szCs w:val="18"/>
                      </w:rPr>
                    </w:pPr>
                  </w:p>
                </w:tc>
                <w:tc>
                  <w:tcPr>
                    <w:tcW w:w="427" w:type="dxa"/>
                  </w:tcPr>
                  <w:p>
                    <w:pPr>
                      <w:jc w:val="right"/>
                      <w:rPr>
                        <w:sz w:val="18"/>
                        <w:szCs w:val="18"/>
                      </w:rPr>
                    </w:pPr>
                  </w:p>
                </w:tc>
                <w:tc>
                  <w:tcPr>
                    <w:tcW w:w="565" w:type="dxa"/>
                  </w:tcPr>
                  <w:p>
                    <w:pPr>
                      <w:jc w:val="right"/>
                      <w:rPr>
                        <w:sz w:val="18"/>
                        <w:szCs w:val="18"/>
                      </w:rPr>
                    </w:pPr>
                  </w:p>
                </w:tc>
                <w:tc>
                  <w:tcPr>
                    <w:tcW w:w="425" w:type="dxa"/>
                  </w:tcPr>
                  <w:p>
                    <w:pPr>
                      <w:jc w:val="right"/>
                      <w:rPr>
                        <w:sz w:val="18"/>
                        <w:szCs w:val="18"/>
                      </w:rPr>
                    </w:pPr>
                  </w:p>
                </w:tc>
                <w:tc>
                  <w:tcPr>
                    <w:tcW w:w="1701" w:type="dxa"/>
                  </w:tcPr>
                  <w:p>
                    <w:pPr>
                      <w:jc w:val="right"/>
                      <w:rPr>
                        <w:sz w:val="18"/>
                        <w:szCs w:val="18"/>
                      </w:rPr>
                    </w:pPr>
                  </w:p>
                </w:tc>
                <w:tc>
                  <w:tcPr>
                    <w:tcW w:w="1418" w:type="dxa"/>
                  </w:tcPr>
                  <w:p>
                    <w:pPr>
                      <w:jc w:val="right"/>
                      <w:rPr>
                        <w:sz w:val="18"/>
                        <w:szCs w:val="18"/>
                      </w:rPr>
                    </w:pPr>
                  </w:p>
                </w:tc>
                <w:tc>
                  <w:tcPr>
                    <w:tcW w:w="1871"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de8855f6aaf94578a33d614865e23362"/>
                    <w:id w:val="865723977"/>
                    <w:lock w:val="sdtLocked"/>
                  </w:sdtPr>
                  <w:sdtContent>
                    <w:tc>
                      <w:tcPr>
                        <w:tcW w:w="2450" w:type="dxa"/>
                      </w:tcPr>
                      <w:p>
                        <w:pPr>
                          <w:rPr>
                            <w:sz w:val="18"/>
                            <w:szCs w:val="18"/>
                          </w:rPr>
                        </w:pPr>
                        <w:r>
                          <w:rPr>
                            <w:sz w:val="18"/>
                            <w:szCs w:val="18"/>
                          </w:rPr>
                          <w:t>3．盈余公积弥补亏损</w:t>
                        </w:r>
                      </w:p>
                    </w:tc>
                  </w:sdtContent>
                </w:sdt>
                <w:tc>
                  <w:tcPr>
                    <w:tcW w:w="1434" w:type="dxa"/>
                    <w:tcBorders>
                      <w:right w:val="single" w:color="auto" w:sz="4" w:space="0"/>
                    </w:tcBorders>
                  </w:tcPr>
                  <w:p>
                    <w:pPr>
                      <w:jc w:val="right"/>
                      <w:rPr>
                        <w:sz w:val="18"/>
                        <w:szCs w:val="18"/>
                      </w:rPr>
                    </w:pPr>
                  </w:p>
                </w:tc>
                <w:tc>
                  <w:tcPr>
                    <w:tcW w:w="694" w:type="dxa"/>
                    <w:tcBorders>
                      <w:left w:val="single" w:color="auto" w:sz="4" w:space="0"/>
                      <w:right w:val="single" w:color="auto" w:sz="4" w:space="0"/>
                    </w:tcBorders>
                  </w:tcPr>
                  <w:p>
                    <w:pPr>
                      <w:jc w:val="right"/>
                      <w:rPr>
                        <w:sz w:val="18"/>
                        <w:szCs w:val="18"/>
                      </w:rPr>
                    </w:pPr>
                  </w:p>
                </w:tc>
                <w:tc>
                  <w:tcPr>
                    <w:tcW w:w="723" w:type="dxa"/>
                    <w:tcBorders>
                      <w:left w:val="single" w:color="auto" w:sz="4" w:space="0"/>
                      <w:right w:val="single" w:color="auto" w:sz="4" w:space="0"/>
                    </w:tcBorders>
                  </w:tcPr>
                  <w:p>
                    <w:pPr>
                      <w:jc w:val="right"/>
                      <w:rPr>
                        <w:sz w:val="18"/>
                        <w:szCs w:val="18"/>
                      </w:rPr>
                    </w:pPr>
                  </w:p>
                </w:tc>
                <w:tc>
                  <w:tcPr>
                    <w:tcW w:w="567" w:type="dxa"/>
                    <w:tcBorders>
                      <w:left w:val="single" w:color="auto" w:sz="4" w:space="0"/>
                    </w:tcBorders>
                  </w:tcPr>
                  <w:p>
                    <w:pPr>
                      <w:jc w:val="right"/>
                      <w:rPr>
                        <w:sz w:val="18"/>
                        <w:szCs w:val="18"/>
                      </w:rPr>
                    </w:pPr>
                  </w:p>
                </w:tc>
                <w:tc>
                  <w:tcPr>
                    <w:tcW w:w="1673" w:type="dxa"/>
                  </w:tcPr>
                  <w:p>
                    <w:pPr>
                      <w:jc w:val="right"/>
                      <w:rPr>
                        <w:sz w:val="18"/>
                        <w:szCs w:val="18"/>
                      </w:rPr>
                    </w:pPr>
                  </w:p>
                </w:tc>
                <w:tc>
                  <w:tcPr>
                    <w:tcW w:w="427" w:type="dxa"/>
                  </w:tcPr>
                  <w:p>
                    <w:pPr>
                      <w:jc w:val="right"/>
                      <w:rPr>
                        <w:sz w:val="18"/>
                        <w:szCs w:val="18"/>
                      </w:rPr>
                    </w:pPr>
                  </w:p>
                </w:tc>
                <w:tc>
                  <w:tcPr>
                    <w:tcW w:w="565" w:type="dxa"/>
                  </w:tcPr>
                  <w:p>
                    <w:pPr>
                      <w:jc w:val="right"/>
                      <w:rPr>
                        <w:sz w:val="18"/>
                        <w:szCs w:val="18"/>
                      </w:rPr>
                    </w:pPr>
                  </w:p>
                </w:tc>
                <w:tc>
                  <w:tcPr>
                    <w:tcW w:w="425" w:type="dxa"/>
                  </w:tcPr>
                  <w:p>
                    <w:pPr>
                      <w:jc w:val="right"/>
                      <w:rPr>
                        <w:sz w:val="18"/>
                        <w:szCs w:val="18"/>
                      </w:rPr>
                    </w:pPr>
                  </w:p>
                </w:tc>
                <w:tc>
                  <w:tcPr>
                    <w:tcW w:w="1701" w:type="dxa"/>
                  </w:tcPr>
                  <w:p>
                    <w:pPr>
                      <w:jc w:val="right"/>
                      <w:rPr>
                        <w:sz w:val="18"/>
                        <w:szCs w:val="18"/>
                      </w:rPr>
                    </w:pPr>
                  </w:p>
                </w:tc>
                <w:tc>
                  <w:tcPr>
                    <w:tcW w:w="1418" w:type="dxa"/>
                  </w:tcPr>
                  <w:p>
                    <w:pPr>
                      <w:jc w:val="right"/>
                      <w:rPr>
                        <w:sz w:val="18"/>
                        <w:szCs w:val="18"/>
                      </w:rPr>
                    </w:pPr>
                  </w:p>
                </w:tc>
                <w:tc>
                  <w:tcPr>
                    <w:tcW w:w="1871"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sz w:val="18"/>
                        <w:szCs w:val="18"/>
                      </w:rPr>
                      <w:tag w:val="_PLD_0a2eca501c544dfc9dfd8d666c32970b"/>
                      <w:id w:val="865723978"/>
                      <w:lock w:val="sdtLocked"/>
                    </w:sdtPr>
                    <w:sdtEndPr>
                      <w:rPr>
                        <w:sz w:val="18"/>
                        <w:szCs w:val="18"/>
                      </w:rPr>
                    </w:sdtEndPr>
                    <w:sdtContent>
                      <w:p>
                        <w:r>
                          <w:rPr>
                            <w:sz w:val="18"/>
                            <w:szCs w:val="18"/>
                          </w:rPr>
                          <w:t>4．设定受益计划变动额结转留存收益</w:t>
                        </w:r>
                      </w:p>
                    </w:sdtContent>
                  </w:sdt>
                </w:tc>
                <w:tc>
                  <w:tcPr>
                    <w:tcW w:w="1434" w:type="dxa"/>
                    <w:tcBorders>
                      <w:right w:val="single" w:color="auto" w:sz="4" w:space="0"/>
                    </w:tcBorders>
                  </w:tcPr>
                  <w:p>
                    <w:pPr>
                      <w:jc w:val="right"/>
                      <w:rPr>
                        <w:sz w:val="18"/>
                        <w:szCs w:val="18"/>
                      </w:rPr>
                    </w:pPr>
                  </w:p>
                </w:tc>
                <w:tc>
                  <w:tcPr>
                    <w:tcW w:w="694" w:type="dxa"/>
                    <w:tcBorders>
                      <w:left w:val="single" w:color="auto" w:sz="4" w:space="0"/>
                      <w:right w:val="single" w:color="auto" w:sz="4" w:space="0"/>
                    </w:tcBorders>
                  </w:tcPr>
                  <w:p>
                    <w:pPr>
                      <w:jc w:val="right"/>
                      <w:rPr>
                        <w:sz w:val="18"/>
                        <w:szCs w:val="18"/>
                      </w:rPr>
                    </w:pPr>
                  </w:p>
                </w:tc>
                <w:tc>
                  <w:tcPr>
                    <w:tcW w:w="723" w:type="dxa"/>
                    <w:tcBorders>
                      <w:left w:val="single" w:color="auto" w:sz="4" w:space="0"/>
                      <w:right w:val="single" w:color="auto" w:sz="4" w:space="0"/>
                    </w:tcBorders>
                  </w:tcPr>
                  <w:p>
                    <w:pPr>
                      <w:jc w:val="right"/>
                      <w:rPr>
                        <w:sz w:val="18"/>
                        <w:szCs w:val="18"/>
                      </w:rPr>
                    </w:pPr>
                  </w:p>
                </w:tc>
                <w:tc>
                  <w:tcPr>
                    <w:tcW w:w="567" w:type="dxa"/>
                    <w:tcBorders>
                      <w:left w:val="single" w:color="auto" w:sz="4" w:space="0"/>
                    </w:tcBorders>
                  </w:tcPr>
                  <w:p>
                    <w:pPr>
                      <w:jc w:val="right"/>
                      <w:rPr>
                        <w:sz w:val="18"/>
                        <w:szCs w:val="18"/>
                      </w:rPr>
                    </w:pPr>
                  </w:p>
                </w:tc>
                <w:tc>
                  <w:tcPr>
                    <w:tcW w:w="1673" w:type="dxa"/>
                  </w:tcPr>
                  <w:p>
                    <w:pPr>
                      <w:jc w:val="right"/>
                      <w:rPr>
                        <w:sz w:val="18"/>
                        <w:szCs w:val="18"/>
                      </w:rPr>
                    </w:pPr>
                  </w:p>
                </w:tc>
                <w:tc>
                  <w:tcPr>
                    <w:tcW w:w="427" w:type="dxa"/>
                  </w:tcPr>
                  <w:p>
                    <w:pPr>
                      <w:jc w:val="right"/>
                      <w:rPr>
                        <w:sz w:val="18"/>
                        <w:szCs w:val="18"/>
                      </w:rPr>
                    </w:pPr>
                  </w:p>
                </w:tc>
                <w:tc>
                  <w:tcPr>
                    <w:tcW w:w="565" w:type="dxa"/>
                  </w:tcPr>
                  <w:p>
                    <w:pPr>
                      <w:jc w:val="right"/>
                      <w:rPr>
                        <w:sz w:val="18"/>
                        <w:szCs w:val="18"/>
                      </w:rPr>
                    </w:pPr>
                  </w:p>
                </w:tc>
                <w:tc>
                  <w:tcPr>
                    <w:tcW w:w="425" w:type="dxa"/>
                  </w:tcPr>
                  <w:p>
                    <w:pPr>
                      <w:jc w:val="right"/>
                      <w:rPr>
                        <w:sz w:val="18"/>
                        <w:szCs w:val="18"/>
                      </w:rPr>
                    </w:pPr>
                  </w:p>
                </w:tc>
                <w:tc>
                  <w:tcPr>
                    <w:tcW w:w="1701" w:type="dxa"/>
                  </w:tcPr>
                  <w:p>
                    <w:pPr>
                      <w:jc w:val="right"/>
                      <w:rPr>
                        <w:sz w:val="18"/>
                        <w:szCs w:val="18"/>
                      </w:rPr>
                    </w:pPr>
                  </w:p>
                </w:tc>
                <w:tc>
                  <w:tcPr>
                    <w:tcW w:w="1418" w:type="dxa"/>
                  </w:tcPr>
                  <w:p>
                    <w:pPr>
                      <w:jc w:val="right"/>
                      <w:rPr>
                        <w:sz w:val="18"/>
                        <w:szCs w:val="18"/>
                      </w:rPr>
                    </w:pPr>
                  </w:p>
                </w:tc>
                <w:tc>
                  <w:tcPr>
                    <w:tcW w:w="1871"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sz w:val="18"/>
                        <w:szCs w:val="18"/>
                      </w:rPr>
                      <w:tag w:val="_PLD_e2c794a3876347288864cf2ea4ed53e5"/>
                      <w:id w:val="865723979"/>
                      <w:lock w:val="sdtLocked"/>
                    </w:sdtPr>
                    <w:sdtEndPr>
                      <w:rPr>
                        <w:sz w:val="18"/>
                        <w:szCs w:val="18"/>
                      </w:rPr>
                    </w:sdtEndPr>
                    <w:sdtContent>
                      <w:p>
                        <w:pPr>
                          <w:rPr>
                            <w:sz w:val="18"/>
                            <w:szCs w:val="18"/>
                          </w:rPr>
                        </w:pPr>
                        <w:r>
                          <w:rPr>
                            <w:sz w:val="18"/>
                            <w:szCs w:val="18"/>
                          </w:rPr>
                          <w:t>5．其他综合收益结转留存收益</w:t>
                        </w:r>
                      </w:p>
                    </w:sdtContent>
                  </w:sdt>
                </w:tc>
                <w:tc>
                  <w:tcPr>
                    <w:tcW w:w="1434" w:type="dxa"/>
                    <w:tcBorders>
                      <w:right w:val="single" w:color="auto" w:sz="4" w:space="0"/>
                    </w:tcBorders>
                  </w:tcPr>
                  <w:p>
                    <w:pPr>
                      <w:jc w:val="right"/>
                      <w:rPr>
                        <w:sz w:val="18"/>
                        <w:szCs w:val="18"/>
                      </w:rPr>
                    </w:pPr>
                  </w:p>
                </w:tc>
                <w:tc>
                  <w:tcPr>
                    <w:tcW w:w="694" w:type="dxa"/>
                    <w:tcBorders>
                      <w:left w:val="single" w:color="auto" w:sz="4" w:space="0"/>
                      <w:right w:val="single" w:color="auto" w:sz="4" w:space="0"/>
                    </w:tcBorders>
                  </w:tcPr>
                  <w:p>
                    <w:pPr>
                      <w:jc w:val="right"/>
                      <w:rPr>
                        <w:sz w:val="18"/>
                        <w:szCs w:val="18"/>
                      </w:rPr>
                    </w:pPr>
                  </w:p>
                </w:tc>
                <w:tc>
                  <w:tcPr>
                    <w:tcW w:w="723" w:type="dxa"/>
                    <w:tcBorders>
                      <w:left w:val="single" w:color="auto" w:sz="4" w:space="0"/>
                      <w:right w:val="single" w:color="auto" w:sz="4" w:space="0"/>
                    </w:tcBorders>
                  </w:tcPr>
                  <w:p>
                    <w:pPr>
                      <w:jc w:val="right"/>
                      <w:rPr>
                        <w:sz w:val="18"/>
                        <w:szCs w:val="18"/>
                      </w:rPr>
                    </w:pPr>
                  </w:p>
                </w:tc>
                <w:tc>
                  <w:tcPr>
                    <w:tcW w:w="567" w:type="dxa"/>
                    <w:tcBorders>
                      <w:left w:val="single" w:color="auto" w:sz="4" w:space="0"/>
                    </w:tcBorders>
                  </w:tcPr>
                  <w:p>
                    <w:pPr>
                      <w:jc w:val="right"/>
                      <w:rPr>
                        <w:sz w:val="18"/>
                        <w:szCs w:val="18"/>
                      </w:rPr>
                    </w:pPr>
                  </w:p>
                </w:tc>
                <w:tc>
                  <w:tcPr>
                    <w:tcW w:w="1673" w:type="dxa"/>
                  </w:tcPr>
                  <w:p>
                    <w:pPr>
                      <w:jc w:val="right"/>
                      <w:rPr>
                        <w:sz w:val="18"/>
                        <w:szCs w:val="18"/>
                      </w:rPr>
                    </w:pPr>
                  </w:p>
                </w:tc>
                <w:tc>
                  <w:tcPr>
                    <w:tcW w:w="427" w:type="dxa"/>
                  </w:tcPr>
                  <w:p>
                    <w:pPr>
                      <w:jc w:val="right"/>
                      <w:rPr>
                        <w:sz w:val="18"/>
                        <w:szCs w:val="18"/>
                      </w:rPr>
                    </w:pPr>
                  </w:p>
                </w:tc>
                <w:tc>
                  <w:tcPr>
                    <w:tcW w:w="565" w:type="dxa"/>
                  </w:tcPr>
                  <w:p>
                    <w:pPr>
                      <w:jc w:val="right"/>
                      <w:rPr>
                        <w:sz w:val="18"/>
                        <w:szCs w:val="18"/>
                      </w:rPr>
                    </w:pPr>
                  </w:p>
                </w:tc>
                <w:tc>
                  <w:tcPr>
                    <w:tcW w:w="425" w:type="dxa"/>
                  </w:tcPr>
                  <w:p>
                    <w:pPr>
                      <w:jc w:val="right"/>
                      <w:rPr>
                        <w:sz w:val="18"/>
                        <w:szCs w:val="18"/>
                      </w:rPr>
                    </w:pPr>
                  </w:p>
                </w:tc>
                <w:tc>
                  <w:tcPr>
                    <w:tcW w:w="1701" w:type="dxa"/>
                  </w:tcPr>
                  <w:p>
                    <w:pPr>
                      <w:jc w:val="right"/>
                      <w:rPr>
                        <w:sz w:val="18"/>
                        <w:szCs w:val="18"/>
                      </w:rPr>
                    </w:pPr>
                  </w:p>
                </w:tc>
                <w:tc>
                  <w:tcPr>
                    <w:tcW w:w="1418" w:type="dxa"/>
                  </w:tcPr>
                  <w:p>
                    <w:pPr>
                      <w:jc w:val="right"/>
                      <w:rPr>
                        <w:sz w:val="18"/>
                        <w:szCs w:val="18"/>
                      </w:rPr>
                    </w:pPr>
                  </w:p>
                </w:tc>
                <w:tc>
                  <w:tcPr>
                    <w:tcW w:w="1871"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sz w:val="18"/>
                        <w:szCs w:val="18"/>
                      </w:rPr>
                      <w:tag w:val="_PLD_921b15a12ec54658b00654a6a398aa0c"/>
                      <w:id w:val="865723980"/>
                      <w:lock w:val="sdtLocked"/>
                    </w:sdtPr>
                    <w:sdtEndPr>
                      <w:rPr>
                        <w:sz w:val="18"/>
                        <w:szCs w:val="18"/>
                      </w:rPr>
                    </w:sdtEndPr>
                    <w:sdtContent>
                      <w:p>
                        <w:r>
                          <w:rPr>
                            <w:sz w:val="18"/>
                            <w:szCs w:val="18"/>
                          </w:rPr>
                          <w:t>6．其他</w:t>
                        </w:r>
                      </w:p>
                    </w:sdtContent>
                  </w:sdt>
                </w:tc>
                <w:tc>
                  <w:tcPr>
                    <w:tcW w:w="1434" w:type="dxa"/>
                    <w:tcBorders>
                      <w:right w:val="single" w:color="auto" w:sz="4" w:space="0"/>
                    </w:tcBorders>
                  </w:tcPr>
                  <w:p>
                    <w:pPr>
                      <w:jc w:val="right"/>
                      <w:rPr>
                        <w:sz w:val="18"/>
                        <w:szCs w:val="18"/>
                      </w:rPr>
                    </w:pPr>
                  </w:p>
                </w:tc>
                <w:tc>
                  <w:tcPr>
                    <w:tcW w:w="694" w:type="dxa"/>
                    <w:tcBorders>
                      <w:left w:val="single" w:color="auto" w:sz="4" w:space="0"/>
                      <w:right w:val="single" w:color="auto" w:sz="4" w:space="0"/>
                    </w:tcBorders>
                  </w:tcPr>
                  <w:p>
                    <w:pPr>
                      <w:jc w:val="right"/>
                      <w:rPr>
                        <w:sz w:val="18"/>
                        <w:szCs w:val="18"/>
                      </w:rPr>
                    </w:pPr>
                  </w:p>
                </w:tc>
                <w:tc>
                  <w:tcPr>
                    <w:tcW w:w="723" w:type="dxa"/>
                    <w:tcBorders>
                      <w:left w:val="single" w:color="auto" w:sz="4" w:space="0"/>
                      <w:right w:val="single" w:color="auto" w:sz="4" w:space="0"/>
                    </w:tcBorders>
                  </w:tcPr>
                  <w:p>
                    <w:pPr>
                      <w:jc w:val="right"/>
                      <w:rPr>
                        <w:sz w:val="18"/>
                        <w:szCs w:val="18"/>
                      </w:rPr>
                    </w:pPr>
                  </w:p>
                </w:tc>
                <w:tc>
                  <w:tcPr>
                    <w:tcW w:w="567" w:type="dxa"/>
                    <w:tcBorders>
                      <w:left w:val="single" w:color="auto" w:sz="4" w:space="0"/>
                    </w:tcBorders>
                  </w:tcPr>
                  <w:p>
                    <w:pPr>
                      <w:jc w:val="right"/>
                      <w:rPr>
                        <w:sz w:val="18"/>
                        <w:szCs w:val="18"/>
                      </w:rPr>
                    </w:pPr>
                  </w:p>
                </w:tc>
                <w:tc>
                  <w:tcPr>
                    <w:tcW w:w="1673" w:type="dxa"/>
                  </w:tcPr>
                  <w:p>
                    <w:pPr>
                      <w:jc w:val="right"/>
                      <w:rPr>
                        <w:sz w:val="18"/>
                        <w:szCs w:val="18"/>
                      </w:rPr>
                    </w:pPr>
                  </w:p>
                </w:tc>
                <w:tc>
                  <w:tcPr>
                    <w:tcW w:w="427" w:type="dxa"/>
                  </w:tcPr>
                  <w:p>
                    <w:pPr>
                      <w:jc w:val="right"/>
                      <w:rPr>
                        <w:sz w:val="18"/>
                        <w:szCs w:val="18"/>
                      </w:rPr>
                    </w:pPr>
                  </w:p>
                </w:tc>
                <w:tc>
                  <w:tcPr>
                    <w:tcW w:w="565" w:type="dxa"/>
                  </w:tcPr>
                  <w:p>
                    <w:pPr>
                      <w:jc w:val="right"/>
                      <w:rPr>
                        <w:sz w:val="18"/>
                        <w:szCs w:val="18"/>
                      </w:rPr>
                    </w:pPr>
                  </w:p>
                </w:tc>
                <w:tc>
                  <w:tcPr>
                    <w:tcW w:w="425" w:type="dxa"/>
                  </w:tcPr>
                  <w:p>
                    <w:pPr>
                      <w:jc w:val="right"/>
                      <w:rPr>
                        <w:sz w:val="18"/>
                        <w:szCs w:val="18"/>
                      </w:rPr>
                    </w:pPr>
                  </w:p>
                </w:tc>
                <w:tc>
                  <w:tcPr>
                    <w:tcW w:w="1701" w:type="dxa"/>
                  </w:tcPr>
                  <w:p>
                    <w:pPr>
                      <w:jc w:val="right"/>
                      <w:rPr>
                        <w:sz w:val="18"/>
                        <w:szCs w:val="18"/>
                      </w:rPr>
                    </w:pPr>
                  </w:p>
                </w:tc>
                <w:tc>
                  <w:tcPr>
                    <w:tcW w:w="1418" w:type="dxa"/>
                  </w:tcPr>
                  <w:p>
                    <w:pPr>
                      <w:jc w:val="right"/>
                      <w:rPr>
                        <w:sz w:val="18"/>
                        <w:szCs w:val="18"/>
                      </w:rPr>
                    </w:pPr>
                  </w:p>
                </w:tc>
                <w:tc>
                  <w:tcPr>
                    <w:tcW w:w="1871"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ea236cbce24c48eabfeb2f3f4a19c5a8"/>
                    <w:id w:val="865723981"/>
                    <w:lock w:val="sdtLocked"/>
                  </w:sdtPr>
                  <w:sdtContent>
                    <w:tc>
                      <w:tcPr>
                        <w:tcW w:w="2450" w:type="dxa"/>
                        <w:vAlign w:val="center"/>
                      </w:tcPr>
                      <w:p>
                        <w:pPr>
                          <w:rPr>
                            <w:sz w:val="18"/>
                            <w:szCs w:val="18"/>
                          </w:rPr>
                        </w:pPr>
                        <w:r>
                          <w:rPr>
                            <w:rFonts w:hint="eastAsia"/>
                            <w:sz w:val="18"/>
                            <w:szCs w:val="18"/>
                          </w:rPr>
                          <w:t>（五）专项储备</w:t>
                        </w:r>
                      </w:p>
                    </w:tc>
                  </w:sdtContent>
                </w:sdt>
                <w:tc>
                  <w:tcPr>
                    <w:tcW w:w="1434" w:type="dxa"/>
                    <w:tcBorders>
                      <w:right w:val="single" w:color="auto" w:sz="4" w:space="0"/>
                    </w:tcBorders>
                  </w:tcPr>
                  <w:p>
                    <w:pPr>
                      <w:jc w:val="right"/>
                      <w:rPr>
                        <w:sz w:val="18"/>
                        <w:szCs w:val="18"/>
                      </w:rPr>
                    </w:pPr>
                  </w:p>
                </w:tc>
                <w:tc>
                  <w:tcPr>
                    <w:tcW w:w="694" w:type="dxa"/>
                    <w:tcBorders>
                      <w:left w:val="single" w:color="auto" w:sz="4" w:space="0"/>
                      <w:right w:val="single" w:color="auto" w:sz="4" w:space="0"/>
                    </w:tcBorders>
                  </w:tcPr>
                  <w:p>
                    <w:pPr>
                      <w:jc w:val="right"/>
                      <w:rPr>
                        <w:sz w:val="18"/>
                        <w:szCs w:val="18"/>
                      </w:rPr>
                    </w:pPr>
                  </w:p>
                </w:tc>
                <w:tc>
                  <w:tcPr>
                    <w:tcW w:w="723" w:type="dxa"/>
                    <w:tcBorders>
                      <w:left w:val="single" w:color="auto" w:sz="4" w:space="0"/>
                      <w:right w:val="single" w:color="auto" w:sz="4" w:space="0"/>
                    </w:tcBorders>
                  </w:tcPr>
                  <w:p>
                    <w:pPr>
                      <w:jc w:val="right"/>
                      <w:rPr>
                        <w:sz w:val="18"/>
                        <w:szCs w:val="18"/>
                      </w:rPr>
                    </w:pPr>
                  </w:p>
                </w:tc>
                <w:tc>
                  <w:tcPr>
                    <w:tcW w:w="567" w:type="dxa"/>
                    <w:tcBorders>
                      <w:left w:val="single" w:color="auto" w:sz="4" w:space="0"/>
                    </w:tcBorders>
                  </w:tcPr>
                  <w:p>
                    <w:pPr>
                      <w:jc w:val="right"/>
                      <w:rPr>
                        <w:sz w:val="18"/>
                        <w:szCs w:val="18"/>
                      </w:rPr>
                    </w:pPr>
                  </w:p>
                </w:tc>
                <w:tc>
                  <w:tcPr>
                    <w:tcW w:w="1673" w:type="dxa"/>
                  </w:tcPr>
                  <w:p>
                    <w:pPr>
                      <w:jc w:val="right"/>
                      <w:rPr>
                        <w:sz w:val="18"/>
                        <w:szCs w:val="18"/>
                      </w:rPr>
                    </w:pPr>
                  </w:p>
                </w:tc>
                <w:tc>
                  <w:tcPr>
                    <w:tcW w:w="427" w:type="dxa"/>
                  </w:tcPr>
                  <w:p>
                    <w:pPr>
                      <w:jc w:val="right"/>
                      <w:rPr>
                        <w:sz w:val="18"/>
                        <w:szCs w:val="18"/>
                      </w:rPr>
                    </w:pPr>
                  </w:p>
                </w:tc>
                <w:tc>
                  <w:tcPr>
                    <w:tcW w:w="565" w:type="dxa"/>
                  </w:tcPr>
                  <w:p>
                    <w:pPr>
                      <w:jc w:val="right"/>
                      <w:rPr>
                        <w:sz w:val="18"/>
                        <w:szCs w:val="18"/>
                      </w:rPr>
                    </w:pPr>
                  </w:p>
                </w:tc>
                <w:tc>
                  <w:tcPr>
                    <w:tcW w:w="425" w:type="dxa"/>
                  </w:tcPr>
                  <w:p>
                    <w:pPr>
                      <w:jc w:val="right"/>
                      <w:rPr>
                        <w:sz w:val="18"/>
                        <w:szCs w:val="18"/>
                      </w:rPr>
                    </w:pPr>
                  </w:p>
                </w:tc>
                <w:tc>
                  <w:tcPr>
                    <w:tcW w:w="1701" w:type="dxa"/>
                  </w:tcPr>
                  <w:p>
                    <w:pPr>
                      <w:jc w:val="right"/>
                      <w:rPr>
                        <w:sz w:val="18"/>
                        <w:szCs w:val="18"/>
                      </w:rPr>
                    </w:pPr>
                  </w:p>
                </w:tc>
                <w:tc>
                  <w:tcPr>
                    <w:tcW w:w="1418" w:type="dxa"/>
                  </w:tcPr>
                  <w:p>
                    <w:pPr>
                      <w:jc w:val="right"/>
                      <w:rPr>
                        <w:sz w:val="18"/>
                        <w:szCs w:val="18"/>
                      </w:rPr>
                    </w:pPr>
                  </w:p>
                </w:tc>
                <w:tc>
                  <w:tcPr>
                    <w:tcW w:w="1871"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798cf6aa8f24816a06eab77e71e6a42"/>
                    <w:id w:val="865723982"/>
                    <w:lock w:val="sdtLocked"/>
                  </w:sdtPr>
                  <w:sdtContent>
                    <w:tc>
                      <w:tcPr>
                        <w:tcW w:w="2450" w:type="dxa"/>
                        <w:vAlign w:val="center"/>
                      </w:tcPr>
                      <w:p>
                        <w:pPr>
                          <w:rPr>
                            <w:sz w:val="18"/>
                            <w:szCs w:val="18"/>
                          </w:rPr>
                        </w:pPr>
                        <w:r>
                          <w:rPr>
                            <w:rFonts w:hint="eastAsia"/>
                            <w:sz w:val="18"/>
                            <w:szCs w:val="18"/>
                          </w:rPr>
                          <w:t>1．本期提取</w:t>
                        </w:r>
                      </w:p>
                    </w:tc>
                  </w:sdtContent>
                </w:sdt>
                <w:tc>
                  <w:tcPr>
                    <w:tcW w:w="1434" w:type="dxa"/>
                    <w:tcBorders>
                      <w:right w:val="single" w:color="auto" w:sz="4" w:space="0"/>
                    </w:tcBorders>
                  </w:tcPr>
                  <w:p>
                    <w:pPr>
                      <w:jc w:val="right"/>
                      <w:rPr>
                        <w:sz w:val="18"/>
                        <w:szCs w:val="18"/>
                      </w:rPr>
                    </w:pPr>
                  </w:p>
                </w:tc>
                <w:tc>
                  <w:tcPr>
                    <w:tcW w:w="694" w:type="dxa"/>
                    <w:tcBorders>
                      <w:left w:val="single" w:color="auto" w:sz="4" w:space="0"/>
                      <w:right w:val="single" w:color="auto" w:sz="4" w:space="0"/>
                    </w:tcBorders>
                  </w:tcPr>
                  <w:p>
                    <w:pPr>
                      <w:jc w:val="right"/>
                      <w:rPr>
                        <w:sz w:val="18"/>
                        <w:szCs w:val="18"/>
                      </w:rPr>
                    </w:pPr>
                  </w:p>
                </w:tc>
                <w:tc>
                  <w:tcPr>
                    <w:tcW w:w="723" w:type="dxa"/>
                    <w:tcBorders>
                      <w:left w:val="single" w:color="auto" w:sz="4" w:space="0"/>
                      <w:right w:val="single" w:color="auto" w:sz="4" w:space="0"/>
                    </w:tcBorders>
                  </w:tcPr>
                  <w:p>
                    <w:pPr>
                      <w:jc w:val="right"/>
                      <w:rPr>
                        <w:sz w:val="18"/>
                        <w:szCs w:val="18"/>
                      </w:rPr>
                    </w:pPr>
                  </w:p>
                </w:tc>
                <w:tc>
                  <w:tcPr>
                    <w:tcW w:w="567" w:type="dxa"/>
                    <w:tcBorders>
                      <w:left w:val="single" w:color="auto" w:sz="4" w:space="0"/>
                    </w:tcBorders>
                  </w:tcPr>
                  <w:p>
                    <w:pPr>
                      <w:jc w:val="right"/>
                      <w:rPr>
                        <w:sz w:val="18"/>
                        <w:szCs w:val="18"/>
                      </w:rPr>
                    </w:pPr>
                  </w:p>
                </w:tc>
                <w:tc>
                  <w:tcPr>
                    <w:tcW w:w="1673" w:type="dxa"/>
                  </w:tcPr>
                  <w:p>
                    <w:pPr>
                      <w:jc w:val="right"/>
                      <w:rPr>
                        <w:sz w:val="18"/>
                        <w:szCs w:val="18"/>
                      </w:rPr>
                    </w:pPr>
                  </w:p>
                </w:tc>
                <w:tc>
                  <w:tcPr>
                    <w:tcW w:w="427" w:type="dxa"/>
                  </w:tcPr>
                  <w:p>
                    <w:pPr>
                      <w:jc w:val="right"/>
                      <w:rPr>
                        <w:sz w:val="18"/>
                        <w:szCs w:val="18"/>
                      </w:rPr>
                    </w:pPr>
                  </w:p>
                </w:tc>
                <w:tc>
                  <w:tcPr>
                    <w:tcW w:w="565" w:type="dxa"/>
                  </w:tcPr>
                  <w:p>
                    <w:pPr>
                      <w:jc w:val="right"/>
                      <w:rPr>
                        <w:sz w:val="18"/>
                        <w:szCs w:val="18"/>
                      </w:rPr>
                    </w:pPr>
                  </w:p>
                </w:tc>
                <w:tc>
                  <w:tcPr>
                    <w:tcW w:w="425" w:type="dxa"/>
                  </w:tcPr>
                  <w:p>
                    <w:pPr>
                      <w:jc w:val="right"/>
                      <w:rPr>
                        <w:sz w:val="18"/>
                        <w:szCs w:val="18"/>
                      </w:rPr>
                    </w:pPr>
                  </w:p>
                </w:tc>
                <w:tc>
                  <w:tcPr>
                    <w:tcW w:w="1701" w:type="dxa"/>
                  </w:tcPr>
                  <w:p>
                    <w:pPr>
                      <w:jc w:val="right"/>
                      <w:rPr>
                        <w:sz w:val="18"/>
                        <w:szCs w:val="18"/>
                      </w:rPr>
                    </w:pPr>
                  </w:p>
                </w:tc>
                <w:tc>
                  <w:tcPr>
                    <w:tcW w:w="1418" w:type="dxa"/>
                  </w:tcPr>
                  <w:p>
                    <w:pPr>
                      <w:jc w:val="right"/>
                      <w:rPr>
                        <w:sz w:val="18"/>
                        <w:szCs w:val="18"/>
                      </w:rPr>
                    </w:pPr>
                  </w:p>
                </w:tc>
                <w:tc>
                  <w:tcPr>
                    <w:tcW w:w="1871"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94f6f5256724757ad52c27b29a0bb7d"/>
                    <w:id w:val="865723983"/>
                    <w:lock w:val="sdtLocked"/>
                  </w:sdtPr>
                  <w:sdtContent>
                    <w:tc>
                      <w:tcPr>
                        <w:tcW w:w="2450" w:type="dxa"/>
                        <w:vAlign w:val="center"/>
                      </w:tcPr>
                      <w:p>
                        <w:pPr>
                          <w:rPr>
                            <w:sz w:val="18"/>
                            <w:szCs w:val="18"/>
                          </w:rPr>
                        </w:pPr>
                        <w:r>
                          <w:rPr>
                            <w:rFonts w:hint="eastAsia"/>
                            <w:sz w:val="18"/>
                            <w:szCs w:val="18"/>
                          </w:rPr>
                          <w:t>2．本期使用</w:t>
                        </w:r>
                      </w:p>
                    </w:tc>
                  </w:sdtContent>
                </w:sdt>
                <w:tc>
                  <w:tcPr>
                    <w:tcW w:w="1434" w:type="dxa"/>
                    <w:tcBorders>
                      <w:right w:val="single" w:color="auto" w:sz="4" w:space="0"/>
                    </w:tcBorders>
                  </w:tcPr>
                  <w:p>
                    <w:pPr>
                      <w:jc w:val="right"/>
                      <w:rPr>
                        <w:sz w:val="18"/>
                        <w:szCs w:val="18"/>
                      </w:rPr>
                    </w:pPr>
                  </w:p>
                </w:tc>
                <w:tc>
                  <w:tcPr>
                    <w:tcW w:w="694" w:type="dxa"/>
                    <w:tcBorders>
                      <w:left w:val="single" w:color="auto" w:sz="4" w:space="0"/>
                      <w:right w:val="single" w:color="auto" w:sz="4" w:space="0"/>
                    </w:tcBorders>
                  </w:tcPr>
                  <w:p>
                    <w:pPr>
                      <w:jc w:val="right"/>
                      <w:rPr>
                        <w:sz w:val="18"/>
                        <w:szCs w:val="18"/>
                      </w:rPr>
                    </w:pPr>
                  </w:p>
                </w:tc>
                <w:tc>
                  <w:tcPr>
                    <w:tcW w:w="723" w:type="dxa"/>
                    <w:tcBorders>
                      <w:left w:val="single" w:color="auto" w:sz="4" w:space="0"/>
                      <w:right w:val="single" w:color="auto" w:sz="4" w:space="0"/>
                    </w:tcBorders>
                  </w:tcPr>
                  <w:p>
                    <w:pPr>
                      <w:jc w:val="right"/>
                      <w:rPr>
                        <w:sz w:val="18"/>
                        <w:szCs w:val="18"/>
                      </w:rPr>
                    </w:pPr>
                  </w:p>
                </w:tc>
                <w:tc>
                  <w:tcPr>
                    <w:tcW w:w="567" w:type="dxa"/>
                    <w:tcBorders>
                      <w:left w:val="single" w:color="auto" w:sz="4" w:space="0"/>
                    </w:tcBorders>
                  </w:tcPr>
                  <w:p>
                    <w:pPr>
                      <w:jc w:val="right"/>
                      <w:rPr>
                        <w:sz w:val="18"/>
                        <w:szCs w:val="18"/>
                      </w:rPr>
                    </w:pPr>
                  </w:p>
                </w:tc>
                <w:tc>
                  <w:tcPr>
                    <w:tcW w:w="1673" w:type="dxa"/>
                  </w:tcPr>
                  <w:p>
                    <w:pPr>
                      <w:jc w:val="right"/>
                      <w:rPr>
                        <w:sz w:val="18"/>
                        <w:szCs w:val="18"/>
                      </w:rPr>
                    </w:pPr>
                  </w:p>
                </w:tc>
                <w:tc>
                  <w:tcPr>
                    <w:tcW w:w="427" w:type="dxa"/>
                  </w:tcPr>
                  <w:p>
                    <w:pPr>
                      <w:jc w:val="right"/>
                      <w:rPr>
                        <w:sz w:val="18"/>
                        <w:szCs w:val="18"/>
                      </w:rPr>
                    </w:pPr>
                  </w:p>
                </w:tc>
                <w:tc>
                  <w:tcPr>
                    <w:tcW w:w="565" w:type="dxa"/>
                  </w:tcPr>
                  <w:p>
                    <w:pPr>
                      <w:jc w:val="right"/>
                      <w:rPr>
                        <w:sz w:val="18"/>
                        <w:szCs w:val="18"/>
                      </w:rPr>
                    </w:pPr>
                  </w:p>
                </w:tc>
                <w:tc>
                  <w:tcPr>
                    <w:tcW w:w="425" w:type="dxa"/>
                  </w:tcPr>
                  <w:p>
                    <w:pPr>
                      <w:jc w:val="right"/>
                      <w:rPr>
                        <w:sz w:val="18"/>
                        <w:szCs w:val="18"/>
                      </w:rPr>
                    </w:pPr>
                  </w:p>
                </w:tc>
                <w:tc>
                  <w:tcPr>
                    <w:tcW w:w="1701" w:type="dxa"/>
                  </w:tcPr>
                  <w:p>
                    <w:pPr>
                      <w:jc w:val="right"/>
                      <w:rPr>
                        <w:sz w:val="18"/>
                        <w:szCs w:val="18"/>
                      </w:rPr>
                    </w:pPr>
                  </w:p>
                </w:tc>
                <w:tc>
                  <w:tcPr>
                    <w:tcW w:w="1418" w:type="dxa"/>
                  </w:tcPr>
                  <w:p>
                    <w:pPr>
                      <w:jc w:val="right"/>
                      <w:rPr>
                        <w:sz w:val="18"/>
                        <w:szCs w:val="18"/>
                      </w:rPr>
                    </w:pPr>
                  </w:p>
                </w:tc>
                <w:tc>
                  <w:tcPr>
                    <w:tcW w:w="1871"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633049a29464fd58ed8f9bdc82f6c7b"/>
                    <w:id w:val="865723984"/>
                    <w:lock w:val="sdtLocked"/>
                  </w:sdtPr>
                  <w:sdtContent>
                    <w:tc>
                      <w:tcPr>
                        <w:tcW w:w="2450" w:type="dxa"/>
                      </w:tcPr>
                      <w:p>
                        <w:pPr>
                          <w:rPr>
                            <w:sz w:val="18"/>
                            <w:szCs w:val="18"/>
                          </w:rPr>
                        </w:pPr>
                        <w:r>
                          <w:rPr>
                            <w:rFonts w:hint="eastAsia"/>
                            <w:sz w:val="18"/>
                            <w:szCs w:val="18"/>
                          </w:rPr>
                          <w:t>（六）其他</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694"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673" w:type="dxa"/>
                    <w:vAlign w:val="center"/>
                  </w:tcPr>
                  <w:p>
                    <w:pPr>
                      <w:jc w:val="right"/>
                      <w:rPr>
                        <w:rFonts w:ascii="Times New Roman" w:hAnsi="Times New Roman" w:cs="Times New Roman"/>
                        <w:sz w:val="18"/>
                        <w:szCs w:val="18"/>
                      </w:rPr>
                    </w:pPr>
                  </w:p>
                </w:tc>
                <w:tc>
                  <w:tcPr>
                    <w:tcW w:w="427" w:type="dxa"/>
                    <w:vAlign w:val="center"/>
                  </w:tcPr>
                  <w:p>
                    <w:pPr>
                      <w:jc w:val="right"/>
                      <w:rPr>
                        <w:rFonts w:ascii="Times New Roman" w:hAnsi="Times New Roman" w:cs="Times New Roman"/>
                        <w:sz w:val="18"/>
                        <w:szCs w:val="18"/>
                      </w:rPr>
                    </w:pPr>
                  </w:p>
                </w:tc>
                <w:tc>
                  <w:tcPr>
                    <w:tcW w:w="565" w:type="dxa"/>
                    <w:vAlign w:val="center"/>
                  </w:tcPr>
                  <w:p>
                    <w:pPr>
                      <w:jc w:val="right"/>
                      <w:rPr>
                        <w:rFonts w:ascii="Times New Roman" w:hAnsi="Times New Roman" w:cs="Times New Roman"/>
                        <w:sz w:val="18"/>
                        <w:szCs w:val="18"/>
                      </w:rPr>
                    </w:pPr>
                  </w:p>
                </w:tc>
                <w:tc>
                  <w:tcPr>
                    <w:tcW w:w="425"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8" w:type="dxa"/>
                    <w:vAlign w:val="center"/>
                  </w:tcPr>
                  <w:p>
                    <w:pPr>
                      <w:jc w:val="right"/>
                      <w:rPr>
                        <w:rFonts w:ascii="Times New Roman" w:hAnsi="Times New Roman" w:cs="Times New Roman"/>
                        <w:sz w:val="18"/>
                        <w:szCs w:val="18"/>
                      </w:rPr>
                    </w:pPr>
                  </w:p>
                </w:tc>
                <w:tc>
                  <w:tcPr>
                    <w:tcW w:w="1871" w:type="dxa"/>
                    <w:vAlign w:val="center"/>
                  </w:tcPr>
                  <w:p>
                    <w:pPr>
                      <w:jc w:val="righ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0d209cea233c428da026233fffdd75cf"/>
                    <w:id w:val="865723985"/>
                    <w:lock w:val="sdtLocked"/>
                  </w:sdtPr>
                  <w:sdtContent>
                    <w:tc>
                      <w:tcPr>
                        <w:tcW w:w="2450" w:type="dxa"/>
                      </w:tcPr>
                      <w:p>
                        <w:pPr>
                          <w:rPr>
                            <w:sz w:val="18"/>
                            <w:szCs w:val="18"/>
                          </w:rPr>
                        </w:pPr>
                        <w:r>
                          <w:rPr>
                            <w:sz w:val="18"/>
                            <w:szCs w:val="18"/>
                          </w:rPr>
                          <w:t>四、本期期末余额</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694"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673" w:type="dxa"/>
                    <w:vAlign w:val="center"/>
                  </w:tcPr>
                  <w:p>
                    <w:pPr>
                      <w:jc w:val="right"/>
                      <w:rPr>
                        <w:rFonts w:ascii="Times New Roman" w:hAnsi="Times New Roman" w:cs="Times New Roman"/>
                        <w:sz w:val="18"/>
                        <w:szCs w:val="18"/>
                      </w:rPr>
                    </w:pPr>
                    <w:r>
                      <w:rPr>
                        <w:rFonts w:ascii="Times New Roman" w:hAnsi="Times New Roman" w:cs="Times New Roman"/>
                        <w:sz w:val="18"/>
                        <w:szCs w:val="18"/>
                      </w:rPr>
                      <w:t>579,271,389.07</w:t>
                    </w:r>
                  </w:p>
                </w:tc>
                <w:tc>
                  <w:tcPr>
                    <w:tcW w:w="427" w:type="dxa"/>
                    <w:vAlign w:val="center"/>
                  </w:tcPr>
                  <w:p>
                    <w:pPr>
                      <w:jc w:val="right"/>
                      <w:rPr>
                        <w:rFonts w:ascii="Times New Roman" w:hAnsi="Times New Roman" w:cs="Times New Roman"/>
                        <w:sz w:val="18"/>
                        <w:szCs w:val="18"/>
                      </w:rPr>
                    </w:pPr>
                  </w:p>
                </w:tc>
                <w:tc>
                  <w:tcPr>
                    <w:tcW w:w="565" w:type="dxa"/>
                    <w:vAlign w:val="center"/>
                  </w:tcPr>
                  <w:p>
                    <w:pPr>
                      <w:jc w:val="right"/>
                      <w:rPr>
                        <w:rFonts w:ascii="Times New Roman" w:hAnsi="Times New Roman" w:cs="Times New Roman"/>
                        <w:sz w:val="18"/>
                        <w:szCs w:val="18"/>
                      </w:rPr>
                    </w:pPr>
                  </w:p>
                </w:tc>
                <w:tc>
                  <w:tcPr>
                    <w:tcW w:w="425"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r>
                      <w:rPr>
                        <w:rFonts w:ascii="Times New Roman" w:hAnsi="Times New Roman" w:cs="Times New Roman"/>
                        <w:sz w:val="18"/>
                        <w:szCs w:val="18"/>
                      </w:rPr>
                      <w:t>217,325,819.43</w:t>
                    </w:r>
                  </w:p>
                </w:tc>
                <w:tc>
                  <w:tcPr>
                    <w:tcW w:w="1418" w:type="dxa"/>
                    <w:vAlign w:val="center"/>
                  </w:tcPr>
                  <w:p>
                    <w:pPr>
                      <w:jc w:val="right"/>
                      <w:rPr>
                        <w:rFonts w:ascii="Times New Roman" w:hAnsi="Times New Roman" w:cs="Times New Roman"/>
                        <w:sz w:val="18"/>
                        <w:szCs w:val="18"/>
                      </w:rPr>
                    </w:pPr>
                    <w:r>
                      <w:rPr>
                        <w:rFonts w:ascii="Times New Roman" w:hAnsi="Times New Roman" w:cs="Times New Roman"/>
                        <w:sz w:val="18"/>
                        <w:szCs w:val="18"/>
                      </w:rPr>
                      <w:t>694,795,482.03</w:t>
                    </w:r>
                  </w:p>
                </w:tc>
                <w:tc>
                  <w:tcPr>
                    <w:tcW w:w="1871" w:type="dxa"/>
                    <w:vAlign w:val="center"/>
                  </w:tcPr>
                  <w:p>
                    <w:pPr>
                      <w:jc w:val="right"/>
                      <w:rPr>
                        <w:rFonts w:ascii="Times New Roman" w:hAnsi="Times New Roman" w:cs="Times New Roman"/>
                        <w:sz w:val="18"/>
                        <w:szCs w:val="18"/>
                      </w:rPr>
                    </w:pPr>
                    <w:r>
                      <w:rPr>
                        <w:rFonts w:ascii="Times New Roman" w:hAnsi="Times New Roman" w:cs="Times New Roman"/>
                        <w:sz w:val="18"/>
                        <w:szCs w:val="18"/>
                      </w:rPr>
                      <w:t>2,041,392,690.53</w:t>
                    </w:r>
                  </w:p>
                </w:tc>
              </w:tr>
            </w:tbl>
            <w:p>
              <w:pPr>
                <w:rPr>
                  <w:szCs w:val="21"/>
                </w:rPr>
              </w:pPr>
            </w:p>
            <w:p>
              <w:pPr>
                <w:rPr>
                  <w:szCs w:val="21"/>
                </w:rPr>
              </w:pPr>
            </w:p>
            <w:tbl>
              <w:tblPr>
                <w:tblStyle w:val="107"/>
                <w:tblW w:w="13893" w:type="dxa"/>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94"/>
                <w:gridCol w:w="1434"/>
                <w:gridCol w:w="411"/>
                <w:gridCol w:w="723"/>
                <w:gridCol w:w="567"/>
                <w:gridCol w:w="1701"/>
                <w:gridCol w:w="709"/>
                <w:gridCol w:w="599"/>
                <w:gridCol w:w="677"/>
                <w:gridCol w:w="1701"/>
                <w:gridCol w:w="1417"/>
                <w:gridCol w:w="1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vMerge w:val="restart"/>
                    <w:vAlign w:val="center"/>
                  </w:tcPr>
                  <w:sdt>
                    <w:sdtPr>
                      <w:rPr>
                        <w:rFonts w:ascii="Times New Roman" w:hAnsi="Times New Roman" w:cs="Times New Roman"/>
                        <w:sz w:val="18"/>
                        <w:szCs w:val="18"/>
                      </w:rPr>
                      <w:tag w:val="_PLD_64a794ab75214f6d9d66748804bee4e8"/>
                      <w:id w:val="865723986"/>
                      <w:lock w:val="sdtLocked"/>
                    </w:sdtPr>
                    <w:sdtEndPr>
                      <w:rPr>
                        <w:rFonts w:ascii="Times New Roman" w:hAnsi="Times New Roman" w:cs="Times New Roman"/>
                        <w:sz w:val="18"/>
                        <w:szCs w:val="18"/>
                      </w:rPr>
                    </w:sdtEndPr>
                    <w:sdtContent>
                      <w:p>
                        <w:pPr>
                          <w:adjustRightInd w:val="0"/>
                          <w:snapToGrid w:val="0"/>
                          <w:jc w:val="center"/>
                          <w:rPr>
                            <w:rFonts w:ascii="Times New Roman" w:hAnsi="Times New Roman" w:cs="Times New Roman"/>
                            <w:sz w:val="18"/>
                            <w:szCs w:val="18"/>
                          </w:rPr>
                        </w:pPr>
                        <w:r>
                          <w:rPr>
                            <w:rFonts w:ascii="Times New Roman" w:cs="Times New Roman"/>
                            <w:sz w:val="18"/>
                            <w:szCs w:val="18"/>
                          </w:rPr>
                          <w:t>项目</w:t>
                        </w:r>
                      </w:p>
                    </w:sdtContent>
                  </w:sdt>
                </w:tc>
                <w:tc>
                  <w:tcPr>
                    <w:tcW w:w="11499" w:type="dxa"/>
                    <w:gridSpan w:val="11"/>
                  </w:tcPr>
                  <w:p>
                    <w:pPr>
                      <w:adjustRightInd w:val="0"/>
                      <w:snapToGrid w:val="0"/>
                      <w:jc w:val="center"/>
                      <w:rPr>
                        <w:rFonts w:ascii="Times New Roman" w:hAnsi="Times New Roman" w:cs="Times New Roman"/>
                        <w:sz w:val="18"/>
                      </w:rPr>
                    </w:pPr>
                    <w:r>
                      <w:rPr>
                        <w:rFonts w:ascii="Times New Roman" w:hAnsi="Times New Roman" w:cs="Times New Roman"/>
                        <w:sz w:val="18"/>
                      </w:rPr>
                      <w:t xml:space="preserve"> </w:t>
                    </w:r>
                    <w:sdt>
                      <w:sdtPr>
                        <w:rPr>
                          <w:rFonts w:ascii="Times New Roman" w:hAnsi="Times New Roman" w:cs="Times New Roman"/>
                          <w:sz w:val="18"/>
                        </w:rPr>
                        <w:tag w:val="_PLD_6226137cffd442dfb505b8cfe7d1f423"/>
                        <w:id w:val="865723987"/>
                        <w:lock w:val="sdtLocked"/>
                      </w:sdtPr>
                      <w:sdtEndPr>
                        <w:rPr>
                          <w:rFonts w:ascii="Times New Roman" w:hAnsi="Times New Roman" w:cs="Times New Roman"/>
                          <w:sz w:val="18"/>
                        </w:rPr>
                      </w:sdtEndPr>
                      <w:sdtContent>
                        <w:r>
                          <w:rPr>
                            <w:rFonts w:ascii="Times New Roman" w:hAnsi="Times New Roman" w:cs="Times New Roman"/>
                            <w:sz w:val="18"/>
                          </w:rPr>
                          <w:t>2020</w:t>
                        </w:r>
                        <w:r>
                          <w:rPr>
                            <w:rFonts w:ascii="Times New Roman" w:cs="Times New Roman"/>
                            <w:sz w:val="18"/>
                          </w:rPr>
                          <w:t>年度</w:t>
                        </w:r>
                      </w:sdtContent>
                    </w:sdt>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2394" w:type="dxa"/>
                    <w:vMerge w:val="continue"/>
                  </w:tcPr>
                  <w:p>
                    <w:pPr>
                      <w:adjustRightInd w:val="0"/>
                      <w:snapToGrid w:val="0"/>
                      <w:rPr>
                        <w:rFonts w:ascii="Times New Roman" w:hAnsi="Times New Roman" w:cs="Times New Roman"/>
                        <w:sz w:val="18"/>
                        <w:szCs w:val="18"/>
                      </w:rPr>
                    </w:pPr>
                  </w:p>
                </w:tc>
                <w:sdt>
                  <w:sdtPr>
                    <w:rPr>
                      <w:rFonts w:ascii="Times New Roman" w:hAnsi="Times New Roman" w:cs="Times New Roman"/>
                    </w:rPr>
                    <w:tag w:val="_PLD_e0e316f064db43a38ddec14c349b4dfa"/>
                    <w:id w:val="865723988"/>
                    <w:lock w:val="sdtLocked"/>
                  </w:sdtPr>
                  <w:sdtEndPr>
                    <w:rPr>
                      <w:rFonts w:ascii="Times New Roman" w:hAnsi="Times New Roman" w:cs="Times New Roman"/>
                    </w:rPr>
                  </w:sdtEndPr>
                  <w:sdtContent>
                    <w:tc>
                      <w:tcPr>
                        <w:tcW w:w="1434" w:type="dxa"/>
                        <w:vMerge w:val="restart"/>
                        <w:tcBorders>
                          <w:right w:val="single" w:color="auto" w:sz="4" w:space="0"/>
                        </w:tcBorders>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实收资本</w:t>
                        </w:r>
                        <w:r>
                          <w:rPr>
                            <w:rFonts w:ascii="Times New Roman" w:hAnsi="Times New Roman" w:cs="Times New Roman"/>
                            <w:sz w:val="18"/>
                            <w:szCs w:val="18"/>
                          </w:rPr>
                          <w:t xml:space="preserve"> (</w:t>
                        </w:r>
                        <w:r>
                          <w:rPr>
                            <w:rFonts w:ascii="Times New Roman" w:cs="Times New Roman"/>
                            <w:sz w:val="18"/>
                            <w:szCs w:val="18"/>
                          </w:rPr>
                          <w:t>或股本</w:t>
                        </w:r>
                        <w:r>
                          <w:rPr>
                            <w:rFonts w:ascii="Times New Roman" w:hAnsi="Times New Roman" w:cs="Times New Roman"/>
                            <w:sz w:val="18"/>
                            <w:szCs w:val="18"/>
                          </w:rPr>
                          <w:t>)</w:t>
                        </w:r>
                      </w:p>
                    </w:tc>
                  </w:sdtContent>
                </w:sdt>
                <w:sdt>
                  <w:sdtPr>
                    <w:rPr>
                      <w:rFonts w:ascii="Times New Roman" w:hAnsi="Times New Roman" w:cs="Times New Roman"/>
                    </w:rPr>
                    <w:tag w:val="_PLD_2c82747108ee4c518651265b45dbebcd"/>
                    <w:id w:val="865723989"/>
                    <w:lock w:val="sdtLocked"/>
                  </w:sdtPr>
                  <w:sdtEndPr>
                    <w:rPr>
                      <w:rFonts w:ascii="Times New Roman" w:hAnsi="Times New Roman" w:cs="Times New Roman"/>
                    </w:rPr>
                  </w:sdtEndPr>
                  <w:sdtContent>
                    <w:tc>
                      <w:tcPr>
                        <w:tcW w:w="1701" w:type="dxa"/>
                        <w:gridSpan w:val="3"/>
                        <w:tcBorders>
                          <w:left w:val="single" w:color="auto" w:sz="4" w:space="0"/>
                          <w:bottom w:val="single" w:color="auto" w:sz="4" w:space="0"/>
                        </w:tcBorders>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其他权益工具</w:t>
                        </w:r>
                      </w:p>
                    </w:tc>
                  </w:sdtContent>
                </w:sdt>
                <w:sdt>
                  <w:sdtPr>
                    <w:rPr>
                      <w:rFonts w:ascii="Times New Roman" w:hAnsi="Times New Roman" w:cs="Times New Roman"/>
                    </w:rPr>
                    <w:tag w:val="_PLD_c459549b516242be83fce2e92cc794e6"/>
                    <w:id w:val="865723990"/>
                    <w:lock w:val="sdtLocked"/>
                  </w:sdtPr>
                  <w:sdtEndPr>
                    <w:rPr>
                      <w:rFonts w:ascii="Times New Roman" w:hAnsi="Times New Roman" w:cs="Times New Roman"/>
                    </w:rPr>
                  </w:sdtEndPr>
                  <w:sdtContent>
                    <w:tc>
                      <w:tcPr>
                        <w:tcW w:w="1701" w:type="dxa"/>
                        <w:vMerge w:val="restart"/>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资本公积</w:t>
                        </w:r>
                      </w:p>
                    </w:tc>
                  </w:sdtContent>
                </w:sdt>
                <w:sdt>
                  <w:sdtPr>
                    <w:rPr>
                      <w:rFonts w:ascii="Times New Roman" w:hAnsi="Times New Roman" w:cs="Times New Roman"/>
                    </w:rPr>
                    <w:tag w:val="_PLD_9979085a666a4b7a9ee698268b0bb615"/>
                    <w:id w:val="865723991"/>
                    <w:lock w:val="sdtLocked"/>
                  </w:sdtPr>
                  <w:sdtEndPr>
                    <w:rPr>
                      <w:rFonts w:ascii="Times New Roman" w:hAnsi="Times New Roman" w:cs="Times New Roman"/>
                    </w:rPr>
                  </w:sdtEndPr>
                  <w:sdtContent>
                    <w:tc>
                      <w:tcPr>
                        <w:tcW w:w="709" w:type="dxa"/>
                        <w:vMerge w:val="restart"/>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减：库存股</w:t>
                        </w:r>
                      </w:p>
                    </w:tc>
                  </w:sdtContent>
                </w:sdt>
                <w:sdt>
                  <w:sdtPr>
                    <w:rPr>
                      <w:rFonts w:ascii="Times New Roman" w:hAnsi="Times New Roman" w:cs="Times New Roman"/>
                    </w:rPr>
                    <w:tag w:val="_PLD_3b870c2efbdc421980e0e6ed21bc828a"/>
                    <w:id w:val="865723992"/>
                    <w:lock w:val="sdtLocked"/>
                  </w:sdtPr>
                  <w:sdtEndPr>
                    <w:rPr>
                      <w:rFonts w:ascii="Times New Roman" w:hAnsi="Times New Roman" w:cs="Times New Roman"/>
                    </w:rPr>
                  </w:sdtEndPr>
                  <w:sdtContent>
                    <w:tc>
                      <w:tcPr>
                        <w:tcW w:w="599" w:type="dxa"/>
                        <w:vMerge w:val="restart"/>
                        <w:vAlign w:val="center"/>
                      </w:tcPr>
                      <w:p>
                        <w:pPr>
                          <w:jc w:val="center"/>
                          <w:rPr>
                            <w:rFonts w:ascii="Times New Roman" w:hAnsi="Times New Roman" w:cs="Times New Roman"/>
                            <w:sz w:val="18"/>
                            <w:szCs w:val="18"/>
                          </w:rPr>
                        </w:pPr>
                        <w:r>
                          <w:rPr>
                            <w:rFonts w:ascii="Times New Roman" w:cs="Times New Roman"/>
                            <w:sz w:val="18"/>
                            <w:szCs w:val="18"/>
                          </w:rPr>
                          <w:t>其他综合收益</w:t>
                        </w:r>
                      </w:p>
                    </w:tc>
                  </w:sdtContent>
                </w:sdt>
                <w:sdt>
                  <w:sdtPr>
                    <w:rPr>
                      <w:rFonts w:ascii="Times New Roman" w:hAnsi="Times New Roman" w:cs="Times New Roman"/>
                    </w:rPr>
                    <w:tag w:val="_PLD_68a9918174cf4752ad67388e59bb3c51"/>
                    <w:id w:val="865723993"/>
                    <w:lock w:val="sdtLocked"/>
                  </w:sdtPr>
                  <w:sdtEndPr>
                    <w:rPr>
                      <w:rFonts w:ascii="Times New Roman" w:hAnsi="Times New Roman" w:cs="Times New Roman"/>
                    </w:rPr>
                  </w:sdtEndPr>
                  <w:sdtContent>
                    <w:tc>
                      <w:tcPr>
                        <w:tcW w:w="677" w:type="dxa"/>
                        <w:vMerge w:val="restart"/>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专项储备</w:t>
                        </w:r>
                      </w:p>
                    </w:tc>
                  </w:sdtContent>
                </w:sdt>
                <w:sdt>
                  <w:sdtPr>
                    <w:rPr>
                      <w:rFonts w:ascii="Times New Roman" w:hAnsi="Times New Roman" w:cs="Times New Roman"/>
                    </w:rPr>
                    <w:tag w:val="_PLD_eddda9b1710646a5811c9efb65bf8703"/>
                    <w:id w:val="865723994"/>
                    <w:lock w:val="sdtLocked"/>
                  </w:sdtPr>
                  <w:sdtEndPr>
                    <w:rPr>
                      <w:rFonts w:ascii="Times New Roman" w:hAnsi="Times New Roman" w:cs="Times New Roman"/>
                    </w:rPr>
                  </w:sdtEndPr>
                  <w:sdtContent>
                    <w:tc>
                      <w:tcPr>
                        <w:tcW w:w="1701" w:type="dxa"/>
                        <w:vMerge w:val="restart"/>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盈余公积</w:t>
                        </w:r>
                      </w:p>
                    </w:tc>
                  </w:sdtContent>
                </w:sdt>
                <w:sdt>
                  <w:sdtPr>
                    <w:rPr>
                      <w:rFonts w:ascii="Times New Roman" w:hAnsi="Times New Roman" w:cs="Times New Roman"/>
                    </w:rPr>
                    <w:tag w:val="_PLD_d210b1f3e63743b7b7ad078da7c00997"/>
                    <w:id w:val="865723995"/>
                    <w:lock w:val="sdtLocked"/>
                  </w:sdtPr>
                  <w:sdtEndPr>
                    <w:rPr>
                      <w:rFonts w:ascii="Times New Roman" w:hAnsi="Times New Roman" w:cs="Times New Roman"/>
                    </w:rPr>
                  </w:sdtEndPr>
                  <w:sdtContent>
                    <w:tc>
                      <w:tcPr>
                        <w:tcW w:w="1417" w:type="dxa"/>
                        <w:vMerge w:val="restart"/>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未分配利润</w:t>
                        </w:r>
                      </w:p>
                    </w:tc>
                  </w:sdtContent>
                </w:sdt>
                <w:sdt>
                  <w:sdtPr>
                    <w:rPr>
                      <w:rFonts w:ascii="Times New Roman" w:hAnsi="Times New Roman" w:cs="Times New Roman"/>
                    </w:rPr>
                    <w:tag w:val="_PLD_d0efa115b304401592a693cab0f3a46a"/>
                    <w:id w:val="865723996"/>
                    <w:lock w:val="sdtLocked"/>
                  </w:sdtPr>
                  <w:sdtEndPr>
                    <w:rPr>
                      <w:rFonts w:ascii="Times New Roman" w:hAnsi="Times New Roman" w:cs="Times New Roman"/>
                    </w:rPr>
                  </w:sdtEndPr>
                  <w:sdtContent>
                    <w:tc>
                      <w:tcPr>
                        <w:tcW w:w="1560" w:type="dxa"/>
                        <w:vMerge w:val="restart"/>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所有者权益合计</w:t>
                        </w:r>
                      </w:p>
                    </w:tc>
                  </w:sdtContent>
                </w:sdt>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4" w:hRule="atLeast"/>
                </w:trPr>
                <w:tc>
                  <w:tcPr>
                    <w:tcW w:w="2394" w:type="dxa"/>
                    <w:vMerge w:val="continue"/>
                  </w:tcPr>
                  <w:p>
                    <w:pPr>
                      <w:adjustRightInd w:val="0"/>
                      <w:snapToGrid w:val="0"/>
                      <w:rPr>
                        <w:rFonts w:ascii="Times New Roman" w:hAnsi="Times New Roman" w:cs="Times New Roman"/>
                        <w:sz w:val="18"/>
                        <w:szCs w:val="18"/>
                      </w:rPr>
                    </w:pPr>
                  </w:p>
                </w:tc>
                <w:tc>
                  <w:tcPr>
                    <w:tcW w:w="1434" w:type="dxa"/>
                    <w:vMerge w:val="continue"/>
                    <w:tcBorders>
                      <w:right w:val="single" w:color="auto" w:sz="4" w:space="0"/>
                    </w:tcBorders>
                  </w:tcPr>
                  <w:p>
                    <w:pPr>
                      <w:adjustRightInd w:val="0"/>
                      <w:snapToGrid w:val="0"/>
                      <w:jc w:val="center"/>
                      <w:rPr>
                        <w:rFonts w:ascii="Times New Roman" w:hAnsi="Times New Roman" w:cs="Times New Roman"/>
                        <w:sz w:val="18"/>
                        <w:szCs w:val="18"/>
                      </w:rPr>
                    </w:pPr>
                  </w:p>
                </w:tc>
                <w:sdt>
                  <w:sdtPr>
                    <w:rPr>
                      <w:rFonts w:ascii="Times New Roman" w:hAnsi="Times New Roman" w:cs="Times New Roman"/>
                    </w:rPr>
                    <w:tag w:val="_PLD_f219b4732c3e4bd5a67b8c298432fd3d"/>
                    <w:id w:val="865723997"/>
                    <w:lock w:val="sdtLocked"/>
                  </w:sdtPr>
                  <w:sdtEndPr>
                    <w:rPr>
                      <w:rFonts w:ascii="Times New Roman" w:hAnsi="Times New Roman" w:cs="Times New Roman"/>
                    </w:rPr>
                  </w:sdtEndPr>
                  <w:sdtContent>
                    <w:tc>
                      <w:tcPr>
                        <w:tcW w:w="411"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优先股</w:t>
                        </w:r>
                      </w:p>
                    </w:tc>
                  </w:sdtContent>
                </w:sdt>
                <w:sdt>
                  <w:sdtPr>
                    <w:rPr>
                      <w:rFonts w:ascii="Times New Roman" w:hAnsi="Times New Roman" w:cs="Times New Roman"/>
                    </w:rPr>
                    <w:tag w:val="_PLD_9c8ca36c728447658d99fee93d742edf"/>
                    <w:id w:val="865723998"/>
                    <w:lock w:val="sdtLocked"/>
                  </w:sdtPr>
                  <w:sdtEndPr>
                    <w:rPr>
                      <w:rFonts w:ascii="Times New Roman" w:hAnsi="Times New Roman" w:cs="Times New Roman"/>
                    </w:rPr>
                  </w:sdtEndPr>
                  <w:sdtContent>
                    <w:tc>
                      <w:tcPr>
                        <w:tcW w:w="723"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永续债</w:t>
                        </w:r>
                      </w:p>
                    </w:tc>
                  </w:sdtContent>
                </w:sdt>
                <w:sdt>
                  <w:sdtPr>
                    <w:rPr>
                      <w:rFonts w:ascii="Times New Roman" w:hAnsi="Times New Roman" w:cs="Times New Roman"/>
                    </w:rPr>
                    <w:tag w:val="_PLD_d053abd77b574111883b8fafe3a173d2"/>
                    <w:id w:val="865723999"/>
                    <w:lock w:val="sdtLocked"/>
                  </w:sdtPr>
                  <w:sdtEndPr>
                    <w:rPr>
                      <w:rFonts w:ascii="Times New Roman" w:hAnsi="Times New Roman" w:cs="Times New Roman"/>
                    </w:rPr>
                  </w:sdtEndPr>
                  <w:sdtContent>
                    <w:tc>
                      <w:tcPr>
                        <w:tcW w:w="567" w:type="dxa"/>
                        <w:tcBorders>
                          <w:top w:val="single" w:color="auto" w:sz="4" w:space="0"/>
                          <w:left w:val="single" w:color="auto" w:sz="4" w:space="0"/>
                        </w:tcBorders>
                        <w:vAlign w:val="center"/>
                      </w:tcPr>
                      <w:p>
                        <w:pPr>
                          <w:adjustRightInd w:val="0"/>
                          <w:snapToGrid w:val="0"/>
                          <w:jc w:val="center"/>
                          <w:rPr>
                            <w:rFonts w:ascii="Times New Roman" w:hAnsi="Times New Roman" w:cs="Times New Roman"/>
                            <w:sz w:val="18"/>
                            <w:szCs w:val="18"/>
                          </w:rPr>
                        </w:pPr>
                        <w:r>
                          <w:rPr>
                            <w:rFonts w:ascii="Times New Roman" w:cs="Times New Roman"/>
                            <w:sz w:val="18"/>
                            <w:szCs w:val="18"/>
                          </w:rPr>
                          <w:t>其他</w:t>
                        </w:r>
                      </w:p>
                    </w:tc>
                  </w:sdtContent>
                </w:sdt>
                <w:tc>
                  <w:tcPr>
                    <w:tcW w:w="1701" w:type="dxa"/>
                    <w:vMerge w:val="continue"/>
                  </w:tcPr>
                  <w:p>
                    <w:pPr>
                      <w:adjustRightInd w:val="0"/>
                      <w:snapToGrid w:val="0"/>
                      <w:jc w:val="center"/>
                      <w:rPr>
                        <w:rFonts w:ascii="Times New Roman" w:hAnsi="Times New Roman" w:cs="Times New Roman"/>
                        <w:sz w:val="18"/>
                        <w:szCs w:val="18"/>
                      </w:rPr>
                    </w:pPr>
                  </w:p>
                </w:tc>
                <w:tc>
                  <w:tcPr>
                    <w:tcW w:w="709" w:type="dxa"/>
                    <w:vMerge w:val="continue"/>
                  </w:tcPr>
                  <w:p>
                    <w:pPr>
                      <w:adjustRightInd w:val="0"/>
                      <w:snapToGrid w:val="0"/>
                      <w:jc w:val="center"/>
                      <w:rPr>
                        <w:rFonts w:ascii="Times New Roman" w:hAnsi="Times New Roman" w:cs="Times New Roman"/>
                        <w:sz w:val="18"/>
                        <w:szCs w:val="18"/>
                      </w:rPr>
                    </w:pPr>
                  </w:p>
                </w:tc>
                <w:tc>
                  <w:tcPr>
                    <w:tcW w:w="599" w:type="dxa"/>
                    <w:vMerge w:val="continue"/>
                  </w:tcPr>
                  <w:p>
                    <w:pPr>
                      <w:jc w:val="center"/>
                      <w:rPr>
                        <w:rFonts w:ascii="Times New Roman" w:hAnsi="Times New Roman" w:cs="Times New Roman"/>
                        <w:sz w:val="18"/>
                        <w:szCs w:val="18"/>
                      </w:rPr>
                    </w:pPr>
                  </w:p>
                </w:tc>
                <w:tc>
                  <w:tcPr>
                    <w:tcW w:w="677" w:type="dxa"/>
                    <w:vMerge w:val="continue"/>
                  </w:tcPr>
                  <w:p>
                    <w:pPr>
                      <w:adjustRightInd w:val="0"/>
                      <w:snapToGrid w:val="0"/>
                      <w:jc w:val="center"/>
                      <w:rPr>
                        <w:rFonts w:ascii="Times New Roman" w:hAnsi="Times New Roman" w:cs="Times New Roman"/>
                        <w:sz w:val="18"/>
                        <w:szCs w:val="18"/>
                      </w:rPr>
                    </w:pPr>
                  </w:p>
                </w:tc>
                <w:tc>
                  <w:tcPr>
                    <w:tcW w:w="1701" w:type="dxa"/>
                    <w:vMerge w:val="continue"/>
                  </w:tcPr>
                  <w:p>
                    <w:pPr>
                      <w:adjustRightInd w:val="0"/>
                      <w:snapToGrid w:val="0"/>
                      <w:jc w:val="center"/>
                      <w:rPr>
                        <w:rFonts w:ascii="Times New Roman" w:hAnsi="Times New Roman" w:cs="Times New Roman"/>
                        <w:sz w:val="18"/>
                        <w:szCs w:val="18"/>
                      </w:rPr>
                    </w:pPr>
                  </w:p>
                </w:tc>
                <w:tc>
                  <w:tcPr>
                    <w:tcW w:w="1417" w:type="dxa"/>
                    <w:vMerge w:val="continue"/>
                  </w:tcPr>
                  <w:p>
                    <w:pPr>
                      <w:adjustRightInd w:val="0"/>
                      <w:snapToGrid w:val="0"/>
                      <w:jc w:val="center"/>
                      <w:rPr>
                        <w:rFonts w:ascii="Times New Roman" w:hAnsi="Times New Roman" w:cs="Times New Roman"/>
                        <w:sz w:val="18"/>
                        <w:szCs w:val="18"/>
                      </w:rPr>
                    </w:pPr>
                  </w:p>
                </w:tc>
                <w:tc>
                  <w:tcPr>
                    <w:tcW w:w="1560" w:type="dxa"/>
                    <w:vMerge w:val="continue"/>
                  </w:tcPr>
                  <w:p>
                    <w:pPr>
                      <w:adjustRightInd w:val="0"/>
                      <w:snapToGrid w:val="0"/>
                      <w:jc w:val="center"/>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4b9f68f704bb4acfae62b3d3cbf0d790"/>
                    <w:id w:val="865724000"/>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一、上年年末余额</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1701" w:type="dxa"/>
                    <w:tcBorders>
                      <w:lef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579,271,389.07</w:t>
                    </w: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r>
                      <w:rPr>
                        <w:rFonts w:ascii="Times New Roman" w:hAnsi="Times New Roman" w:cs="Times New Roman"/>
                        <w:sz w:val="18"/>
                        <w:szCs w:val="18"/>
                      </w:rPr>
                      <w:t>217,325,819.43</w:t>
                    </w:r>
                  </w:p>
                </w:tc>
                <w:tc>
                  <w:tcPr>
                    <w:tcW w:w="1417" w:type="dxa"/>
                    <w:vAlign w:val="center"/>
                  </w:tcPr>
                  <w:p>
                    <w:pPr>
                      <w:jc w:val="right"/>
                      <w:rPr>
                        <w:rFonts w:ascii="Times New Roman" w:hAnsi="Times New Roman" w:cs="Times New Roman"/>
                        <w:sz w:val="18"/>
                        <w:szCs w:val="18"/>
                      </w:rPr>
                    </w:pPr>
                    <w:r>
                      <w:rPr>
                        <w:rFonts w:ascii="Times New Roman" w:hAnsi="Times New Roman" w:cs="Times New Roman"/>
                        <w:sz w:val="18"/>
                        <w:szCs w:val="18"/>
                      </w:rPr>
                      <w:t>642,482,887.88</w:t>
                    </w:r>
                  </w:p>
                </w:tc>
                <w:tc>
                  <w:tcPr>
                    <w:tcW w:w="1560" w:type="dxa"/>
                    <w:vAlign w:val="center"/>
                  </w:tcPr>
                  <w:p>
                    <w:pPr>
                      <w:jc w:val="right"/>
                      <w:rPr>
                        <w:rFonts w:ascii="Times New Roman" w:hAnsi="Times New Roman" w:cs="Times New Roman"/>
                        <w:sz w:val="18"/>
                        <w:szCs w:val="18"/>
                      </w:rPr>
                    </w:pPr>
                    <w:r>
                      <w:rPr>
                        <w:rFonts w:ascii="Times New Roman" w:hAnsi="Times New Roman" w:cs="Times New Roman"/>
                        <w:sz w:val="18"/>
                        <w:szCs w:val="18"/>
                      </w:rPr>
                      <w:t>1,989,080,096.38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f7c284bf05bc4bb48bad7c818c157aa9"/>
                    <w:id w:val="865724001"/>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加：会计政策变更</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1701" w:type="dxa"/>
                    <w:tcBorders>
                      <w:left w:val="single" w:color="auto" w:sz="4" w:space="0"/>
                    </w:tcBorders>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rPr>
                      <w:rFonts w:ascii="Times New Roman" w:hAnsi="Times New Roman" w:cs="Times New Roman"/>
                    </w:rPr>
                    <w:tag w:val="_PLD_b84d86ae618141938210b68f81aeafe0"/>
                    <w:id w:val="865724002"/>
                    <w:lock w:val="sdtLocked"/>
                  </w:sdtPr>
                  <w:sdtEndPr>
                    <w:rPr>
                      <w:rFonts w:ascii="Times New Roman" w:hAnsi="Times New Roman" w:cs="Times New Roman"/>
                    </w:rPr>
                  </w:sdtEndPr>
                  <w:sdtContent>
                    <w:tc>
                      <w:tcPr>
                        <w:tcW w:w="2394" w:type="dxa"/>
                      </w:tcPr>
                      <w:p>
                        <w:pPr>
                          <w:ind w:firstLine="420" w:firstLineChars="200"/>
                          <w:rPr>
                            <w:rFonts w:ascii="Times New Roman" w:hAnsi="Times New Roman" w:cs="Times New Roman"/>
                            <w:sz w:val="18"/>
                            <w:szCs w:val="18"/>
                          </w:rPr>
                        </w:pPr>
                        <w:r>
                          <w:rPr>
                            <w:rFonts w:ascii="Times New Roman" w:hAnsi="Times New Roman" w:cs="Times New Roman"/>
                            <w:sz w:val="18"/>
                            <w:szCs w:val="18"/>
                          </w:rPr>
                          <w:t>前期差错更正</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1701" w:type="dxa"/>
                    <w:tcBorders>
                      <w:left w:val="single" w:color="auto" w:sz="4" w:space="0"/>
                    </w:tcBorders>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ae13695d51ae418dba0671a598b76ffb"/>
                    <w:id w:val="865724003"/>
                    <w:lock w:val="sdtLocked"/>
                  </w:sdtPr>
                  <w:sdtEndPr>
                    <w:rPr>
                      <w:rFonts w:ascii="Times New Roman" w:hAnsi="Times New Roman" w:cs="Times New Roman"/>
                    </w:rPr>
                  </w:sdtEndPr>
                  <w:sdtContent>
                    <w:tc>
                      <w:tcPr>
                        <w:tcW w:w="2394" w:type="dxa"/>
                      </w:tcPr>
                      <w:p>
                        <w:pPr>
                          <w:ind w:firstLine="420" w:firstLineChars="200"/>
                          <w:rPr>
                            <w:rFonts w:ascii="Times New Roman" w:hAnsi="Times New Roman" w:cs="Times New Roman"/>
                            <w:sz w:val="18"/>
                            <w:szCs w:val="18"/>
                          </w:rPr>
                        </w:pPr>
                        <w:r>
                          <w:rPr>
                            <w:rFonts w:ascii="Times New Roman" w:hAnsi="Times New Roman" w:cs="Times New Roman"/>
                            <w:sz w:val="18"/>
                            <w:szCs w:val="18"/>
                          </w:rPr>
                          <w:t>其他</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1701" w:type="dxa"/>
                    <w:tcBorders>
                      <w:left w:val="single" w:color="auto" w:sz="4" w:space="0"/>
                    </w:tcBorders>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4841ceb909a14a2abffb67eeb3435694"/>
                    <w:id w:val="865724004"/>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二、本年期初余额</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1701" w:type="dxa"/>
                    <w:tcBorders>
                      <w:lef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579,271,389.07</w:t>
                    </w: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r>
                      <w:rPr>
                        <w:rFonts w:ascii="Times New Roman" w:hAnsi="Times New Roman" w:cs="Times New Roman"/>
                        <w:sz w:val="18"/>
                        <w:szCs w:val="18"/>
                      </w:rPr>
                      <w:t>217,325,819.43</w:t>
                    </w:r>
                  </w:p>
                </w:tc>
                <w:tc>
                  <w:tcPr>
                    <w:tcW w:w="1417" w:type="dxa"/>
                    <w:vAlign w:val="center"/>
                  </w:tcPr>
                  <w:p>
                    <w:pPr>
                      <w:jc w:val="right"/>
                      <w:rPr>
                        <w:rFonts w:ascii="Times New Roman" w:hAnsi="Times New Roman" w:cs="Times New Roman"/>
                        <w:sz w:val="18"/>
                        <w:szCs w:val="18"/>
                      </w:rPr>
                    </w:pPr>
                    <w:r>
                      <w:rPr>
                        <w:rFonts w:ascii="Times New Roman" w:hAnsi="Times New Roman" w:cs="Times New Roman"/>
                        <w:sz w:val="18"/>
                        <w:szCs w:val="18"/>
                      </w:rPr>
                      <w:t>642,482,887.88</w:t>
                    </w:r>
                  </w:p>
                </w:tc>
                <w:tc>
                  <w:tcPr>
                    <w:tcW w:w="1560" w:type="dxa"/>
                    <w:vAlign w:val="center"/>
                  </w:tcPr>
                  <w:p>
                    <w:pPr>
                      <w:jc w:val="right"/>
                      <w:rPr>
                        <w:rFonts w:ascii="Times New Roman" w:hAnsi="Times New Roman" w:cs="Times New Roman"/>
                        <w:sz w:val="18"/>
                        <w:szCs w:val="18"/>
                      </w:rPr>
                    </w:pPr>
                    <w:r>
                      <w:rPr>
                        <w:rFonts w:ascii="Times New Roman" w:hAnsi="Times New Roman" w:cs="Times New Roman"/>
                        <w:sz w:val="18"/>
                        <w:szCs w:val="18"/>
                      </w:rPr>
                      <w:t>1,989,080,096.38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302909e63784410386a25e7b0c2339c7"/>
                    <w:id w:val="865724005"/>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三、本期增减变动金额（减少以“－”号填列）</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r>
                      <w:rPr>
                        <w:rFonts w:ascii="Times New Roman" w:hAnsi="Times New Roman" w:cs="Times New Roman"/>
                        <w:sz w:val="18"/>
                        <w:szCs w:val="18"/>
                      </w:rPr>
                      <w:t>53,224,048.64</w:t>
                    </w:r>
                  </w:p>
                </w:tc>
                <w:tc>
                  <w:tcPr>
                    <w:tcW w:w="1560" w:type="dxa"/>
                    <w:vAlign w:val="center"/>
                  </w:tcPr>
                  <w:p>
                    <w:pPr>
                      <w:jc w:val="right"/>
                      <w:rPr>
                        <w:rFonts w:ascii="Times New Roman" w:hAnsi="Times New Roman" w:cs="Times New Roman"/>
                        <w:sz w:val="18"/>
                        <w:szCs w:val="18"/>
                      </w:rPr>
                    </w:pPr>
                    <w:r>
                      <w:rPr>
                        <w:rFonts w:ascii="Times New Roman" w:hAnsi="Times New Roman" w:cs="Times New Roman"/>
                        <w:sz w:val="18"/>
                        <w:szCs w:val="18"/>
                      </w:rPr>
                      <w:t>53,224,048.64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565b6c314fb34fb6b0c677b992754d48"/>
                    <w:id w:val="865724006"/>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（一）综合收益总额</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r>
                      <w:rPr>
                        <w:rFonts w:ascii="Times New Roman" w:hAnsi="Times New Roman" w:cs="Times New Roman"/>
                        <w:sz w:val="18"/>
                        <w:szCs w:val="18"/>
                      </w:rPr>
                      <w:t>52,492,048.64</w:t>
                    </w:r>
                  </w:p>
                </w:tc>
                <w:tc>
                  <w:tcPr>
                    <w:tcW w:w="1560" w:type="dxa"/>
                    <w:vAlign w:val="center"/>
                  </w:tcPr>
                  <w:p>
                    <w:pPr>
                      <w:jc w:val="right"/>
                      <w:rPr>
                        <w:rFonts w:ascii="Times New Roman" w:hAnsi="Times New Roman" w:cs="Times New Roman"/>
                        <w:sz w:val="18"/>
                        <w:szCs w:val="18"/>
                      </w:rPr>
                    </w:pPr>
                    <w:r>
                      <w:rPr>
                        <w:rFonts w:ascii="Times New Roman" w:hAnsi="Times New Roman" w:cs="Times New Roman"/>
                        <w:sz w:val="18"/>
                        <w:szCs w:val="18"/>
                      </w:rPr>
                      <w:t>52,492,048.64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4f759bcfeb8744e79a2c846685bf5bf7"/>
                    <w:id w:val="865724007"/>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（二）所有者投入和减少资本</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2ca71442ff4441faa275f28e1236357f"/>
                    <w:id w:val="865724008"/>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1．所有者投入的普通股</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709" w:type="dxa"/>
                  </w:tcPr>
                  <w:p>
                    <w:pPr>
                      <w:jc w:val="right"/>
                      <w:rPr>
                        <w:rFonts w:ascii="Times New Roman" w:hAnsi="Times New Roman" w:cs="Times New Roman"/>
                        <w:sz w:val="18"/>
                        <w:szCs w:val="18"/>
                      </w:rPr>
                    </w:pPr>
                  </w:p>
                </w:tc>
                <w:tc>
                  <w:tcPr>
                    <w:tcW w:w="599" w:type="dxa"/>
                  </w:tcPr>
                  <w:p>
                    <w:pPr>
                      <w:jc w:val="right"/>
                      <w:rPr>
                        <w:rFonts w:ascii="Times New Roman" w:hAnsi="Times New Roman" w:cs="Times New Roman"/>
                        <w:sz w:val="18"/>
                        <w:szCs w:val="18"/>
                      </w:rPr>
                    </w:pPr>
                  </w:p>
                </w:tc>
                <w:tc>
                  <w:tcPr>
                    <w:tcW w:w="677"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7" w:type="dxa"/>
                  </w:tcPr>
                  <w:p>
                    <w:pPr>
                      <w:jc w:val="right"/>
                      <w:rPr>
                        <w:rFonts w:ascii="Times New Roman" w:hAnsi="Times New Roman" w:cs="Times New Roman"/>
                        <w:sz w:val="18"/>
                        <w:szCs w:val="18"/>
                      </w:rPr>
                    </w:pPr>
                  </w:p>
                </w:tc>
                <w:tc>
                  <w:tcPr>
                    <w:tcW w:w="1560" w:type="dxa"/>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c9217abeeb6e46ac8415ee33ff13a461"/>
                    <w:id w:val="865724009"/>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2．其他权益工具持有者投入资本</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709" w:type="dxa"/>
                  </w:tcPr>
                  <w:p>
                    <w:pPr>
                      <w:jc w:val="right"/>
                      <w:rPr>
                        <w:rFonts w:ascii="Times New Roman" w:hAnsi="Times New Roman" w:cs="Times New Roman"/>
                        <w:sz w:val="18"/>
                        <w:szCs w:val="18"/>
                      </w:rPr>
                    </w:pPr>
                  </w:p>
                </w:tc>
                <w:tc>
                  <w:tcPr>
                    <w:tcW w:w="599" w:type="dxa"/>
                  </w:tcPr>
                  <w:p>
                    <w:pPr>
                      <w:jc w:val="right"/>
                      <w:rPr>
                        <w:rFonts w:ascii="Times New Roman" w:hAnsi="Times New Roman" w:cs="Times New Roman"/>
                        <w:sz w:val="18"/>
                        <w:szCs w:val="18"/>
                      </w:rPr>
                    </w:pPr>
                  </w:p>
                </w:tc>
                <w:tc>
                  <w:tcPr>
                    <w:tcW w:w="677"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7" w:type="dxa"/>
                  </w:tcPr>
                  <w:p>
                    <w:pPr>
                      <w:jc w:val="right"/>
                      <w:rPr>
                        <w:rFonts w:ascii="Times New Roman" w:hAnsi="Times New Roman" w:cs="Times New Roman"/>
                        <w:sz w:val="18"/>
                        <w:szCs w:val="18"/>
                      </w:rPr>
                    </w:pPr>
                  </w:p>
                </w:tc>
                <w:tc>
                  <w:tcPr>
                    <w:tcW w:w="1560" w:type="dxa"/>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5b62e12f39a04fa3a5e1647793ab3e5e"/>
                    <w:id w:val="865724010"/>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3．股份支付计入所有者权益的金额</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709" w:type="dxa"/>
                  </w:tcPr>
                  <w:p>
                    <w:pPr>
                      <w:jc w:val="right"/>
                      <w:rPr>
                        <w:rFonts w:ascii="Times New Roman" w:hAnsi="Times New Roman" w:cs="Times New Roman"/>
                        <w:sz w:val="18"/>
                        <w:szCs w:val="18"/>
                      </w:rPr>
                    </w:pPr>
                  </w:p>
                </w:tc>
                <w:tc>
                  <w:tcPr>
                    <w:tcW w:w="599" w:type="dxa"/>
                  </w:tcPr>
                  <w:p>
                    <w:pPr>
                      <w:jc w:val="right"/>
                      <w:rPr>
                        <w:rFonts w:ascii="Times New Roman" w:hAnsi="Times New Roman" w:cs="Times New Roman"/>
                        <w:sz w:val="18"/>
                        <w:szCs w:val="18"/>
                      </w:rPr>
                    </w:pPr>
                  </w:p>
                </w:tc>
                <w:tc>
                  <w:tcPr>
                    <w:tcW w:w="677"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7" w:type="dxa"/>
                  </w:tcPr>
                  <w:p>
                    <w:pPr>
                      <w:jc w:val="right"/>
                      <w:rPr>
                        <w:rFonts w:ascii="Times New Roman" w:hAnsi="Times New Roman" w:cs="Times New Roman"/>
                        <w:sz w:val="18"/>
                        <w:szCs w:val="18"/>
                      </w:rPr>
                    </w:pPr>
                  </w:p>
                </w:tc>
                <w:tc>
                  <w:tcPr>
                    <w:tcW w:w="1560" w:type="dxa"/>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09a354c759244b168ea7e28904658be8"/>
                    <w:id w:val="865724011"/>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4．其他</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709" w:type="dxa"/>
                  </w:tcPr>
                  <w:p>
                    <w:pPr>
                      <w:jc w:val="right"/>
                      <w:rPr>
                        <w:rFonts w:ascii="Times New Roman" w:hAnsi="Times New Roman" w:cs="Times New Roman"/>
                        <w:sz w:val="18"/>
                        <w:szCs w:val="18"/>
                      </w:rPr>
                    </w:pPr>
                  </w:p>
                </w:tc>
                <w:tc>
                  <w:tcPr>
                    <w:tcW w:w="599" w:type="dxa"/>
                  </w:tcPr>
                  <w:p>
                    <w:pPr>
                      <w:jc w:val="right"/>
                      <w:rPr>
                        <w:rFonts w:ascii="Times New Roman" w:hAnsi="Times New Roman" w:cs="Times New Roman"/>
                        <w:sz w:val="18"/>
                        <w:szCs w:val="18"/>
                      </w:rPr>
                    </w:pPr>
                  </w:p>
                </w:tc>
                <w:tc>
                  <w:tcPr>
                    <w:tcW w:w="677"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7" w:type="dxa"/>
                  </w:tcPr>
                  <w:p>
                    <w:pPr>
                      <w:jc w:val="right"/>
                      <w:rPr>
                        <w:rFonts w:ascii="Times New Roman" w:hAnsi="Times New Roman" w:cs="Times New Roman"/>
                        <w:sz w:val="18"/>
                        <w:szCs w:val="18"/>
                      </w:rPr>
                    </w:pPr>
                  </w:p>
                </w:tc>
                <w:tc>
                  <w:tcPr>
                    <w:tcW w:w="1560" w:type="dxa"/>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806901fee79c40f688fa2f02ab1d596d"/>
                    <w:id w:val="865724012"/>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（三）利润分配</w:t>
                        </w:r>
                      </w:p>
                    </w:tc>
                  </w:sdtContent>
                </w:sdt>
                <w:tc>
                  <w:tcPr>
                    <w:tcW w:w="1434" w:type="dxa"/>
                    <w:tcBorders>
                      <w:right w:val="single" w:color="auto" w:sz="4" w:space="0"/>
                    </w:tcBorders>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tcPr>
                  <w:p>
                    <w:pPr>
                      <w:jc w:val="right"/>
                      <w:rPr>
                        <w:rFonts w:ascii="Times New Roman" w:hAnsi="Times New Roman" w:cs="Times New Roman"/>
                        <w:sz w:val="18"/>
                        <w:szCs w:val="18"/>
                      </w:rPr>
                    </w:pPr>
                  </w:p>
                </w:tc>
                <w:tc>
                  <w:tcPr>
                    <w:tcW w:w="567" w:type="dxa"/>
                    <w:tcBorders>
                      <w:left w:val="single" w:color="auto" w:sz="4" w:space="0"/>
                    </w:tcBorders>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709" w:type="dxa"/>
                  </w:tcPr>
                  <w:p>
                    <w:pPr>
                      <w:jc w:val="right"/>
                      <w:rPr>
                        <w:rFonts w:ascii="Times New Roman" w:hAnsi="Times New Roman" w:cs="Times New Roman"/>
                        <w:sz w:val="18"/>
                        <w:szCs w:val="18"/>
                      </w:rPr>
                    </w:pPr>
                  </w:p>
                </w:tc>
                <w:tc>
                  <w:tcPr>
                    <w:tcW w:w="599" w:type="dxa"/>
                  </w:tcPr>
                  <w:p>
                    <w:pPr>
                      <w:jc w:val="right"/>
                      <w:rPr>
                        <w:rFonts w:ascii="Times New Roman" w:hAnsi="Times New Roman" w:cs="Times New Roman"/>
                        <w:sz w:val="18"/>
                        <w:szCs w:val="18"/>
                      </w:rPr>
                    </w:pPr>
                  </w:p>
                </w:tc>
                <w:tc>
                  <w:tcPr>
                    <w:tcW w:w="677" w:type="dxa"/>
                  </w:tcPr>
                  <w:p>
                    <w:pPr>
                      <w:jc w:val="right"/>
                      <w:rPr>
                        <w:rFonts w:ascii="Times New Roman" w:hAnsi="Times New Roman" w:cs="Times New Roman"/>
                        <w:sz w:val="18"/>
                        <w:szCs w:val="18"/>
                      </w:rPr>
                    </w:pPr>
                  </w:p>
                </w:tc>
                <w:tc>
                  <w:tcPr>
                    <w:tcW w:w="1701" w:type="dxa"/>
                  </w:tcPr>
                  <w:p>
                    <w:pPr>
                      <w:jc w:val="right"/>
                      <w:rPr>
                        <w:rFonts w:ascii="Times New Roman" w:hAnsi="Times New Roman" w:cs="Times New Roman"/>
                        <w:sz w:val="18"/>
                        <w:szCs w:val="18"/>
                      </w:rPr>
                    </w:pPr>
                  </w:p>
                </w:tc>
                <w:tc>
                  <w:tcPr>
                    <w:tcW w:w="1417" w:type="dxa"/>
                  </w:tcPr>
                  <w:p>
                    <w:pPr>
                      <w:jc w:val="right"/>
                      <w:rPr>
                        <w:rFonts w:ascii="Times New Roman" w:hAnsi="Times New Roman" w:cs="Times New Roman"/>
                        <w:sz w:val="18"/>
                        <w:szCs w:val="18"/>
                      </w:rPr>
                    </w:pPr>
                  </w:p>
                </w:tc>
                <w:tc>
                  <w:tcPr>
                    <w:tcW w:w="1560" w:type="dxa"/>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5936c2d33e22476597644c98158847c6"/>
                    <w:id w:val="865724013"/>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1．提取盈余公积</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210044b047ac492dbe47ba7aedd16fad"/>
                    <w:id w:val="865724014"/>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2．对所有者（或股东）的分配</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65affb7384874e8facf889d04ab4dd24"/>
                    <w:id w:val="865724015"/>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3．其他</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ed39015638e6485d9ecad98bd3aaac6b"/>
                    <w:id w:val="865724016"/>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（四）所有者权益内部结转</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r>
                      <w:rPr>
                        <w:rFonts w:ascii="Times New Roman" w:hAnsi="Times New Roman" w:cs="Times New Roman"/>
                        <w:sz w:val="18"/>
                        <w:szCs w:val="18"/>
                      </w:rPr>
                      <w:t>732,000.00</w:t>
                    </w:r>
                  </w:p>
                </w:tc>
                <w:tc>
                  <w:tcPr>
                    <w:tcW w:w="1560" w:type="dxa"/>
                    <w:vAlign w:val="center"/>
                  </w:tcPr>
                  <w:p>
                    <w:pPr>
                      <w:jc w:val="right"/>
                      <w:rPr>
                        <w:rFonts w:ascii="Times New Roman" w:hAnsi="Times New Roman" w:cs="Times New Roman"/>
                        <w:sz w:val="18"/>
                        <w:szCs w:val="18"/>
                      </w:rPr>
                    </w:pPr>
                    <w:r>
                      <w:rPr>
                        <w:rFonts w:ascii="Times New Roman" w:hAnsi="Times New Roman" w:cs="Times New Roman"/>
                        <w:sz w:val="18"/>
                        <w:szCs w:val="18"/>
                      </w:rPr>
                      <w:t>732,000.00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16ddc46b3a95453788bdcaaebfae99fa"/>
                    <w:id w:val="865724017"/>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1．资本公积转增资本（或股本）</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5f2b4bbca85e4693b990e3e25811eeab"/>
                    <w:id w:val="865724018"/>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2．盈余公积转增资本（或股本）</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rPr>
                      <w:rFonts w:ascii="Times New Roman" w:hAnsi="Times New Roman" w:cs="Times New Roman"/>
                    </w:rPr>
                    <w:tag w:val="_PLD_15d6c710562e41cc9b0f916bb42a3ecd"/>
                    <w:id w:val="865724019"/>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3．盈余公积弥补亏损</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tcPr>
                  <w:sdt>
                    <w:sdtPr>
                      <w:rPr>
                        <w:rFonts w:ascii="Times New Roman" w:hAnsi="Times New Roman" w:cs="Times New Roman"/>
                        <w:sz w:val="18"/>
                        <w:szCs w:val="18"/>
                      </w:rPr>
                      <w:tag w:val="_PLD_f4cb17050ad540c1b6765bbc5ef1d185"/>
                      <w:id w:val="865724020"/>
                      <w:lock w:val="sdtLocked"/>
                    </w:sdtPr>
                    <w:sdtEndPr>
                      <w:rPr>
                        <w:rFonts w:ascii="Times New Roman" w:hAnsi="Times New Roman" w:cs="Times New Roman"/>
                        <w:sz w:val="18"/>
                        <w:szCs w:val="18"/>
                      </w:rPr>
                    </w:sdtEndPr>
                    <w:sdtContent>
                      <w:p>
                        <w:pPr>
                          <w:rPr>
                            <w:rFonts w:ascii="Times New Roman" w:hAnsi="Times New Roman" w:cs="Times New Roman"/>
                          </w:rPr>
                        </w:pPr>
                        <w:r>
                          <w:rPr>
                            <w:rFonts w:ascii="Times New Roman" w:hAnsi="Times New Roman" w:cs="Times New Roman"/>
                            <w:sz w:val="18"/>
                            <w:szCs w:val="18"/>
                          </w:rPr>
                          <w:t>4．设定受益计划变动额结转留存收益</w:t>
                        </w:r>
                      </w:p>
                    </w:sdtContent>
                  </w:sdt>
                </w:tc>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tcPr>
                  <w:sdt>
                    <w:sdtPr>
                      <w:rPr>
                        <w:rFonts w:ascii="Times New Roman" w:hAnsi="Times New Roman" w:cs="Times New Roman"/>
                        <w:sz w:val="18"/>
                        <w:szCs w:val="18"/>
                      </w:rPr>
                      <w:tag w:val="_PLD_d570b02e3d674dc1a938a4710387119c"/>
                      <w:id w:val="865724021"/>
                      <w:lock w:val="sdtLocked"/>
                    </w:sdtPr>
                    <w:sdtEndPr>
                      <w:rPr>
                        <w:rFonts w:ascii="Times New Roman" w:hAnsi="Times New Roman" w:cs="Times New Roman"/>
                        <w:sz w:val="18"/>
                        <w:szCs w:val="18"/>
                      </w:rPr>
                    </w:sdtEndPr>
                    <w:sdtContent>
                      <w:p>
                        <w:pPr>
                          <w:rPr>
                            <w:rFonts w:ascii="Times New Roman" w:hAnsi="Times New Roman" w:cs="Times New Roman"/>
                            <w:sz w:val="18"/>
                            <w:szCs w:val="18"/>
                          </w:rPr>
                        </w:pPr>
                        <w:r>
                          <w:rPr>
                            <w:rFonts w:ascii="Times New Roman" w:hAnsi="Times New Roman" w:cs="Times New Roman"/>
                            <w:sz w:val="18"/>
                            <w:szCs w:val="18"/>
                          </w:rPr>
                          <w:t>5．其他综合收益结转留存收益</w:t>
                        </w:r>
                      </w:p>
                    </w:sdtContent>
                  </w:sdt>
                </w:tc>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r>
                      <w:rPr>
                        <w:rFonts w:ascii="Times New Roman" w:hAnsi="Times New Roman" w:cs="Times New Roman"/>
                        <w:sz w:val="18"/>
                        <w:szCs w:val="18"/>
                      </w:rPr>
                      <w:t>732,000.00</w:t>
                    </w:r>
                  </w:p>
                </w:tc>
                <w:tc>
                  <w:tcPr>
                    <w:tcW w:w="1560" w:type="dxa"/>
                    <w:vAlign w:val="center"/>
                  </w:tcPr>
                  <w:p>
                    <w:pPr>
                      <w:jc w:val="right"/>
                      <w:rPr>
                        <w:rFonts w:ascii="Times New Roman" w:hAnsi="Times New Roman" w:cs="Times New Roman"/>
                        <w:sz w:val="18"/>
                        <w:szCs w:val="18"/>
                      </w:rPr>
                    </w:pPr>
                    <w:r>
                      <w:rPr>
                        <w:rFonts w:ascii="Times New Roman" w:hAnsi="Times New Roman" w:cs="Times New Roman"/>
                        <w:sz w:val="18"/>
                        <w:szCs w:val="18"/>
                      </w:rPr>
                      <w:t>732,000.00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tcPr>
                  <w:sdt>
                    <w:sdtPr>
                      <w:rPr>
                        <w:rFonts w:ascii="Times New Roman" w:hAnsi="Times New Roman" w:cs="Times New Roman"/>
                        <w:sz w:val="18"/>
                        <w:szCs w:val="18"/>
                      </w:rPr>
                      <w:tag w:val="_PLD_a5cd874c23c44b928dffd9bc4a74c38d"/>
                      <w:id w:val="865724022"/>
                      <w:lock w:val="sdtLocked"/>
                    </w:sdtPr>
                    <w:sdtEndPr>
                      <w:rPr>
                        <w:rFonts w:ascii="Times New Roman" w:hAnsi="Times New Roman" w:cs="Times New Roman"/>
                        <w:sz w:val="18"/>
                        <w:szCs w:val="18"/>
                      </w:rPr>
                    </w:sdtEndPr>
                    <w:sdtContent>
                      <w:p>
                        <w:pPr>
                          <w:rPr>
                            <w:rFonts w:ascii="Times New Roman" w:hAnsi="Times New Roman" w:cs="Times New Roman"/>
                          </w:rPr>
                        </w:pPr>
                        <w:r>
                          <w:rPr>
                            <w:rFonts w:ascii="Times New Roman" w:hAnsi="Times New Roman" w:cs="Times New Roman"/>
                            <w:sz w:val="18"/>
                            <w:szCs w:val="18"/>
                          </w:rPr>
                          <w:t>6．其他</w:t>
                        </w:r>
                      </w:p>
                    </w:sdtContent>
                  </w:sdt>
                </w:tc>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b6b13ecec0044452bf1609cb679a8ac5"/>
                    <w:id w:val="865724023"/>
                    <w:lock w:val="sdtLocked"/>
                  </w:sdtPr>
                  <w:sdtEndPr>
                    <w:rPr>
                      <w:rFonts w:ascii="Times New Roman" w:hAnsi="Times New Roman" w:cs="Times New Roman"/>
                    </w:rPr>
                  </w:sdtEndPr>
                  <w:sdtContent>
                    <w:tc>
                      <w:tcPr>
                        <w:tcW w:w="2394" w:type="dxa"/>
                        <w:vAlign w:val="center"/>
                      </w:tcPr>
                      <w:p>
                        <w:pPr>
                          <w:rPr>
                            <w:rFonts w:ascii="Times New Roman" w:hAnsi="Times New Roman" w:cs="Times New Roman"/>
                            <w:sz w:val="18"/>
                            <w:szCs w:val="18"/>
                          </w:rPr>
                        </w:pPr>
                        <w:r>
                          <w:rPr>
                            <w:rFonts w:ascii="Times New Roman" w:hAnsi="Times New Roman" w:cs="Times New Roman"/>
                            <w:sz w:val="18"/>
                            <w:szCs w:val="18"/>
                          </w:rPr>
                          <w:t>（五）专项储备</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cbede54ab9934d5ea45cda3f59593c28"/>
                    <w:id w:val="865724024"/>
                    <w:lock w:val="sdtLocked"/>
                  </w:sdtPr>
                  <w:sdtEndPr>
                    <w:rPr>
                      <w:rFonts w:ascii="Times New Roman" w:hAnsi="Times New Roman" w:cs="Times New Roman"/>
                    </w:rPr>
                  </w:sdtEndPr>
                  <w:sdtContent>
                    <w:tc>
                      <w:tcPr>
                        <w:tcW w:w="2394" w:type="dxa"/>
                        <w:vAlign w:val="center"/>
                      </w:tcPr>
                      <w:p>
                        <w:pPr>
                          <w:rPr>
                            <w:rFonts w:ascii="Times New Roman" w:hAnsi="Times New Roman" w:cs="Times New Roman"/>
                            <w:sz w:val="18"/>
                            <w:szCs w:val="18"/>
                          </w:rPr>
                        </w:pPr>
                        <w:r>
                          <w:rPr>
                            <w:rFonts w:ascii="Times New Roman" w:hAnsi="Times New Roman" w:cs="Times New Roman"/>
                            <w:sz w:val="18"/>
                            <w:szCs w:val="18"/>
                          </w:rPr>
                          <w:t>1．本期提取</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7900abe823e94277be091b3f1c7a54a5"/>
                    <w:id w:val="865724025"/>
                    <w:lock w:val="sdtLocked"/>
                  </w:sdtPr>
                  <w:sdtEndPr>
                    <w:rPr>
                      <w:rFonts w:ascii="Times New Roman" w:hAnsi="Times New Roman" w:cs="Times New Roman"/>
                    </w:rPr>
                  </w:sdtEndPr>
                  <w:sdtContent>
                    <w:tc>
                      <w:tcPr>
                        <w:tcW w:w="2394" w:type="dxa"/>
                        <w:vAlign w:val="center"/>
                      </w:tcPr>
                      <w:p>
                        <w:pPr>
                          <w:rPr>
                            <w:rFonts w:ascii="Times New Roman" w:hAnsi="Times New Roman" w:cs="Times New Roman"/>
                            <w:sz w:val="18"/>
                            <w:szCs w:val="18"/>
                          </w:rPr>
                        </w:pPr>
                        <w:r>
                          <w:rPr>
                            <w:rFonts w:ascii="Times New Roman" w:hAnsi="Times New Roman" w:cs="Times New Roman"/>
                            <w:sz w:val="18"/>
                            <w:szCs w:val="18"/>
                          </w:rPr>
                          <w:t>2．本期使用</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7cf659a70268475ea7233d8b82adad5a"/>
                    <w:id w:val="865724026"/>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（六）其他</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p>
                </w:tc>
                <w:tc>
                  <w:tcPr>
                    <w:tcW w:w="1417" w:type="dxa"/>
                    <w:vAlign w:val="center"/>
                  </w:tcPr>
                  <w:p>
                    <w:pPr>
                      <w:jc w:val="right"/>
                      <w:rPr>
                        <w:rFonts w:ascii="Times New Roman" w:hAnsi="Times New Roman" w:cs="Times New Roman"/>
                        <w:sz w:val="18"/>
                        <w:szCs w:val="18"/>
                      </w:rPr>
                    </w:pPr>
                  </w:p>
                </w:tc>
                <w:tc>
                  <w:tcPr>
                    <w:tcW w:w="1560" w:type="dxa"/>
                    <w:vAlign w:val="center"/>
                  </w:tcPr>
                  <w:p>
                    <w:pPr>
                      <w:jc w:val="right"/>
                      <w:rPr>
                        <w:rFonts w:ascii="Times New Roman" w:hAnsi="Times New Roman" w:cs="Times New Roman"/>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imes New Roman" w:hAnsi="Times New Roman" w:cs="Times New Roman"/>
                    </w:rPr>
                    <w:tag w:val="_PLD_56eacf5a90be4746898504dda5c8a2c0"/>
                    <w:id w:val="865724027"/>
                    <w:lock w:val="sdtLocked"/>
                  </w:sdtPr>
                  <w:sdtEndPr>
                    <w:rPr>
                      <w:rFonts w:ascii="Times New Roman" w:hAnsi="Times New Roman" w:cs="Times New Roman"/>
                    </w:rPr>
                  </w:sdtEndPr>
                  <w:sdtContent>
                    <w:tc>
                      <w:tcPr>
                        <w:tcW w:w="2394" w:type="dxa"/>
                      </w:tcPr>
                      <w:p>
                        <w:pPr>
                          <w:rPr>
                            <w:rFonts w:ascii="Times New Roman" w:hAnsi="Times New Roman" w:cs="Times New Roman"/>
                            <w:sz w:val="18"/>
                            <w:szCs w:val="18"/>
                          </w:rPr>
                        </w:pPr>
                        <w:r>
                          <w:rPr>
                            <w:rFonts w:ascii="Times New Roman" w:hAnsi="Times New Roman" w:cs="Times New Roman"/>
                            <w:sz w:val="18"/>
                            <w:szCs w:val="18"/>
                          </w:rPr>
                          <w:t>四、本期期末余额</w:t>
                        </w:r>
                      </w:p>
                    </w:tc>
                  </w:sdtContent>
                </w:sdt>
                <w:tc>
                  <w:tcPr>
                    <w:tcW w:w="1434" w:type="dxa"/>
                    <w:tcBorders>
                      <w:righ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550,000,000.00</w:t>
                    </w:r>
                  </w:p>
                </w:tc>
                <w:tc>
                  <w:tcPr>
                    <w:tcW w:w="411"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723" w:type="dxa"/>
                    <w:tcBorders>
                      <w:left w:val="single" w:color="auto" w:sz="4" w:space="0"/>
                      <w:right w:val="single" w:color="auto" w:sz="4" w:space="0"/>
                    </w:tcBorders>
                    <w:vAlign w:val="center"/>
                  </w:tcPr>
                  <w:p>
                    <w:pPr>
                      <w:jc w:val="right"/>
                      <w:rPr>
                        <w:rFonts w:ascii="Times New Roman" w:hAnsi="Times New Roman" w:cs="Times New Roman"/>
                        <w:sz w:val="18"/>
                        <w:szCs w:val="18"/>
                      </w:rPr>
                    </w:pPr>
                  </w:p>
                </w:tc>
                <w:tc>
                  <w:tcPr>
                    <w:tcW w:w="567" w:type="dxa"/>
                    <w:tcBorders>
                      <w:left w:val="single" w:color="auto" w:sz="4" w:space="0"/>
                    </w:tcBorders>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r>
                      <w:rPr>
                        <w:rFonts w:ascii="Times New Roman" w:hAnsi="Times New Roman" w:cs="Times New Roman"/>
                        <w:sz w:val="18"/>
                        <w:szCs w:val="18"/>
                      </w:rPr>
                      <w:t>579,271,389.07</w:t>
                    </w:r>
                  </w:p>
                </w:tc>
                <w:tc>
                  <w:tcPr>
                    <w:tcW w:w="709" w:type="dxa"/>
                    <w:vAlign w:val="center"/>
                  </w:tcPr>
                  <w:p>
                    <w:pPr>
                      <w:jc w:val="right"/>
                      <w:rPr>
                        <w:rFonts w:ascii="Times New Roman" w:hAnsi="Times New Roman" w:cs="Times New Roman"/>
                        <w:sz w:val="18"/>
                        <w:szCs w:val="18"/>
                      </w:rPr>
                    </w:pPr>
                  </w:p>
                </w:tc>
                <w:tc>
                  <w:tcPr>
                    <w:tcW w:w="599" w:type="dxa"/>
                    <w:vAlign w:val="center"/>
                  </w:tcPr>
                  <w:p>
                    <w:pPr>
                      <w:jc w:val="right"/>
                      <w:rPr>
                        <w:rFonts w:ascii="Times New Roman" w:hAnsi="Times New Roman" w:cs="Times New Roman"/>
                        <w:sz w:val="18"/>
                        <w:szCs w:val="18"/>
                      </w:rPr>
                    </w:pPr>
                  </w:p>
                </w:tc>
                <w:tc>
                  <w:tcPr>
                    <w:tcW w:w="677" w:type="dxa"/>
                    <w:vAlign w:val="center"/>
                  </w:tcPr>
                  <w:p>
                    <w:pPr>
                      <w:jc w:val="right"/>
                      <w:rPr>
                        <w:rFonts w:ascii="Times New Roman" w:hAnsi="Times New Roman" w:cs="Times New Roman"/>
                        <w:sz w:val="18"/>
                        <w:szCs w:val="18"/>
                      </w:rPr>
                    </w:pPr>
                  </w:p>
                </w:tc>
                <w:tc>
                  <w:tcPr>
                    <w:tcW w:w="1701" w:type="dxa"/>
                    <w:vAlign w:val="center"/>
                  </w:tcPr>
                  <w:p>
                    <w:pPr>
                      <w:jc w:val="right"/>
                      <w:rPr>
                        <w:rFonts w:ascii="Times New Roman" w:hAnsi="Times New Roman" w:cs="Times New Roman"/>
                        <w:sz w:val="18"/>
                        <w:szCs w:val="18"/>
                      </w:rPr>
                    </w:pPr>
                    <w:r>
                      <w:rPr>
                        <w:rFonts w:ascii="Times New Roman" w:hAnsi="Times New Roman" w:cs="Times New Roman"/>
                        <w:sz w:val="18"/>
                        <w:szCs w:val="18"/>
                      </w:rPr>
                      <w:t>217,325,819.43</w:t>
                    </w:r>
                  </w:p>
                </w:tc>
                <w:tc>
                  <w:tcPr>
                    <w:tcW w:w="1417" w:type="dxa"/>
                    <w:vAlign w:val="center"/>
                  </w:tcPr>
                  <w:p>
                    <w:pPr>
                      <w:jc w:val="right"/>
                      <w:rPr>
                        <w:rFonts w:ascii="Times New Roman" w:hAnsi="Times New Roman" w:cs="Times New Roman"/>
                        <w:sz w:val="18"/>
                        <w:szCs w:val="18"/>
                      </w:rPr>
                    </w:pPr>
                    <w:r>
                      <w:rPr>
                        <w:rFonts w:ascii="Times New Roman" w:hAnsi="Times New Roman" w:cs="Times New Roman"/>
                        <w:sz w:val="18"/>
                        <w:szCs w:val="18"/>
                      </w:rPr>
                      <w:t>695,706,936.52</w:t>
                    </w:r>
                  </w:p>
                </w:tc>
                <w:tc>
                  <w:tcPr>
                    <w:tcW w:w="1560" w:type="dxa"/>
                    <w:vAlign w:val="center"/>
                  </w:tcPr>
                  <w:p>
                    <w:pPr>
                      <w:jc w:val="right"/>
                      <w:rPr>
                        <w:rFonts w:ascii="Times New Roman" w:hAnsi="Times New Roman" w:cs="Times New Roman"/>
                        <w:sz w:val="18"/>
                        <w:szCs w:val="18"/>
                      </w:rPr>
                    </w:pPr>
                    <w:r>
                      <w:rPr>
                        <w:rFonts w:ascii="Times New Roman" w:hAnsi="Times New Roman" w:cs="Times New Roman"/>
                        <w:sz w:val="18"/>
                        <w:szCs w:val="18"/>
                      </w:rPr>
                      <w:t>2,042,304,145.02</w:t>
                    </w:r>
                  </w:p>
                </w:tc>
              </w:tr>
            </w:tbl>
            <w:p>
              <w:pPr>
                <w:snapToGrid w:val="0"/>
                <w:spacing w:line="240" w:lineRule="atLeast"/>
                <w:rPr>
                  <w:rFonts w:ascii="Times New Roman" w:cs="Times New Roman"/>
                  <w:szCs w:val="21"/>
                </w:rPr>
              </w:pPr>
            </w:p>
            <w:p>
              <w:pPr>
                <w:snapToGrid w:val="0"/>
                <w:spacing w:line="240" w:lineRule="atLeast"/>
                <w:rPr>
                  <w:rFonts w:ascii="Times New Roman" w:cs="Times New Roman"/>
                  <w:szCs w:val="21"/>
                </w:rPr>
              </w:pPr>
            </w:p>
            <w:p>
              <w:pPr>
                <w:snapToGrid w:val="0"/>
                <w:spacing w:line="240" w:lineRule="atLeast"/>
                <w:rPr>
                  <w:rFonts w:ascii="Times New Roman" w:hAnsi="Times New Roman" w:cs="Times New Roman"/>
                  <w:b/>
                  <w:bCs/>
                  <w:color w:val="FF0000"/>
                  <w:szCs w:val="21"/>
                </w:rPr>
              </w:pPr>
              <w:r>
                <w:rPr>
                  <w:rFonts w:ascii="Times New Roman" w:cs="Times New Roman"/>
                  <w:szCs w:val="21"/>
                </w:rPr>
                <w:t>公司负责人：</w:t>
              </w:r>
              <w:sdt>
                <w:sdtPr>
                  <w:rPr>
                    <w:rFonts w:ascii="Times New Roman" w:hAnsi="Times New Roman" w:cs="Times New Roman"/>
                    <w:szCs w:val="21"/>
                  </w:rPr>
                  <w:alias w:val="公司负责人姓名"/>
                  <w:tag w:val="_GBC_6042a2c12168484781348969a4da3e4c"/>
                  <w:id w:val="865724028"/>
                  <w:lock w:val="sdtLocked"/>
                  <w:placeholder>
                    <w:docPart w:val="GBC22222222222222222222222222222"/>
                  </w:placeholder>
                  <w15:dataBinding w:prefixMappings="xmlns:clcid-mr='clcid-mr'" w:xpath="/*/clcid-mr:GongSiFuZeRenXingMing[not(@periodRef)]" w:storeItemID="{89EBAB94-44A0-46A2-B712-30D997D04A6D}"/>
                  <w:text/>
                </w:sdtPr>
                <w:sdtEndPr>
                  <w:rPr>
                    <w:rFonts w:ascii="Times New Roman" w:hAnsi="Times New Roman" w:cs="Times New Roman"/>
                    <w:szCs w:val="21"/>
                  </w:rPr>
                </w:sdtEndPr>
                <w:sdtContent>
                  <w:r>
                    <w:rPr>
                      <w:rFonts w:hint="eastAsia" w:ascii="Times New Roman" w:hAnsi="Times New Roman" w:cs="Times New Roman"/>
                      <w:szCs w:val="21"/>
                    </w:rPr>
                    <w:t xml:space="preserve">林钻煌 </w:t>
                  </w:r>
                </w:sdtContent>
              </w:sdt>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cs="Times New Roman"/>
                  <w:szCs w:val="21"/>
                </w:rPr>
                <w:t>主管会计工作负责人：</w:t>
              </w:r>
              <w:sdt>
                <w:sdtPr>
                  <w:rPr>
                    <w:rFonts w:ascii="Times New Roman" w:hAnsi="Times New Roman" w:cs="Times New Roman"/>
                    <w:szCs w:val="21"/>
                  </w:rPr>
                  <w:alias w:val="主管会计工作负责人姓名"/>
                  <w:tag w:val="_GBC_3008dab61aca43f0a6d82ef192943e79"/>
                  <w:id w:val="865724029"/>
                  <w:lock w:val="sdtLocked"/>
                  <w:placeholder>
                    <w:docPart w:val="GBC22222222222222222222222222222"/>
                  </w:placeholder>
                  <w15:dataBinding w:prefixMappings="xmlns:clcid-mr='clcid-mr'" w:xpath="/*/clcid-mr:ZhuGuanKuaiJiGongZuoFuZeRenXingMing[not(@periodRef)]" w:storeItemID="{89EBAB94-44A0-46A2-B712-30D997D04A6D}"/>
                  <w:text/>
                </w:sdtPr>
                <w:sdtEndPr>
                  <w:rPr>
                    <w:rFonts w:ascii="Times New Roman" w:hAnsi="Times New Roman" w:cs="Times New Roman"/>
                    <w:szCs w:val="21"/>
                  </w:rPr>
                </w:sdtEndPr>
                <w:sdtContent>
                  <w:r>
                    <w:rPr>
                      <w:rFonts w:hint="eastAsia" w:ascii="Times New Roman" w:hAnsi="Times New Roman" w:cs="Times New Roman"/>
                      <w:szCs w:val="21"/>
                    </w:rPr>
                    <w:t>王为民</w:t>
                  </w:r>
                </w:sdtContent>
              </w:sdt>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cs="Times New Roman"/>
                  <w:szCs w:val="21"/>
                </w:rPr>
                <w:t>会计机构负责人：</w:t>
              </w:r>
              <w:sdt>
                <w:sdtPr>
                  <w:rPr>
                    <w:rFonts w:ascii="Times New Roman" w:hAnsi="Times New Roman" w:cs="Times New Roman"/>
                    <w:szCs w:val="21"/>
                  </w:rPr>
                  <w:alias w:val="会计机构负责人姓名"/>
                  <w:tag w:val="_GBC_e6c21b270080402ca8dbdc0cab514bde"/>
                  <w:id w:val="865724030"/>
                  <w:lock w:val="sdtLocked"/>
                  <w:placeholder>
                    <w:docPart w:val="GBC22222222222222222222222222222"/>
                  </w:placeholder>
                  <w15:dataBinding w:prefixMappings="xmlns:clcid-mr='clcid-mr'" w:xpath="/*/clcid-mr:KuaiJiJiGouFuZeRenXingMing[not(@periodRef)]" w:storeItemID="{89EBAB94-44A0-46A2-B712-30D997D04A6D}"/>
                  <w:text/>
                </w:sdtPr>
                <w:sdtEndPr>
                  <w:rPr>
                    <w:rFonts w:ascii="Times New Roman" w:hAnsi="Times New Roman" w:cs="Times New Roman"/>
                    <w:szCs w:val="21"/>
                  </w:rPr>
                </w:sdtEndPr>
                <w:sdtContent>
                  <w:r>
                    <w:rPr>
                      <w:rFonts w:hint="eastAsia" w:ascii="Times New Roman" w:hAnsi="Times New Roman" w:cs="Times New Roman"/>
                      <w:szCs w:val="21"/>
                    </w:rPr>
                    <w:t xml:space="preserve">游发禄 </w:t>
                  </w:r>
                </w:sdtContent>
              </w:sdt>
            </w:p>
          </w:sdtContent>
        </w:sdt>
        <w:p>
          <w:pPr>
            <w:rPr>
              <w:color w:val="FF0000"/>
            </w:rPr>
          </w:pPr>
        </w:p>
      </w:sdtContent>
    </w:sdt>
    <w:bookmarkEnd w:id="115"/>
    <w:p>
      <w:pPr>
        <w:snapToGrid w:val="0"/>
        <w:spacing w:line="240" w:lineRule="atLeast"/>
        <w:ind w:right="-153" w:rightChars="-73"/>
        <w:rPr>
          <w:b/>
          <w:bCs/>
          <w:color w:val="FF0000"/>
          <w:szCs w:val="21"/>
        </w:rPr>
      </w:pPr>
    </w:p>
    <w:p>
      <w:pPr>
        <w:snapToGrid w:val="0"/>
        <w:spacing w:line="240" w:lineRule="atLeast"/>
        <w:ind w:right="-153" w:rightChars="-73"/>
        <w:rPr>
          <w:b/>
          <w:bCs/>
          <w:color w:val="FF0000"/>
          <w:szCs w:val="21"/>
        </w:rPr>
      </w:pPr>
    </w:p>
    <w:p>
      <w:pPr>
        <w:snapToGrid w:val="0"/>
        <w:spacing w:line="240" w:lineRule="atLeast"/>
        <w:rPr>
          <w:szCs w:val="21"/>
        </w:rPr>
        <w:sectPr>
          <w:pgSz w:w="16838" w:h="11906" w:orient="landscape"/>
          <w:pgMar w:top="1276" w:right="1440" w:bottom="1797" w:left="1525" w:header="856" w:footer="992" w:gutter="0"/>
          <w:cols w:space="425" w:num="1"/>
          <w:docGrid w:linePitch="312" w:charSpace="0"/>
        </w:sectPr>
      </w:pPr>
      <w:bookmarkStart w:id="116" w:name="_Hlk533930396"/>
    </w:p>
    <w:bookmarkEnd w:id="116"/>
    <w:sdt>
      <w:sdtPr>
        <w:rPr>
          <w:rFonts w:ascii="宋体" w:hAnsi="宋体" w:cs="宋体"/>
          <w:b w:val="0"/>
          <w:bCs w:val="0"/>
          <w:kern w:val="0"/>
          <w:szCs w:val="24"/>
        </w:rPr>
        <w:alias w:val="模块:公司基本情况"/>
        <w:tag w:val="_GBC_c49d72d4b04e4ead97addb731e9b6458"/>
        <w:id w:val="865724037"/>
        <w:lock w:val="sdtLocked"/>
        <w:placeholder>
          <w:docPart w:val="GBC22222222222222222222222222222"/>
        </w:placeholder>
      </w:sdtPr>
      <w:sdtEndPr>
        <w:rPr>
          <w:rFonts w:hint="eastAsia" w:ascii="Arial" w:hAnsi="Arial" w:cs="Times New Roman"/>
          <w:b/>
          <w:bCs/>
          <w:kern w:val="2"/>
          <w:szCs w:val="21"/>
        </w:rPr>
      </w:sdtEndPr>
      <w:sdtContent>
        <w:p>
          <w:pPr>
            <w:pStyle w:val="3"/>
            <w:numPr>
              <w:ilvl w:val="0"/>
              <w:numId w:val="54"/>
            </w:numPr>
            <w:rPr>
              <w:rFonts w:ascii="宋体" w:hAnsi="宋体"/>
            </w:rPr>
          </w:pPr>
          <w:r>
            <w:rPr>
              <w:rFonts w:ascii="宋体" w:hAnsi="宋体"/>
            </w:rPr>
            <w:t>公司基本情况</w:t>
          </w:r>
        </w:p>
        <w:p>
          <w:pPr>
            <w:pStyle w:val="4"/>
            <w:numPr>
              <w:ilvl w:val="0"/>
              <w:numId w:val="59"/>
            </w:numPr>
          </w:pPr>
          <w:r>
            <w:rPr>
              <w:rFonts w:hint="eastAsia"/>
            </w:rPr>
            <w:t>公司概况</w:t>
          </w:r>
        </w:p>
        <w:sdt>
          <w:sdtPr>
            <w:rPr>
              <w:rFonts w:hint="eastAsia"/>
              <w:szCs w:val="21"/>
            </w:rPr>
            <w:alias w:val="是否适用：公司概况[双击切换]"/>
            <w:tag w:val="_GBC_7b613deb8c7f4027b73602e5cd1d4a2e"/>
            <w:id w:val="865724033"/>
            <w:lock w:val="sdtLocked"/>
          </w:sdtPr>
          <w:sdtEndPr>
            <w:rPr>
              <w:rFonts w:hint="eastAsia"/>
              <w:szCs w:val="21"/>
            </w:rPr>
          </w:sdtEndPr>
          <w:sdtContent>
            <w:p>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
          <w:sdtPr>
            <w:rPr>
              <w:szCs w:val="21"/>
            </w:rPr>
            <w:alias w:val="公司概况"/>
            <w:tag w:val="_GBC_dfec127af3a7441dade8cb0f67119e66"/>
            <w:id w:val="865724034"/>
            <w:lock w:val="sdtLocked"/>
          </w:sdtPr>
          <w:sdtEndPr>
            <w:rPr>
              <w:rFonts w:ascii="Times New Roman" w:hAnsi="Times New Roman" w:cs="Times New Roman"/>
              <w:szCs w:val="21"/>
            </w:rPr>
          </w:sdtEndPr>
          <w:sdtContent>
            <w:p>
              <w:pPr>
                <w:spacing w:line="400" w:lineRule="exact"/>
                <w:ind w:firstLine="420" w:firstLineChars="200"/>
                <w:rPr>
                  <w:rFonts w:ascii="Times New Roman" w:hAnsi="Times New Roman" w:cs="Times New Roman"/>
                  <w:szCs w:val="21"/>
                </w:rPr>
              </w:pPr>
              <w:r>
                <w:rPr>
                  <w:rFonts w:ascii="Times New Roman" w:cs="Times New Roman"/>
                  <w:szCs w:val="21"/>
                </w:rPr>
                <w:t>公司名称：柳州两面针股份有限公司</w:t>
              </w:r>
            </w:p>
            <w:p>
              <w:pPr>
                <w:spacing w:line="400" w:lineRule="exact"/>
                <w:ind w:firstLine="420" w:firstLineChars="200"/>
                <w:rPr>
                  <w:rFonts w:ascii="Times New Roman" w:hAnsi="Times New Roman" w:cs="Times New Roman"/>
                  <w:szCs w:val="21"/>
                </w:rPr>
              </w:pPr>
              <w:r>
                <w:rPr>
                  <w:rFonts w:ascii="Times New Roman" w:cs="Times New Roman"/>
                  <w:szCs w:val="21"/>
                </w:rPr>
                <w:t>英文名称：</w:t>
              </w:r>
              <w:r>
                <w:rPr>
                  <w:rFonts w:ascii="Times New Roman" w:hAnsi="Times New Roman" w:cs="Times New Roman"/>
                  <w:szCs w:val="21"/>
                </w:rPr>
                <w:t>LIUZHOULIANGMIANZHENCO.,LTD</w:t>
              </w:r>
            </w:p>
            <w:p>
              <w:pPr>
                <w:spacing w:line="400" w:lineRule="exact"/>
                <w:ind w:firstLine="420" w:firstLineChars="200"/>
                <w:rPr>
                  <w:rFonts w:ascii="Times New Roman" w:hAnsi="Times New Roman" w:cs="Times New Roman"/>
                  <w:szCs w:val="21"/>
                </w:rPr>
              </w:pPr>
              <w:r>
                <w:rPr>
                  <w:rFonts w:ascii="Times New Roman" w:cs="Times New Roman"/>
                  <w:szCs w:val="21"/>
                </w:rPr>
                <w:t>注册地址：广西柳州市东环大道</w:t>
              </w:r>
              <w:r>
                <w:rPr>
                  <w:rFonts w:ascii="Times New Roman" w:hAnsi="Times New Roman" w:cs="Times New Roman"/>
                  <w:szCs w:val="21"/>
                </w:rPr>
                <w:t>282</w:t>
              </w:r>
              <w:r>
                <w:rPr>
                  <w:rFonts w:ascii="Times New Roman" w:cs="Times New Roman"/>
                  <w:szCs w:val="21"/>
                </w:rPr>
                <w:t>号</w:t>
              </w:r>
            </w:p>
            <w:p>
              <w:pPr>
                <w:spacing w:line="400" w:lineRule="exact"/>
                <w:ind w:firstLine="420" w:firstLineChars="200"/>
                <w:rPr>
                  <w:rFonts w:ascii="Times New Roman" w:hAnsi="Times New Roman" w:cs="Times New Roman"/>
                  <w:szCs w:val="21"/>
                </w:rPr>
              </w:pPr>
              <w:r>
                <w:rPr>
                  <w:rFonts w:ascii="Times New Roman" w:cs="Times New Roman"/>
                  <w:szCs w:val="21"/>
                </w:rPr>
                <w:t>注册资本：</w:t>
              </w:r>
              <w:r>
                <w:rPr>
                  <w:rFonts w:ascii="Times New Roman" w:hAnsi="Times New Roman" w:cs="Times New Roman"/>
                  <w:szCs w:val="21"/>
                </w:rPr>
                <w:t>550,000,000.00</w:t>
              </w:r>
              <w:r>
                <w:rPr>
                  <w:rFonts w:ascii="Times New Roman" w:cs="Times New Roman"/>
                  <w:szCs w:val="21"/>
                </w:rPr>
                <w:t>元</w:t>
              </w:r>
            </w:p>
            <w:p>
              <w:pPr>
                <w:spacing w:line="400" w:lineRule="exact"/>
                <w:ind w:firstLine="420" w:firstLineChars="200"/>
                <w:rPr>
                  <w:rFonts w:ascii="Times New Roman" w:hAnsi="Times New Roman" w:cs="Times New Roman"/>
                  <w:szCs w:val="21"/>
                </w:rPr>
              </w:pPr>
              <w:r>
                <w:rPr>
                  <w:rFonts w:ascii="Times New Roman" w:cs="Times New Roman"/>
                  <w:szCs w:val="21"/>
                </w:rPr>
                <w:t>统一社会信用代码：</w:t>
              </w:r>
              <w:r>
                <w:rPr>
                  <w:rFonts w:ascii="Times New Roman" w:hAnsi="Times New Roman" w:cs="Times New Roman"/>
                  <w:szCs w:val="21"/>
                </w:rPr>
                <w:t>914502001982303373</w:t>
              </w:r>
            </w:p>
            <w:p>
              <w:pPr>
                <w:spacing w:line="400" w:lineRule="exact"/>
                <w:ind w:firstLine="420" w:firstLineChars="200"/>
                <w:rPr>
                  <w:rFonts w:ascii="Times New Roman" w:hAnsi="Times New Roman" w:cs="Times New Roman"/>
                  <w:szCs w:val="21"/>
                </w:rPr>
              </w:pPr>
              <w:r>
                <w:rPr>
                  <w:rFonts w:ascii="Times New Roman" w:cs="Times New Roman"/>
                  <w:szCs w:val="21"/>
                </w:rPr>
                <w:t>企业法定代表人：林钻煌</w:t>
              </w:r>
            </w:p>
            <w:p>
              <w:pPr>
                <w:spacing w:line="400" w:lineRule="exact"/>
                <w:ind w:firstLine="420" w:firstLineChars="200"/>
                <w:rPr>
                  <w:rFonts w:ascii="Times New Roman" w:hAnsi="Times New Roman" w:cs="Times New Roman"/>
                  <w:szCs w:val="21"/>
                </w:rPr>
              </w:pPr>
              <w:r>
                <w:rPr>
                  <w:rFonts w:ascii="Times New Roman" w:cs="Times New Roman"/>
                  <w:szCs w:val="21"/>
                </w:rPr>
                <w:t>（一）公司简介</w:t>
              </w:r>
            </w:p>
            <w:p>
              <w:pPr>
                <w:spacing w:line="400" w:lineRule="exact"/>
                <w:ind w:firstLine="420" w:firstLineChars="200"/>
                <w:rPr>
                  <w:rFonts w:ascii="Times New Roman" w:hAnsi="Times New Roman" w:cs="Times New Roman"/>
                  <w:szCs w:val="21"/>
                </w:rPr>
              </w:pPr>
              <w:r>
                <w:rPr>
                  <w:rFonts w:ascii="Times New Roman" w:cs="Times New Roman"/>
                  <w:szCs w:val="21"/>
                </w:rPr>
                <w:t>柳州两面针股份有限公司（以下简称</w:t>
              </w:r>
              <w:r>
                <w:rPr>
                  <w:rFonts w:ascii="Times New Roman" w:hAnsi="Times New Roman" w:cs="Times New Roman"/>
                  <w:szCs w:val="21"/>
                </w:rPr>
                <w:t>“</w:t>
              </w:r>
              <w:r>
                <w:rPr>
                  <w:rFonts w:ascii="Times New Roman" w:cs="Times New Roman"/>
                  <w:szCs w:val="21"/>
                </w:rPr>
                <w:t>本公司</w:t>
              </w:r>
              <w:r>
                <w:rPr>
                  <w:rFonts w:ascii="Times New Roman" w:hAnsi="Times New Roman" w:cs="Times New Roman"/>
                  <w:szCs w:val="21"/>
                </w:rPr>
                <w:t>”</w:t>
              </w:r>
              <w:r>
                <w:rPr>
                  <w:rFonts w:ascii="Times New Roman" w:cs="Times New Roman"/>
                  <w:szCs w:val="21"/>
                </w:rPr>
                <w:t>或</w:t>
              </w:r>
              <w:r>
                <w:rPr>
                  <w:rFonts w:ascii="Times New Roman" w:hAnsi="Times New Roman" w:cs="Times New Roman"/>
                  <w:szCs w:val="21"/>
                </w:rPr>
                <w:t>“</w:t>
              </w:r>
              <w:r>
                <w:rPr>
                  <w:rFonts w:ascii="Times New Roman" w:cs="Times New Roman"/>
                  <w:szCs w:val="21"/>
                </w:rPr>
                <w:t>公司</w:t>
              </w:r>
              <w:r>
                <w:rPr>
                  <w:rFonts w:ascii="Times New Roman" w:hAnsi="Times New Roman" w:cs="Times New Roman"/>
                  <w:szCs w:val="21"/>
                </w:rPr>
                <w:t>”</w:t>
              </w:r>
              <w:r>
                <w:rPr>
                  <w:rFonts w:ascii="Times New Roman" w:cs="Times New Roman"/>
                  <w:szCs w:val="21"/>
                </w:rPr>
                <w:t>）前身为柳州市牙膏厂，</w:t>
              </w:r>
              <w:r>
                <w:rPr>
                  <w:rFonts w:ascii="Times New Roman" w:hAnsi="Times New Roman" w:cs="Times New Roman"/>
                  <w:szCs w:val="21"/>
                </w:rPr>
                <w:t>1993</w:t>
              </w:r>
              <w:r>
                <w:rPr>
                  <w:rFonts w:ascii="Times New Roman" w:cs="Times New Roman"/>
                  <w:szCs w:val="21"/>
                </w:rPr>
                <w:t>年经广西壮族自治区经济体制改革委员会桂体改股字</w:t>
              </w:r>
              <w:r>
                <w:rPr>
                  <w:rFonts w:ascii="Times New Roman" w:hAnsi="Times New Roman" w:cs="Times New Roman"/>
                  <w:szCs w:val="21"/>
                </w:rPr>
                <w:t>[1993]156</w:t>
              </w:r>
              <w:r>
                <w:rPr>
                  <w:rFonts w:ascii="Times New Roman" w:cs="Times New Roman"/>
                  <w:szCs w:val="21"/>
                </w:rPr>
                <w:t>号文批准，由柳州市牙膏厂独家发起，采取定向募集方式设立为股份有限公司，总股本</w:t>
              </w:r>
              <w:r>
                <w:rPr>
                  <w:rFonts w:ascii="Times New Roman" w:hAnsi="Times New Roman" w:cs="Times New Roman"/>
                  <w:szCs w:val="21"/>
                </w:rPr>
                <w:t>7,500</w:t>
              </w:r>
              <w:r>
                <w:rPr>
                  <w:rFonts w:ascii="Times New Roman" w:cs="Times New Roman"/>
                  <w:szCs w:val="21"/>
                </w:rPr>
                <w:t>万元人民币，每股面值</w:t>
              </w:r>
              <w:r>
                <w:rPr>
                  <w:rFonts w:ascii="Times New Roman" w:hAnsi="Times New Roman" w:cs="Times New Roman"/>
                  <w:szCs w:val="21"/>
                </w:rPr>
                <w:t>1</w:t>
              </w:r>
              <w:r>
                <w:rPr>
                  <w:rFonts w:ascii="Times New Roman" w:cs="Times New Roman"/>
                  <w:szCs w:val="21"/>
                </w:rPr>
                <w:t>元。</w:t>
              </w:r>
            </w:p>
            <w:p>
              <w:pPr>
                <w:spacing w:line="400" w:lineRule="exact"/>
                <w:ind w:firstLine="420" w:firstLineChars="200"/>
                <w:rPr>
                  <w:rFonts w:ascii="Times New Roman" w:hAnsi="Times New Roman" w:cs="Times New Roman"/>
                  <w:szCs w:val="21"/>
                </w:rPr>
              </w:pPr>
              <w:r>
                <w:rPr>
                  <w:rFonts w:ascii="Times New Roman" w:cs="Times New Roman"/>
                  <w:szCs w:val="21"/>
                </w:rPr>
                <w:t>根据广西壮族自治区经济体制改革委员会桂体改股字</w:t>
              </w:r>
              <w:r>
                <w:rPr>
                  <w:rFonts w:ascii="Times New Roman" w:hAnsi="Times New Roman" w:cs="Times New Roman"/>
                  <w:szCs w:val="21"/>
                </w:rPr>
                <w:t>[1997]10</w:t>
              </w:r>
              <w:r>
                <w:rPr>
                  <w:rFonts w:ascii="Times New Roman" w:cs="Times New Roman"/>
                  <w:szCs w:val="21"/>
                </w:rPr>
                <w:t>号文件批复，同意本公司</w:t>
              </w:r>
              <w:r>
                <w:rPr>
                  <w:rFonts w:ascii="Times New Roman" w:hAnsi="Times New Roman" w:cs="Times New Roman"/>
                  <w:szCs w:val="21"/>
                </w:rPr>
                <w:t>1996</w:t>
              </w:r>
              <w:r>
                <w:rPr>
                  <w:rFonts w:ascii="Times New Roman" w:cs="Times New Roman"/>
                  <w:szCs w:val="21"/>
                </w:rPr>
                <w:t>年度分红派息方案，即公司向全体股东每</w:t>
              </w:r>
              <w:r>
                <w:rPr>
                  <w:rFonts w:ascii="Times New Roman" w:hAnsi="Times New Roman" w:cs="Times New Roman"/>
                  <w:szCs w:val="21"/>
                </w:rPr>
                <w:t>10</w:t>
              </w:r>
              <w:r>
                <w:rPr>
                  <w:rFonts w:ascii="Times New Roman" w:cs="Times New Roman"/>
                  <w:szCs w:val="21"/>
                </w:rPr>
                <w:t>股送红股</w:t>
              </w:r>
              <w:r>
                <w:rPr>
                  <w:rFonts w:ascii="Times New Roman" w:hAnsi="Times New Roman" w:cs="Times New Roman"/>
                  <w:szCs w:val="21"/>
                </w:rPr>
                <w:t>2</w:t>
              </w:r>
              <w:r>
                <w:rPr>
                  <w:rFonts w:ascii="Times New Roman" w:cs="Times New Roman"/>
                  <w:szCs w:val="21"/>
                </w:rPr>
                <w:t>股，共送红股</w:t>
              </w:r>
              <w:r>
                <w:rPr>
                  <w:rFonts w:ascii="Times New Roman" w:hAnsi="Times New Roman" w:cs="Times New Roman"/>
                  <w:szCs w:val="21"/>
                </w:rPr>
                <w:t>1,500</w:t>
              </w:r>
              <w:r>
                <w:rPr>
                  <w:rFonts w:ascii="Times New Roman" w:cs="Times New Roman"/>
                  <w:szCs w:val="21"/>
                </w:rPr>
                <w:t>万股。至此，本公司总股本为</w:t>
              </w:r>
              <w:r>
                <w:rPr>
                  <w:rFonts w:ascii="Times New Roman" w:hAnsi="Times New Roman" w:cs="Times New Roman"/>
                  <w:szCs w:val="21"/>
                </w:rPr>
                <w:t>9,000</w:t>
              </w:r>
              <w:r>
                <w:rPr>
                  <w:rFonts w:ascii="Times New Roman" w:cs="Times New Roman"/>
                  <w:szCs w:val="21"/>
                </w:rPr>
                <w:t>万股。</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2003</w:t>
              </w:r>
              <w:r>
                <w:rPr>
                  <w:rFonts w:ascii="Times New Roman" w:cs="Times New Roman"/>
                  <w:szCs w:val="21"/>
                </w:rPr>
                <w:t>年</w:t>
              </w:r>
              <w:r>
                <w:rPr>
                  <w:rFonts w:ascii="Times New Roman" w:hAnsi="Times New Roman" w:cs="Times New Roman"/>
                  <w:szCs w:val="21"/>
                </w:rPr>
                <w:t>11</w:t>
              </w:r>
              <w:r>
                <w:rPr>
                  <w:rFonts w:ascii="Times New Roman" w:cs="Times New Roman"/>
                  <w:szCs w:val="21"/>
                </w:rPr>
                <w:t>月，经中国证券监督管理委员会证监发行字</w:t>
              </w:r>
              <w:r>
                <w:rPr>
                  <w:rFonts w:ascii="Times New Roman" w:hAnsi="Times New Roman" w:cs="Times New Roman"/>
                  <w:szCs w:val="21"/>
                </w:rPr>
                <w:t>[2003]136</w:t>
              </w:r>
              <w:r>
                <w:rPr>
                  <w:rFonts w:ascii="Times New Roman" w:cs="Times New Roman"/>
                  <w:szCs w:val="21"/>
                </w:rPr>
                <w:t>号文核准，本公司向社会公开发行人民币普通股股票</w:t>
              </w:r>
              <w:r>
                <w:rPr>
                  <w:rFonts w:ascii="Times New Roman" w:hAnsi="Times New Roman" w:cs="Times New Roman"/>
                  <w:szCs w:val="21"/>
                </w:rPr>
                <w:t>6,000</w:t>
              </w:r>
              <w:r>
                <w:rPr>
                  <w:rFonts w:ascii="Times New Roman" w:cs="Times New Roman"/>
                  <w:szCs w:val="21"/>
                </w:rPr>
                <w:t>万股，并于</w:t>
              </w:r>
              <w:r>
                <w:rPr>
                  <w:rFonts w:ascii="Times New Roman" w:hAnsi="Times New Roman" w:cs="Times New Roman"/>
                  <w:szCs w:val="21"/>
                </w:rPr>
                <w:t>2004</w:t>
              </w:r>
              <w:r>
                <w:rPr>
                  <w:rFonts w:ascii="Times New Roman" w:cs="Times New Roman"/>
                  <w:szCs w:val="21"/>
                </w:rPr>
                <w:t>年</w:t>
              </w:r>
              <w:r>
                <w:rPr>
                  <w:rFonts w:ascii="Times New Roman" w:hAnsi="Times New Roman" w:cs="Times New Roman"/>
                  <w:szCs w:val="21"/>
                </w:rPr>
                <w:t>1</w:t>
              </w:r>
              <w:r>
                <w:rPr>
                  <w:rFonts w:ascii="Times New Roman" w:cs="Times New Roman"/>
                  <w:szCs w:val="21"/>
                </w:rPr>
                <w:t>月</w:t>
              </w:r>
              <w:r>
                <w:rPr>
                  <w:rFonts w:ascii="Times New Roman" w:hAnsi="Times New Roman" w:cs="Times New Roman"/>
                  <w:szCs w:val="21"/>
                </w:rPr>
                <w:t>30</w:t>
              </w:r>
              <w:r>
                <w:rPr>
                  <w:rFonts w:ascii="Times New Roman" w:cs="Times New Roman"/>
                  <w:szCs w:val="21"/>
                </w:rPr>
                <w:t>日在上海证券交易所上市。证券简称为</w:t>
              </w:r>
              <w:r>
                <w:rPr>
                  <w:rFonts w:ascii="Times New Roman" w:hAnsi="Times New Roman" w:cs="Times New Roman"/>
                  <w:szCs w:val="21"/>
                </w:rPr>
                <w:t>“</w:t>
              </w:r>
              <w:r>
                <w:rPr>
                  <w:rFonts w:ascii="Times New Roman" w:cs="Times New Roman"/>
                  <w:szCs w:val="21"/>
                </w:rPr>
                <w:t>两面针</w:t>
              </w:r>
              <w:r>
                <w:rPr>
                  <w:rFonts w:ascii="Times New Roman" w:hAnsi="Times New Roman" w:cs="Times New Roman"/>
                  <w:szCs w:val="21"/>
                </w:rPr>
                <w:t>”</w:t>
              </w:r>
              <w:r>
                <w:rPr>
                  <w:rFonts w:ascii="Times New Roman" w:cs="Times New Roman"/>
                  <w:szCs w:val="21"/>
                </w:rPr>
                <w:t>，证券代码为</w:t>
              </w:r>
              <w:r>
                <w:rPr>
                  <w:rFonts w:ascii="Times New Roman" w:hAnsi="Times New Roman" w:cs="Times New Roman"/>
                  <w:szCs w:val="21"/>
                </w:rPr>
                <w:t>“600249”</w:t>
              </w:r>
              <w:r>
                <w:rPr>
                  <w:rFonts w:ascii="Times New Roman" w:cs="Times New Roman"/>
                  <w:szCs w:val="21"/>
                </w:rPr>
                <w:t>。公开发行后，本公司注册资本为人民币</w:t>
              </w:r>
              <w:r>
                <w:rPr>
                  <w:rFonts w:ascii="Times New Roman" w:hAnsi="Times New Roman" w:cs="Times New Roman"/>
                  <w:szCs w:val="21"/>
                </w:rPr>
                <w:t>150,000,000.00</w:t>
              </w:r>
              <w:r>
                <w:rPr>
                  <w:rFonts w:ascii="Times New Roman" w:cs="Times New Roman"/>
                  <w:szCs w:val="21"/>
                </w:rPr>
                <w:t>元。</w:t>
              </w:r>
            </w:p>
            <w:p>
              <w:pPr>
                <w:spacing w:line="400" w:lineRule="exact"/>
                <w:ind w:firstLine="420" w:firstLineChars="200"/>
                <w:rPr>
                  <w:rFonts w:ascii="Times New Roman" w:hAnsi="Times New Roman" w:cs="Times New Roman"/>
                  <w:szCs w:val="21"/>
                </w:rPr>
              </w:pPr>
              <w:r>
                <w:rPr>
                  <w:rFonts w:ascii="Times New Roman" w:cs="Times New Roman"/>
                  <w:szCs w:val="21"/>
                </w:rPr>
                <w:t>经过历年的派送红股、转增股本及增发新股，截止</w:t>
              </w:r>
              <w:r>
                <w:rPr>
                  <w:rFonts w:ascii="Times New Roman" w:hAnsi="Times New Roman" w:cs="Times New Roman"/>
                  <w:szCs w:val="21"/>
                </w:rPr>
                <w:t>2019</w:t>
              </w:r>
              <w:r>
                <w:rPr>
                  <w:rFonts w:ascii="Times New Roman" w:cs="Times New Roman"/>
                  <w:szCs w:val="21"/>
                </w:rPr>
                <w:t>年</w:t>
              </w:r>
              <w:r>
                <w:rPr>
                  <w:rFonts w:ascii="Times New Roman" w:hAnsi="Times New Roman" w:cs="Times New Roman"/>
                  <w:szCs w:val="21"/>
                </w:rPr>
                <w:t>12</w:t>
              </w:r>
              <w:r>
                <w:rPr>
                  <w:rFonts w:ascii="Times New Roman" w:cs="Times New Roman"/>
                  <w:szCs w:val="21"/>
                </w:rPr>
                <w:t>月</w:t>
              </w:r>
              <w:r>
                <w:rPr>
                  <w:rFonts w:ascii="Times New Roman" w:hAnsi="Times New Roman" w:cs="Times New Roman"/>
                  <w:szCs w:val="21"/>
                </w:rPr>
                <w:t>31</w:t>
              </w:r>
              <w:r>
                <w:rPr>
                  <w:rFonts w:ascii="Times New Roman" w:cs="Times New Roman"/>
                  <w:szCs w:val="21"/>
                </w:rPr>
                <w:t>日，本公司累计发行股本总数</w:t>
              </w:r>
              <w:r>
                <w:rPr>
                  <w:rFonts w:ascii="Times New Roman" w:hAnsi="Times New Roman" w:cs="Times New Roman"/>
                  <w:szCs w:val="21"/>
                </w:rPr>
                <w:t>55,000</w:t>
              </w:r>
              <w:r>
                <w:rPr>
                  <w:rFonts w:ascii="Times New Roman" w:cs="Times New Roman"/>
                  <w:szCs w:val="21"/>
                </w:rPr>
                <w:t>万股，注册资本为</w:t>
              </w:r>
              <w:r>
                <w:rPr>
                  <w:rFonts w:ascii="Times New Roman" w:hAnsi="Times New Roman" w:cs="Times New Roman"/>
                  <w:szCs w:val="21"/>
                </w:rPr>
                <w:t>55,000.00</w:t>
              </w:r>
              <w:r>
                <w:rPr>
                  <w:rFonts w:ascii="Times New Roman" w:cs="Times New Roman"/>
                  <w:szCs w:val="21"/>
                </w:rPr>
                <w:t>万元。</w:t>
              </w:r>
            </w:p>
            <w:p>
              <w:pPr>
                <w:spacing w:line="400" w:lineRule="exact"/>
                <w:ind w:firstLine="420" w:firstLineChars="200"/>
                <w:rPr>
                  <w:rFonts w:ascii="Times New Roman" w:hAnsi="Times New Roman" w:cs="Times New Roman"/>
                  <w:szCs w:val="21"/>
                </w:rPr>
              </w:pPr>
              <w:r>
                <w:rPr>
                  <w:rFonts w:ascii="Times New Roman" w:cs="Times New Roman"/>
                  <w:szCs w:val="21"/>
                </w:rPr>
                <w:t>（二）本公司实际控制人</w:t>
              </w:r>
            </w:p>
            <w:p>
              <w:pPr>
                <w:spacing w:line="400" w:lineRule="exact"/>
                <w:ind w:firstLine="420" w:firstLineChars="200"/>
                <w:rPr>
                  <w:rFonts w:ascii="Times New Roman" w:hAnsi="Times New Roman" w:cs="Times New Roman"/>
                  <w:szCs w:val="21"/>
                </w:rPr>
              </w:pPr>
              <w:r>
                <w:rPr>
                  <w:rFonts w:ascii="Times New Roman" w:cs="Times New Roman"/>
                  <w:szCs w:val="21"/>
                </w:rPr>
                <w:t>截至</w:t>
              </w:r>
              <w:r>
                <w:rPr>
                  <w:rFonts w:ascii="Times New Roman" w:hAnsi="Times New Roman" w:cs="Times New Roman"/>
                  <w:szCs w:val="21"/>
                </w:rPr>
                <w:t>202</w:t>
              </w:r>
              <w:r>
                <w:rPr>
                  <w:rFonts w:hint="eastAsia" w:ascii="Times New Roman" w:hAnsi="Times New Roman" w:cs="Times New Roman"/>
                  <w:szCs w:val="21"/>
                </w:rPr>
                <w:t>1</w:t>
              </w:r>
              <w:r>
                <w:rPr>
                  <w:rFonts w:ascii="Times New Roman" w:cs="Times New Roman"/>
                  <w:szCs w:val="21"/>
                </w:rPr>
                <w:t>年</w:t>
              </w:r>
              <w:r>
                <w:rPr>
                  <w:rFonts w:ascii="Times New Roman" w:hAnsi="Times New Roman" w:cs="Times New Roman"/>
                  <w:szCs w:val="21"/>
                </w:rPr>
                <w:t>12</w:t>
              </w:r>
              <w:r>
                <w:rPr>
                  <w:rFonts w:ascii="Times New Roman" w:cs="Times New Roman"/>
                  <w:szCs w:val="21"/>
                </w:rPr>
                <w:t>月</w:t>
              </w:r>
              <w:r>
                <w:rPr>
                  <w:rFonts w:ascii="Times New Roman" w:hAnsi="Times New Roman" w:cs="Times New Roman"/>
                  <w:szCs w:val="21"/>
                </w:rPr>
                <w:t>31</w:t>
              </w:r>
              <w:r>
                <w:rPr>
                  <w:rFonts w:ascii="Times New Roman" w:cs="Times New Roman"/>
                  <w:szCs w:val="21"/>
                </w:rPr>
                <w:t>日，广西柳州市产业投资发展集团有限公司（原名称柳州市产业投资有限公司）持有本公司</w:t>
              </w:r>
              <w:r>
                <w:rPr>
                  <w:rFonts w:ascii="Times New Roman" w:hAnsi="Times New Roman" w:cs="Times New Roman"/>
                  <w:szCs w:val="21"/>
                </w:rPr>
                <w:t>183,360,652</w:t>
              </w:r>
              <w:r>
                <w:rPr>
                  <w:rFonts w:ascii="Times New Roman" w:cs="Times New Roman"/>
                  <w:szCs w:val="21"/>
                </w:rPr>
                <w:t>股，占公司总股本的</w:t>
              </w:r>
              <w:r>
                <w:rPr>
                  <w:rFonts w:ascii="Times New Roman" w:hAnsi="Times New Roman" w:cs="Times New Roman"/>
                  <w:szCs w:val="21"/>
                </w:rPr>
                <w:t>33.34%</w:t>
              </w:r>
              <w:r>
                <w:rPr>
                  <w:rFonts w:ascii="Times New Roman" w:cs="Times New Roman"/>
                  <w:szCs w:val="21"/>
                </w:rPr>
                <w:t>，为公司的实际控制人。</w:t>
              </w:r>
            </w:p>
            <w:p>
              <w:pPr>
                <w:spacing w:line="400" w:lineRule="exact"/>
                <w:ind w:firstLine="420" w:firstLineChars="200"/>
                <w:rPr>
                  <w:rFonts w:ascii="Times New Roman" w:hAnsi="Times New Roman" w:cs="Times New Roman"/>
                  <w:szCs w:val="21"/>
                </w:rPr>
              </w:pPr>
              <w:r>
                <w:rPr>
                  <w:rFonts w:ascii="Times New Roman" w:cs="Times New Roman"/>
                  <w:szCs w:val="21"/>
                </w:rPr>
                <w:t>（三）公司业务性质和主要经营活动</w:t>
              </w:r>
            </w:p>
            <w:p>
              <w:pPr>
                <w:spacing w:line="400" w:lineRule="exact"/>
                <w:ind w:firstLine="420" w:firstLineChars="200"/>
                <w:rPr>
                  <w:rFonts w:ascii="Times New Roman" w:hAnsi="Times New Roman" w:cs="Times New Roman"/>
                  <w:szCs w:val="21"/>
                </w:rPr>
              </w:pPr>
              <w:r>
                <w:rPr>
                  <w:rFonts w:ascii="Times New Roman" w:cs="Times New Roman"/>
                  <w:szCs w:val="21"/>
                </w:rPr>
                <w:t>公司以日化产业为主营业务，现有业务分为日化及医药二个板块。日化板块主要产品为牙膏（含酒店用品牙膏）、洗涤用品；医药板块主要为药品的生产销售。</w:t>
              </w:r>
            </w:p>
            <w:p>
              <w:pPr>
                <w:spacing w:line="400" w:lineRule="exact"/>
                <w:ind w:firstLine="420" w:firstLineChars="200"/>
                <w:rPr>
                  <w:rFonts w:ascii="Times New Roman" w:hAnsi="Times New Roman" w:cs="Times New Roman"/>
                  <w:szCs w:val="21"/>
                </w:rPr>
              </w:pPr>
              <w:r>
                <w:rPr>
                  <w:rFonts w:ascii="Times New Roman" w:cs="Times New Roman"/>
                  <w:szCs w:val="21"/>
                </w:rPr>
                <w:t>（四）财务报表的批准报出</w:t>
              </w:r>
            </w:p>
            <w:p>
              <w:pPr>
                <w:spacing w:line="400" w:lineRule="exact"/>
                <w:ind w:firstLine="420" w:firstLineChars="200"/>
                <w:rPr>
                  <w:rFonts w:ascii="Times New Roman" w:hAnsi="Times New Roman" w:cs="Times New Roman"/>
                  <w:szCs w:val="21"/>
                </w:rPr>
              </w:pPr>
              <w:r>
                <w:rPr>
                  <w:rFonts w:ascii="Times New Roman" w:cs="Times New Roman"/>
                  <w:szCs w:val="21"/>
                </w:rPr>
                <w:t>本财务报表业经本公司于</w:t>
              </w:r>
              <w:r>
                <w:rPr>
                  <w:rFonts w:ascii="Times New Roman" w:hAnsi="Times New Roman" w:cs="Times New Roman"/>
                  <w:szCs w:val="21"/>
                </w:rPr>
                <w:t>2022</w:t>
              </w:r>
              <w:r>
                <w:rPr>
                  <w:rFonts w:ascii="Times New Roman" w:cs="Times New Roman"/>
                  <w:szCs w:val="21"/>
                </w:rPr>
                <w:t>年</w:t>
              </w:r>
              <w:r>
                <w:rPr>
                  <w:rFonts w:ascii="Times New Roman" w:hAnsi="Times New Roman" w:cs="Times New Roman"/>
                  <w:szCs w:val="21"/>
                </w:rPr>
                <w:t>3</w:t>
              </w:r>
              <w:r>
                <w:rPr>
                  <w:rFonts w:ascii="Times New Roman" w:cs="Times New Roman"/>
                  <w:szCs w:val="21"/>
                </w:rPr>
                <w:t>月</w:t>
              </w:r>
              <w:r>
                <w:rPr>
                  <w:rFonts w:ascii="Times New Roman" w:hAnsi="Times New Roman" w:cs="Times New Roman"/>
                  <w:szCs w:val="21"/>
                </w:rPr>
                <w:t>29</w:t>
              </w:r>
              <w:r>
                <w:rPr>
                  <w:rFonts w:ascii="Times New Roman" w:cs="Times New Roman"/>
                  <w:szCs w:val="21"/>
                </w:rPr>
                <w:t>日召开的第八届董事会第六次会议批准报出。</w:t>
              </w:r>
            </w:p>
          </w:sdtContent>
        </w:sdt>
        <w:p>
          <w:pPr>
            <w:pStyle w:val="4"/>
            <w:numPr>
              <w:ilvl w:val="0"/>
              <w:numId w:val="59"/>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865724035"/>
            <w:lock w:val="sdtLocked"/>
          </w:sdtPr>
          <w:sdtEndPr>
            <w:rPr>
              <w:rFonts w:hint="eastAsia"/>
              <w:szCs w:val="21"/>
            </w:rPr>
          </w:sdtEndPr>
          <w:sdtContent>
            <w:p>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
          <w:sdtPr>
            <w:rPr>
              <w:szCs w:val="21"/>
            </w:rPr>
            <w:alias w:val="本年度合并财务报表范围"/>
            <w:tag w:val="_GBC_696c121eead146fba6371fa5b371b2fc"/>
            <w:id w:val="865724036"/>
            <w:lock w:val="sdtLocked"/>
          </w:sdtPr>
          <w:sdtEndPr>
            <w:rPr>
              <w:szCs w:val="21"/>
            </w:rPr>
          </w:sdtEndPr>
          <w:sdtContent>
            <w:p>
              <w:pPr>
                <w:rPr>
                  <w:rFonts w:ascii="Times New Roman" w:hAnsi="Times New Roman" w:cs="Times New Roman"/>
                </w:rPr>
              </w:pPr>
              <w:r>
                <w:t>本公司本期合并财务报表范围的</w:t>
              </w:r>
              <w:r>
                <w:rPr>
                  <w:rFonts w:ascii="Times New Roman" w:cs="Times New Roman"/>
                </w:rPr>
                <w:t>共有</w:t>
              </w:r>
              <w:r>
                <w:rPr>
                  <w:rFonts w:ascii="Times New Roman" w:hAnsi="Times New Roman" w:cs="Times New Roman"/>
                </w:rPr>
                <w:t>6</w:t>
              </w:r>
              <w:r>
                <w:rPr>
                  <w:rFonts w:ascii="Times New Roman" w:cs="Times New Roman"/>
                </w:rPr>
                <w:t>户，除本公司外具体包括</w:t>
              </w:r>
            </w:p>
            <w:tbl>
              <w:tblPr>
                <w:tblStyle w:val="107"/>
                <w:tblW w:w="8528" w:type="dxa"/>
                <w:tblInd w:w="485"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167"/>
                <w:gridCol w:w="1255"/>
                <w:gridCol w:w="730"/>
                <w:gridCol w:w="1322"/>
                <w:gridCol w:w="900"/>
                <w:gridCol w:w="115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tblHeader/>
                </w:trPr>
                <w:tc>
                  <w:tcPr>
                    <w:tcW w:w="3167" w:type="dxa"/>
                    <w:vMerge w:val="restart"/>
                    <w:vAlign w:val="center"/>
                  </w:tcPr>
                  <w:p>
                    <w:pPr>
                      <w:rPr>
                        <w:rFonts w:ascii="Times New Roman" w:hAnsi="Times New Roman" w:cs="Times New Roman"/>
                      </w:rPr>
                    </w:pPr>
                    <w:r>
                      <w:rPr>
                        <w:rFonts w:ascii="Times New Roman" w:cs="Times New Roman"/>
                      </w:rPr>
                      <w:t>子公司名称</w:t>
                    </w:r>
                  </w:p>
                </w:tc>
                <w:tc>
                  <w:tcPr>
                    <w:tcW w:w="1255" w:type="dxa"/>
                    <w:vMerge w:val="restart"/>
                    <w:vAlign w:val="center"/>
                  </w:tcPr>
                  <w:p>
                    <w:pPr>
                      <w:rPr>
                        <w:rFonts w:ascii="Times New Roman" w:hAnsi="Times New Roman" w:cs="Times New Roman"/>
                      </w:rPr>
                    </w:pPr>
                    <w:r>
                      <w:rPr>
                        <w:rFonts w:ascii="Times New Roman" w:cs="Times New Roman"/>
                      </w:rPr>
                      <w:t>子公司类型</w:t>
                    </w:r>
                  </w:p>
                </w:tc>
                <w:tc>
                  <w:tcPr>
                    <w:tcW w:w="730" w:type="dxa"/>
                    <w:vMerge w:val="restart"/>
                    <w:vAlign w:val="center"/>
                  </w:tcPr>
                  <w:p>
                    <w:pPr>
                      <w:rPr>
                        <w:rFonts w:ascii="Times New Roman" w:hAnsi="Times New Roman" w:cs="Times New Roman"/>
                      </w:rPr>
                    </w:pPr>
                    <w:r>
                      <w:rPr>
                        <w:rFonts w:ascii="Times New Roman" w:cs="Times New Roman"/>
                      </w:rPr>
                      <w:t>级次</w:t>
                    </w:r>
                  </w:p>
                </w:tc>
                <w:tc>
                  <w:tcPr>
                    <w:tcW w:w="2222" w:type="dxa"/>
                    <w:gridSpan w:val="2"/>
                    <w:vAlign w:val="center"/>
                  </w:tcPr>
                  <w:p>
                    <w:pPr>
                      <w:rPr>
                        <w:rFonts w:ascii="Times New Roman" w:hAnsi="Times New Roman" w:cs="Times New Roman"/>
                      </w:rPr>
                    </w:pPr>
                    <w:r>
                      <w:rPr>
                        <w:rFonts w:ascii="Times New Roman" w:cs="Times New Roman"/>
                      </w:rPr>
                      <w:t>持股比例</w:t>
                    </w:r>
                    <w:r>
                      <w:rPr>
                        <w:rFonts w:ascii="Times New Roman" w:hAnsi="Times New Roman" w:cs="Times New Roman"/>
                      </w:rPr>
                      <w:t>(%)</w:t>
                    </w:r>
                  </w:p>
                </w:tc>
                <w:tc>
                  <w:tcPr>
                    <w:tcW w:w="1154" w:type="dxa"/>
                    <w:vMerge w:val="restart"/>
                    <w:vAlign w:val="center"/>
                  </w:tcPr>
                  <w:p>
                    <w:pPr>
                      <w:rPr>
                        <w:rFonts w:ascii="Times New Roman" w:hAnsi="Times New Roman" w:cs="Times New Roman"/>
                      </w:rPr>
                    </w:pPr>
                    <w:r>
                      <w:rPr>
                        <w:rFonts w:ascii="Times New Roman" w:cs="Times New Roman"/>
                      </w:rPr>
                      <w:t>表决权比例</w:t>
                    </w:r>
                    <w:r>
                      <w:rPr>
                        <w:rFonts w:ascii="Times New Roman" w:hAnsi="Times New Roman" w:cs="Times New Roma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167" w:type="dxa"/>
                    <w:vMerge w:val="continue"/>
                    <w:vAlign w:val="center"/>
                  </w:tcPr>
                  <w:p>
                    <w:pPr>
                      <w:rPr>
                        <w:rFonts w:ascii="Times New Roman" w:hAnsi="Times New Roman" w:cs="Times New Roman"/>
                      </w:rPr>
                    </w:pPr>
                  </w:p>
                </w:tc>
                <w:tc>
                  <w:tcPr>
                    <w:tcW w:w="1255" w:type="dxa"/>
                    <w:vMerge w:val="continue"/>
                    <w:vAlign w:val="center"/>
                  </w:tcPr>
                  <w:p>
                    <w:pPr>
                      <w:rPr>
                        <w:rFonts w:ascii="Times New Roman" w:hAnsi="Times New Roman" w:cs="Times New Roman"/>
                      </w:rPr>
                    </w:pPr>
                  </w:p>
                </w:tc>
                <w:tc>
                  <w:tcPr>
                    <w:tcW w:w="730" w:type="dxa"/>
                    <w:vMerge w:val="continue"/>
                  </w:tcPr>
                  <w:p>
                    <w:pPr>
                      <w:rPr>
                        <w:rFonts w:ascii="Times New Roman" w:hAnsi="Times New Roman" w:cs="Times New Roman"/>
                      </w:rPr>
                    </w:pPr>
                  </w:p>
                </w:tc>
                <w:tc>
                  <w:tcPr>
                    <w:tcW w:w="1322" w:type="dxa"/>
                    <w:vAlign w:val="center"/>
                  </w:tcPr>
                  <w:p>
                    <w:pPr>
                      <w:rPr>
                        <w:rFonts w:ascii="Times New Roman" w:hAnsi="Times New Roman" w:cs="Times New Roman"/>
                      </w:rPr>
                    </w:pPr>
                    <w:r>
                      <w:rPr>
                        <w:rFonts w:ascii="Times New Roman" w:cs="Times New Roman"/>
                      </w:rPr>
                      <w:t>直接</w:t>
                    </w:r>
                  </w:p>
                </w:tc>
                <w:tc>
                  <w:tcPr>
                    <w:tcW w:w="900" w:type="dxa"/>
                    <w:vAlign w:val="center"/>
                  </w:tcPr>
                  <w:p>
                    <w:pPr>
                      <w:rPr>
                        <w:rFonts w:ascii="Times New Roman" w:hAnsi="Times New Roman" w:cs="Times New Roman"/>
                      </w:rPr>
                    </w:pPr>
                    <w:r>
                      <w:rPr>
                        <w:rFonts w:ascii="Times New Roman" w:cs="Times New Roman"/>
                      </w:rPr>
                      <w:t>间接</w:t>
                    </w:r>
                  </w:p>
                </w:tc>
                <w:tc>
                  <w:tcPr>
                    <w:tcW w:w="1154" w:type="dxa"/>
                    <w:vMerge w:val="continue"/>
                    <w:vAlign w:val="center"/>
                  </w:tcPr>
                  <w:p>
                    <w:pP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167" w:type="dxa"/>
                    <w:vAlign w:val="center"/>
                  </w:tcPr>
                  <w:p>
                    <w:pPr>
                      <w:rPr>
                        <w:rFonts w:ascii="Times New Roman" w:hAnsi="Times New Roman" w:cs="Times New Roman"/>
                      </w:rPr>
                    </w:pPr>
                    <w:r>
                      <w:rPr>
                        <w:rFonts w:ascii="Times New Roman" w:cs="Times New Roman"/>
                      </w:rPr>
                      <w:t>柳州惠好卫生用品有限公司</w:t>
                    </w:r>
                  </w:p>
                </w:tc>
                <w:tc>
                  <w:tcPr>
                    <w:tcW w:w="1255" w:type="dxa"/>
                    <w:vAlign w:val="center"/>
                  </w:tcPr>
                  <w:p>
                    <w:pPr>
                      <w:rPr>
                        <w:rFonts w:ascii="Times New Roman" w:hAnsi="Times New Roman" w:cs="Times New Roman"/>
                      </w:rPr>
                    </w:pPr>
                    <w:r>
                      <w:rPr>
                        <w:rFonts w:ascii="Times New Roman" w:cs="Times New Roman"/>
                      </w:rPr>
                      <w:t>控股子公司</w:t>
                    </w:r>
                  </w:p>
                </w:tc>
                <w:tc>
                  <w:tcPr>
                    <w:tcW w:w="730" w:type="dxa"/>
                    <w:vAlign w:val="center"/>
                  </w:tcPr>
                  <w:p>
                    <w:pPr>
                      <w:jc w:val="right"/>
                      <w:rPr>
                        <w:rFonts w:ascii="Times New Roman" w:hAnsi="Times New Roman" w:cs="Times New Roman"/>
                      </w:rPr>
                    </w:pPr>
                    <w:r>
                      <w:rPr>
                        <w:rFonts w:ascii="Times New Roman" w:hAnsi="Times New Roman" w:cs="Times New Roman"/>
                      </w:rPr>
                      <w:t>2</w:t>
                    </w:r>
                  </w:p>
                </w:tc>
                <w:tc>
                  <w:tcPr>
                    <w:tcW w:w="1322" w:type="dxa"/>
                    <w:vAlign w:val="center"/>
                  </w:tcPr>
                  <w:p>
                    <w:pPr>
                      <w:jc w:val="right"/>
                      <w:rPr>
                        <w:rFonts w:ascii="Times New Roman" w:hAnsi="Times New Roman" w:cs="Times New Roman"/>
                      </w:rPr>
                    </w:pPr>
                    <w:r>
                      <w:rPr>
                        <w:rFonts w:ascii="Times New Roman" w:hAnsi="Times New Roman" w:cs="Times New Roman"/>
                      </w:rPr>
                      <w:t>75</w:t>
                    </w:r>
                  </w:p>
                </w:tc>
                <w:tc>
                  <w:tcPr>
                    <w:tcW w:w="900" w:type="dxa"/>
                    <w:vAlign w:val="center"/>
                  </w:tcPr>
                  <w:p>
                    <w:pPr>
                      <w:jc w:val="right"/>
                      <w:rPr>
                        <w:rFonts w:ascii="Times New Roman" w:hAnsi="Times New Roman" w:cs="Times New Roman"/>
                      </w:rPr>
                    </w:pPr>
                  </w:p>
                </w:tc>
                <w:tc>
                  <w:tcPr>
                    <w:tcW w:w="1154" w:type="dxa"/>
                    <w:vAlign w:val="center"/>
                  </w:tcPr>
                  <w:p>
                    <w:pPr>
                      <w:jc w:val="right"/>
                      <w:rPr>
                        <w:rFonts w:ascii="Times New Roman" w:hAnsi="Times New Roman" w:cs="Times New Roman"/>
                      </w:rPr>
                    </w:pPr>
                    <w:r>
                      <w:rPr>
                        <w:rFonts w:ascii="Times New Roman" w:hAnsi="Times New Roman" w:cs="Times New Roman"/>
                      </w:rPr>
                      <w:t>75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167" w:type="dxa"/>
                    <w:vAlign w:val="center"/>
                  </w:tcPr>
                  <w:p>
                    <w:pPr>
                      <w:rPr>
                        <w:rFonts w:ascii="Times New Roman" w:hAnsi="Times New Roman" w:cs="Times New Roman"/>
                      </w:rPr>
                    </w:pPr>
                    <w:r>
                      <w:rPr>
                        <w:rFonts w:ascii="Times New Roman" w:cs="Times New Roman"/>
                      </w:rPr>
                      <w:t>柳州两面针进出口贸易有限公司</w:t>
                    </w:r>
                  </w:p>
                </w:tc>
                <w:tc>
                  <w:tcPr>
                    <w:tcW w:w="1255" w:type="dxa"/>
                    <w:vAlign w:val="center"/>
                  </w:tcPr>
                  <w:p>
                    <w:pPr>
                      <w:rPr>
                        <w:rFonts w:ascii="Times New Roman" w:hAnsi="Times New Roman" w:cs="Times New Roman"/>
                      </w:rPr>
                    </w:pPr>
                    <w:r>
                      <w:rPr>
                        <w:rFonts w:ascii="Times New Roman" w:cs="Times New Roman"/>
                      </w:rPr>
                      <w:t>控股子公司</w:t>
                    </w:r>
                  </w:p>
                </w:tc>
                <w:tc>
                  <w:tcPr>
                    <w:tcW w:w="730" w:type="dxa"/>
                    <w:vAlign w:val="center"/>
                  </w:tcPr>
                  <w:p>
                    <w:pPr>
                      <w:jc w:val="right"/>
                      <w:rPr>
                        <w:rFonts w:ascii="Times New Roman" w:hAnsi="Times New Roman" w:cs="Times New Roman"/>
                      </w:rPr>
                    </w:pPr>
                    <w:r>
                      <w:rPr>
                        <w:rFonts w:ascii="Times New Roman" w:hAnsi="Times New Roman" w:cs="Times New Roman"/>
                      </w:rPr>
                      <w:t>2</w:t>
                    </w:r>
                  </w:p>
                </w:tc>
                <w:tc>
                  <w:tcPr>
                    <w:tcW w:w="1322" w:type="dxa"/>
                    <w:vAlign w:val="center"/>
                  </w:tcPr>
                  <w:p>
                    <w:pPr>
                      <w:jc w:val="right"/>
                      <w:rPr>
                        <w:rFonts w:ascii="Times New Roman" w:hAnsi="Times New Roman" w:cs="Times New Roman"/>
                      </w:rPr>
                    </w:pPr>
                    <w:r>
                      <w:rPr>
                        <w:rFonts w:ascii="Times New Roman" w:hAnsi="Times New Roman" w:cs="Times New Roman"/>
                      </w:rPr>
                      <w:t>51</w:t>
                    </w:r>
                  </w:p>
                </w:tc>
                <w:tc>
                  <w:tcPr>
                    <w:tcW w:w="900" w:type="dxa"/>
                    <w:vAlign w:val="center"/>
                  </w:tcPr>
                  <w:p>
                    <w:pPr>
                      <w:jc w:val="right"/>
                      <w:rPr>
                        <w:rFonts w:ascii="Times New Roman" w:hAnsi="Times New Roman" w:cs="Times New Roman"/>
                      </w:rPr>
                    </w:pPr>
                  </w:p>
                </w:tc>
                <w:tc>
                  <w:tcPr>
                    <w:tcW w:w="1154" w:type="dxa"/>
                    <w:vAlign w:val="center"/>
                  </w:tcPr>
                  <w:p>
                    <w:pPr>
                      <w:jc w:val="right"/>
                      <w:rPr>
                        <w:rFonts w:ascii="Times New Roman" w:hAnsi="Times New Roman" w:cs="Times New Roman"/>
                      </w:rPr>
                    </w:pPr>
                    <w:r>
                      <w:rPr>
                        <w:rFonts w:ascii="Times New Roman" w:hAnsi="Times New Roman" w:cs="Times New Roman"/>
                      </w:rPr>
                      <w:t>51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167" w:type="dxa"/>
                    <w:vAlign w:val="center"/>
                  </w:tcPr>
                  <w:p>
                    <w:pPr>
                      <w:rPr>
                        <w:rFonts w:ascii="Times New Roman" w:hAnsi="Times New Roman" w:cs="Times New Roman"/>
                      </w:rPr>
                    </w:pPr>
                    <w:r>
                      <w:rPr>
                        <w:rFonts w:ascii="Times New Roman" w:cs="Times New Roman"/>
                      </w:rPr>
                      <w:t>广西两面针亿康药业股份有限公司</w:t>
                    </w:r>
                  </w:p>
                </w:tc>
                <w:tc>
                  <w:tcPr>
                    <w:tcW w:w="1255" w:type="dxa"/>
                    <w:vAlign w:val="center"/>
                  </w:tcPr>
                  <w:p>
                    <w:pPr>
                      <w:rPr>
                        <w:rFonts w:ascii="Times New Roman" w:hAnsi="Times New Roman" w:cs="Times New Roman"/>
                      </w:rPr>
                    </w:pPr>
                    <w:r>
                      <w:rPr>
                        <w:rFonts w:ascii="Times New Roman" w:cs="Times New Roman"/>
                      </w:rPr>
                      <w:t>控股子公司</w:t>
                    </w:r>
                  </w:p>
                </w:tc>
                <w:tc>
                  <w:tcPr>
                    <w:tcW w:w="730" w:type="dxa"/>
                    <w:vAlign w:val="center"/>
                  </w:tcPr>
                  <w:p>
                    <w:pPr>
                      <w:jc w:val="right"/>
                      <w:rPr>
                        <w:rFonts w:ascii="Times New Roman" w:hAnsi="Times New Roman" w:cs="Times New Roman"/>
                      </w:rPr>
                    </w:pPr>
                    <w:r>
                      <w:rPr>
                        <w:rFonts w:ascii="Times New Roman" w:hAnsi="Times New Roman" w:cs="Times New Roman"/>
                      </w:rPr>
                      <w:t>2</w:t>
                    </w:r>
                  </w:p>
                </w:tc>
                <w:tc>
                  <w:tcPr>
                    <w:tcW w:w="1322" w:type="dxa"/>
                    <w:vAlign w:val="center"/>
                  </w:tcPr>
                  <w:p>
                    <w:pPr>
                      <w:jc w:val="right"/>
                      <w:rPr>
                        <w:rFonts w:ascii="Times New Roman" w:hAnsi="Times New Roman" w:cs="Times New Roman"/>
                      </w:rPr>
                    </w:pPr>
                    <w:r>
                      <w:rPr>
                        <w:rFonts w:ascii="Times New Roman" w:hAnsi="Times New Roman" w:cs="Times New Roman"/>
                      </w:rPr>
                      <w:t>90.10</w:t>
                    </w:r>
                  </w:p>
                </w:tc>
                <w:tc>
                  <w:tcPr>
                    <w:tcW w:w="900" w:type="dxa"/>
                    <w:vAlign w:val="center"/>
                  </w:tcPr>
                  <w:p>
                    <w:pPr>
                      <w:jc w:val="right"/>
                      <w:rPr>
                        <w:rFonts w:ascii="Times New Roman" w:hAnsi="Times New Roman" w:cs="Times New Roman"/>
                      </w:rPr>
                    </w:pPr>
                  </w:p>
                </w:tc>
                <w:tc>
                  <w:tcPr>
                    <w:tcW w:w="1154" w:type="dxa"/>
                    <w:vAlign w:val="center"/>
                  </w:tcPr>
                  <w:p>
                    <w:pPr>
                      <w:jc w:val="right"/>
                      <w:rPr>
                        <w:rFonts w:ascii="Times New Roman" w:hAnsi="Times New Roman" w:cs="Times New Roman"/>
                      </w:rPr>
                    </w:pPr>
                    <w:r>
                      <w:rPr>
                        <w:rFonts w:ascii="Times New Roman" w:hAnsi="Times New Roman" w:cs="Times New Roman"/>
                      </w:rPr>
                      <w:t>90.1</w:t>
                    </w:r>
                    <w:r>
                      <w:rPr>
                        <w:rFonts w:hint="eastAsia" w:ascii="Times New Roman" w:hAnsi="Times New Roman" w:cs="Times New Roman"/>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167" w:type="dxa"/>
                    <w:vAlign w:val="center"/>
                  </w:tcPr>
                  <w:p>
                    <w:pPr>
                      <w:rPr>
                        <w:rFonts w:ascii="Times New Roman" w:hAnsi="Times New Roman" w:cs="Times New Roman"/>
                      </w:rPr>
                    </w:pPr>
                    <w:r>
                      <w:rPr>
                        <w:rFonts w:ascii="Times New Roman" w:cs="Times New Roman"/>
                      </w:rPr>
                      <w:t>安徽两面针</w:t>
                    </w:r>
                    <w:r>
                      <w:rPr>
                        <w:rFonts w:ascii="Times New Roman" w:hAnsi="Times New Roman" w:cs="Times New Roman"/>
                      </w:rPr>
                      <w:t>•</w:t>
                    </w:r>
                    <w:r>
                      <w:rPr>
                        <w:rFonts w:ascii="Times New Roman" w:cs="Times New Roman"/>
                      </w:rPr>
                      <w:t>芳草日化有限公司</w:t>
                    </w:r>
                  </w:p>
                </w:tc>
                <w:tc>
                  <w:tcPr>
                    <w:tcW w:w="1255" w:type="dxa"/>
                    <w:vAlign w:val="center"/>
                  </w:tcPr>
                  <w:p>
                    <w:pPr>
                      <w:rPr>
                        <w:rFonts w:ascii="Times New Roman" w:hAnsi="Times New Roman" w:cs="Times New Roman"/>
                      </w:rPr>
                    </w:pPr>
                    <w:r>
                      <w:rPr>
                        <w:rFonts w:ascii="Times New Roman" w:cs="Times New Roman"/>
                      </w:rPr>
                      <w:t>控股子公司</w:t>
                    </w:r>
                  </w:p>
                </w:tc>
                <w:tc>
                  <w:tcPr>
                    <w:tcW w:w="730" w:type="dxa"/>
                    <w:vAlign w:val="center"/>
                  </w:tcPr>
                  <w:p>
                    <w:pPr>
                      <w:jc w:val="right"/>
                      <w:rPr>
                        <w:rFonts w:ascii="Times New Roman" w:hAnsi="Times New Roman" w:cs="Times New Roman"/>
                      </w:rPr>
                    </w:pPr>
                    <w:r>
                      <w:rPr>
                        <w:rFonts w:ascii="Times New Roman" w:hAnsi="Times New Roman" w:cs="Times New Roman"/>
                      </w:rPr>
                      <w:t>2</w:t>
                    </w:r>
                  </w:p>
                </w:tc>
                <w:tc>
                  <w:tcPr>
                    <w:tcW w:w="1322" w:type="dxa"/>
                    <w:vAlign w:val="center"/>
                  </w:tcPr>
                  <w:p>
                    <w:pPr>
                      <w:jc w:val="right"/>
                      <w:rPr>
                        <w:rFonts w:ascii="Times New Roman" w:hAnsi="Times New Roman" w:cs="Times New Roman"/>
                      </w:rPr>
                    </w:pPr>
                    <w:r>
                      <w:rPr>
                        <w:rFonts w:ascii="Times New Roman" w:hAnsi="Times New Roman" w:cs="Times New Roman"/>
                      </w:rPr>
                      <w:t>70</w:t>
                    </w:r>
                  </w:p>
                </w:tc>
                <w:tc>
                  <w:tcPr>
                    <w:tcW w:w="900" w:type="dxa"/>
                    <w:vAlign w:val="center"/>
                  </w:tcPr>
                  <w:p>
                    <w:pPr>
                      <w:jc w:val="right"/>
                      <w:rPr>
                        <w:rFonts w:ascii="Times New Roman" w:hAnsi="Times New Roman" w:cs="Times New Roman"/>
                      </w:rPr>
                    </w:pPr>
                    <w:r>
                      <w:rPr>
                        <w:rFonts w:hint="eastAsia" w:ascii="Times New Roman" w:hAnsi="Times New Roman" w:cs="Times New Roman"/>
                      </w:rPr>
                      <w:t>14.07</w:t>
                    </w:r>
                  </w:p>
                </w:tc>
                <w:tc>
                  <w:tcPr>
                    <w:tcW w:w="1154" w:type="dxa"/>
                    <w:vAlign w:val="center"/>
                  </w:tcPr>
                  <w:p>
                    <w:pPr>
                      <w:jc w:val="right"/>
                      <w:rPr>
                        <w:rFonts w:ascii="Times New Roman" w:hAnsi="Times New Roman" w:cs="Times New Roman"/>
                      </w:rPr>
                    </w:pPr>
                    <w:r>
                      <w:rPr>
                        <w:rFonts w:ascii="Times New Roman" w:hAnsi="Times New Roman" w:cs="Times New Roman"/>
                      </w:rPr>
                      <w:t>85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167" w:type="dxa"/>
                    <w:vAlign w:val="center"/>
                  </w:tcPr>
                  <w:p>
                    <w:pPr>
                      <w:rPr>
                        <w:rFonts w:ascii="Times New Roman" w:hAnsi="Times New Roman" w:cs="Times New Roman"/>
                      </w:rPr>
                    </w:pPr>
                    <w:r>
                      <w:rPr>
                        <w:rFonts w:ascii="Times New Roman" w:cs="Times New Roman"/>
                      </w:rPr>
                      <w:t>两面针（江苏）实业有限公司</w:t>
                    </w:r>
                  </w:p>
                </w:tc>
                <w:tc>
                  <w:tcPr>
                    <w:tcW w:w="1255" w:type="dxa"/>
                    <w:vAlign w:val="center"/>
                  </w:tcPr>
                  <w:p>
                    <w:pPr>
                      <w:rPr>
                        <w:rFonts w:ascii="Times New Roman" w:hAnsi="Times New Roman" w:cs="Times New Roman"/>
                      </w:rPr>
                    </w:pPr>
                    <w:r>
                      <w:rPr>
                        <w:rFonts w:ascii="Times New Roman" w:cs="Times New Roman"/>
                      </w:rPr>
                      <w:t>控股子公司</w:t>
                    </w:r>
                  </w:p>
                </w:tc>
                <w:tc>
                  <w:tcPr>
                    <w:tcW w:w="730" w:type="dxa"/>
                    <w:vAlign w:val="center"/>
                  </w:tcPr>
                  <w:p>
                    <w:pPr>
                      <w:jc w:val="right"/>
                      <w:rPr>
                        <w:rFonts w:ascii="Times New Roman" w:hAnsi="Times New Roman" w:cs="Times New Roman"/>
                      </w:rPr>
                    </w:pPr>
                    <w:r>
                      <w:rPr>
                        <w:rFonts w:ascii="Times New Roman" w:hAnsi="Times New Roman" w:cs="Times New Roman"/>
                      </w:rPr>
                      <w:t>2</w:t>
                    </w:r>
                  </w:p>
                </w:tc>
                <w:tc>
                  <w:tcPr>
                    <w:tcW w:w="1322" w:type="dxa"/>
                    <w:vAlign w:val="center"/>
                  </w:tcPr>
                  <w:p>
                    <w:pPr>
                      <w:jc w:val="right"/>
                      <w:rPr>
                        <w:rFonts w:ascii="Times New Roman" w:hAnsi="Times New Roman" w:cs="Times New Roman"/>
                      </w:rPr>
                    </w:pPr>
                    <w:r>
                      <w:rPr>
                        <w:rFonts w:ascii="Times New Roman" w:hAnsi="Times New Roman" w:cs="Times New Roman"/>
                      </w:rPr>
                      <w:t>93.80</w:t>
                    </w:r>
                  </w:p>
                </w:tc>
                <w:tc>
                  <w:tcPr>
                    <w:tcW w:w="900" w:type="dxa"/>
                    <w:vAlign w:val="center"/>
                  </w:tcPr>
                  <w:p>
                    <w:pPr>
                      <w:jc w:val="right"/>
                      <w:rPr>
                        <w:rFonts w:ascii="Times New Roman" w:hAnsi="Times New Roman" w:cs="Times New Roman"/>
                      </w:rPr>
                    </w:pPr>
                  </w:p>
                </w:tc>
                <w:tc>
                  <w:tcPr>
                    <w:tcW w:w="1154" w:type="dxa"/>
                    <w:vAlign w:val="center"/>
                  </w:tcPr>
                  <w:p>
                    <w:pPr>
                      <w:jc w:val="right"/>
                      <w:rPr>
                        <w:rFonts w:ascii="Times New Roman" w:hAnsi="Times New Roman" w:cs="Times New Roman"/>
                      </w:rPr>
                    </w:pPr>
                    <w:r>
                      <w:rPr>
                        <w:rFonts w:ascii="Times New Roman" w:hAnsi="Times New Roman" w:cs="Times New Roman"/>
                      </w:rPr>
                      <w:t>93.8</w:t>
                    </w:r>
                    <w:r>
                      <w:rPr>
                        <w:rFonts w:hint="eastAsia" w:ascii="Times New Roman" w:hAnsi="Times New Roman" w:cs="Times New Roman"/>
                      </w:rPr>
                      <w:t>0</w:t>
                    </w:r>
                  </w:p>
                </w:tc>
              </w:tr>
            </w:tbl>
            <w:p>
              <w:r>
                <w:rPr>
                  <w:rFonts w:hint="eastAsia"/>
                </w:rPr>
                <w:t xml:space="preserve">   </w:t>
              </w:r>
              <w:r>
                <w:t>本期纳入合并财务报表范围的主体较上期相比没有变化。</w:t>
              </w:r>
            </w:p>
          </w:sdtContent>
        </w:sdt>
        <w:p>
          <w:pPr>
            <w:pStyle w:val="3"/>
          </w:pPr>
        </w:p>
      </w:sdtContent>
    </w:sdt>
    <w:p>
      <w:pPr>
        <w:pStyle w:val="3"/>
        <w:numPr>
          <w:ilvl w:val="0"/>
          <w:numId w:val="54"/>
        </w:numPr>
        <w:rPr>
          <w:rFonts w:ascii="宋体" w:hAnsi="宋体"/>
        </w:rPr>
      </w:pPr>
      <w:r>
        <w:rPr>
          <w:rFonts w:hint="eastAsia" w:ascii="宋体" w:hAnsi="宋体"/>
        </w:rPr>
        <w:t>财务报表的编制基础</w:t>
      </w:r>
    </w:p>
    <w:sdt>
      <w:sdtPr>
        <w:rPr>
          <w:rFonts w:cs="宋体" w:asciiTheme="minorHAnsi" w:hAnsiTheme="minorHAnsi"/>
          <w:b w:val="0"/>
          <w:bCs w:val="0"/>
          <w:kern w:val="0"/>
          <w:szCs w:val="22"/>
        </w:rPr>
        <w:alias w:val="模块:财务报表的编制基础"/>
        <w:tag w:val="_GBC_6d12949d3695402592266a78137dcfb5"/>
        <w:id w:val="865724039"/>
        <w:lock w:val="sdtLocked"/>
        <w:placeholder>
          <w:docPart w:val="GBC22222222222222222222222222222"/>
        </w:placeholder>
      </w:sdtPr>
      <w:sdtEndPr>
        <w:rPr>
          <w:rFonts w:ascii="Times New Roman" w:hAnsi="Times New Roman" w:cs="Times New Roman"/>
          <w:b w:val="0"/>
          <w:bCs w:val="0"/>
          <w:kern w:val="2"/>
          <w:szCs w:val="21"/>
        </w:rPr>
      </w:sdtEndPr>
      <w:sdtContent>
        <w:p>
          <w:pPr>
            <w:pStyle w:val="4"/>
            <w:numPr>
              <w:ilvl w:val="0"/>
              <w:numId w:val="60"/>
            </w:numPr>
          </w:pPr>
          <w:r>
            <w:t>编制基础</w:t>
          </w:r>
        </w:p>
        <w:sdt>
          <w:sdtPr>
            <w:rPr>
              <w:rFonts w:hint="eastAsia"/>
              <w:szCs w:val="21"/>
            </w:rPr>
            <w:alias w:val="财务报表的编制基础"/>
            <w:tag w:val="_GBC_1dc2375ed7ab49628f5badf2d5006405"/>
            <w:id w:val="865724038"/>
            <w:lock w:val="sdtLocked"/>
            <w:placeholder>
              <w:docPart w:val="GBC22222222222222222222222222222"/>
            </w:placeholder>
          </w:sdtPr>
          <w:sdtEndPr>
            <w:rPr>
              <w:rFonts w:hint="default" w:ascii="Times New Roman" w:hAnsi="Times New Roman" w:cs="Times New Roman"/>
              <w:szCs w:val="21"/>
            </w:rPr>
          </w:sdtEndPr>
          <w:sdtContent>
            <w:p>
              <w:pPr>
                <w:spacing w:line="400" w:lineRule="exact"/>
                <w:ind w:firstLine="420" w:firstLineChars="200"/>
                <w:rPr>
                  <w:rFonts w:ascii="Times New Roman" w:hAnsi="Times New Roman" w:cs="Times New Roman"/>
                  <w:szCs w:val="21"/>
                </w:rPr>
              </w:pPr>
              <w:r>
                <w:rPr>
                  <w:rFonts w:hint="eastAsia"/>
                  <w:szCs w:val="21"/>
                </w:rPr>
                <w:t xml:space="preserve"> </w:t>
              </w:r>
              <w:r>
                <w:rPr>
                  <w:rFonts w:ascii="Times New Roman" w:cs="Times New Roman"/>
                  <w:szCs w:val="21"/>
                </w:rPr>
                <w:t>本公司财务报表以持续经营为编制基础。</w:t>
              </w:r>
            </w:p>
            <w:p>
              <w:pPr>
                <w:spacing w:line="400" w:lineRule="exact"/>
                <w:ind w:firstLine="420" w:firstLineChars="200"/>
                <w:rPr>
                  <w:rFonts w:ascii="Times New Roman" w:hAnsi="Times New Roman" w:cs="Times New Roman"/>
                  <w:szCs w:val="21"/>
                </w:rPr>
              </w:pPr>
              <w:r>
                <w:rPr>
                  <w:rFonts w:ascii="Times New Roman" w:cs="Times New Roman" w:hAnsiTheme="minorEastAsia" w:eastAsiaTheme="minorEastAsia"/>
                  <w:color w:val="000000"/>
                  <w:szCs w:val="21"/>
                </w:rPr>
                <w:t>本公司根据实际发生的交易和事项，按照财政部颁布的《企业会计准则</w:t>
              </w:r>
              <w:r>
                <w:rPr>
                  <w:rFonts w:ascii="Times New Roman" w:hAnsi="Times New Roman" w:cs="Times New Roman" w:eastAsiaTheme="minorEastAsia"/>
                  <w:color w:val="000000"/>
                  <w:szCs w:val="21"/>
                </w:rPr>
                <w:t>——</w:t>
              </w:r>
              <w:r>
                <w:rPr>
                  <w:rFonts w:ascii="Times New Roman" w:cs="Times New Roman" w:hAnsiTheme="minorEastAsia" w:eastAsiaTheme="minorEastAsia"/>
                  <w:color w:val="000000"/>
                  <w:szCs w:val="21"/>
                </w:rPr>
                <w:t>基本准则》和具体企业会计准则、企业会计准则应用指南、企业会计准则解释及其他相关规定（以下合称</w:t>
              </w:r>
              <w:r>
                <w:rPr>
                  <w:rFonts w:ascii="Times New Roman" w:hAnsi="Times New Roman" w:cs="Times New Roman" w:eastAsiaTheme="minorEastAsia"/>
                  <w:color w:val="000000"/>
                  <w:szCs w:val="21"/>
                </w:rPr>
                <w:t>“</w:t>
              </w:r>
              <w:r>
                <w:rPr>
                  <w:rFonts w:ascii="Times New Roman" w:cs="Times New Roman" w:hAnsiTheme="minorEastAsia" w:eastAsiaTheme="minorEastAsia"/>
                  <w:color w:val="000000"/>
                  <w:szCs w:val="21"/>
                </w:rPr>
                <w:t>企业会计准则</w:t>
              </w:r>
              <w:r>
                <w:rPr>
                  <w:rFonts w:ascii="Times New Roman" w:hAnsi="Times New Roman" w:cs="Times New Roman" w:eastAsiaTheme="minorEastAsia"/>
                  <w:color w:val="000000"/>
                  <w:szCs w:val="21"/>
                </w:rPr>
                <w:t>”</w:t>
              </w:r>
              <w:r>
                <w:rPr>
                  <w:rFonts w:ascii="Times New Roman" w:cs="Times New Roman" w:hAnsiTheme="minorEastAsia" w:eastAsiaTheme="minorEastAsia"/>
                  <w:color w:val="000000"/>
                  <w:szCs w:val="21"/>
                </w:rPr>
                <w:t>）进行确认和计量，在此基础上，结合中国证券监督管理委员会《公开发行证券的公司信息披露编报规则第</w:t>
              </w:r>
              <w:r>
                <w:rPr>
                  <w:rFonts w:ascii="Times New Roman" w:hAnsi="Times New Roman" w:cs="Times New Roman" w:eastAsiaTheme="minorEastAsia"/>
                  <w:color w:val="000000"/>
                  <w:szCs w:val="21"/>
                </w:rPr>
                <w:t>15</w:t>
              </w:r>
              <w:r>
                <w:rPr>
                  <w:rFonts w:ascii="Times New Roman" w:cs="Times New Roman" w:hAnsiTheme="minorEastAsia" w:eastAsiaTheme="minorEastAsia"/>
                  <w:color w:val="000000"/>
                  <w:szCs w:val="21"/>
                </w:rPr>
                <w:t>号</w:t>
              </w:r>
              <w:r>
                <w:rPr>
                  <w:rFonts w:ascii="Times New Roman" w:hAnsi="Times New Roman" w:cs="Times New Roman" w:eastAsiaTheme="minorEastAsia"/>
                  <w:color w:val="000000"/>
                  <w:szCs w:val="21"/>
                </w:rPr>
                <w:t>——</w:t>
              </w:r>
              <w:r>
                <w:rPr>
                  <w:rFonts w:ascii="Times New Roman" w:cs="Times New Roman" w:hAnsiTheme="minorEastAsia" w:eastAsiaTheme="minorEastAsia"/>
                  <w:color w:val="000000"/>
                  <w:szCs w:val="21"/>
                </w:rPr>
                <w:t>财务报告的一般规定》（</w:t>
              </w:r>
              <w:r>
                <w:rPr>
                  <w:rFonts w:ascii="Times New Roman" w:hAnsi="Times New Roman" w:cs="Times New Roman" w:eastAsiaTheme="minorEastAsia"/>
                  <w:color w:val="000000"/>
                  <w:szCs w:val="21"/>
                </w:rPr>
                <w:t>2014</w:t>
              </w:r>
              <w:r>
                <w:rPr>
                  <w:rFonts w:ascii="Times New Roman" w:cs="Times New Roman" w:hAnsiTheme="minorEastAsia" w:eastAsiaTheme="minorEastAsia"/>
                  <w:color w:val="000000"/>
                  <w:szCs w:val="21"/>
                </w:rPr>
                <w:t>年修订）的规定，编制财务报表</w:t>
              </w:r>
            </w:p>
          </w:sdtContent>
        </w:sdt>
      </w:sdtContent>
    </w:sdt>
    <w:p>
      <w:pPr>
        <w:rPr>
          <w:szCs w:val="21"/>
        </w:rPr>
      </w:pPr>
    </w:p>
    <w:sdt>
      <w:sdtPr>
        <w:rPr>
          <w:rFonts w:hint="eastAsia" w:cs="宋体" w:asciiTheme="minorHAnsi" w:hAnsiTheme="minorHAnsi"/>
          <w:b w:val="0"/>
          <w:bCs w:val="0"/>
          <w:kern w:val="0"/>
          <w:szCs w:val="22"/>
        </w:rPr>
        <w:alias w:val="模块:持续经营"/>
        <w:tag w:val="_GBC_69ae6baeacb44e8fa17b0b984abbf6ab"/>
        <w:id w:val="865724042"/>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60"/>
            </w:numPr>
          </w:pPr>
          <w:r>
            <w:rPr>
              <w:rFonts w:hint="eastAsia"/>
            </w:rPr>
            <w:t>持续经营</w:t>
          </w:r>
        </w:p>
        <w:sdt>
          <w:sdtPr>
            <w:rPr>
              <w:rFonts w:hint="eastAsia"/>
              <w:szCs w:val="21"/>
            </w:rPr>
            <w:alias w:val="是否适用：持续经营[双击切换]"/>
            <w:tag w:val="_GBC_fa7177dc4f164e56b4df7bebc60acf50"/>
            <w:id w:val="86572404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865724041"/>
            <w:lock w:val="sdtLocked"/>
            <w:placeholder>
              <w:docPart w:val="GBC22222222222222222222222222222"/>
            </w:placeholder>
          </w:sdtPr>
          <w:sdtEndPr>
            <w:rPr>
              <w:szCs w:val="21"/>
            </w:rPr>
          </w:sdtEndPr>
          <w:sdtContent>
            <w:p>
              <w:pPr>
                <w:spacing w:line="400" w:lineRule="exact"/>
                <w:ind w:firstLine="420" w:firstLineChars="200"/>
                <w:rPr>
                  <w:szCs w:val="21"/>
                </w:rPr>
              </w:pPr>
              <w:r>
                <w:rPr>
                  <w:rFonts w:ascii="Times New Roman" w:cs="Times New Roman" w:hAnsiTheme="minorEastAsia" w:eastAsiaTheme="minorEastAsia"/>
                  <w:color w:val="000000"/>
                  <w:szCs w:val="21"/>
                </w:rPr>
                <w:t>本公司对报告期末起</w:t>
              </w:r>
              <w:r>
                <w:rPr>
                  <w:rFonts w:ascii="Times New Roman" w:hAnsi="Times New Roman" w:cs="Times New Roman" w:eastAsiaTheme="minorEastAsia"/>
                  <w:color w:val="000000"/>
                  <w:szCs w:val="21"/>
                </w:rPr>
                <w:t>12</w:t>
              </w:r>
              <w:r>
                <w:rPr>
                  <w:rFonts w:ascii="Times New Roman" w:cs="Times New Roman" w:hAnsiTheme="minorEastAsia" w:eastAsiaTheme="minorEastAsia"/>
                  <w:color w:val="000000"/>
                  <w:szCs w:val="21"/>
                </w:rPr>
                <w:t>个月的持续经营能力进行了评价，未发现对持续经营能力产生重大怀疑的事项或情况。因此，本财务报表系在持续经营假设的基础上编制。</w:t>
              </w:r>
            </w:p>
          </w:sdtContent>
        </w:sdt>
        <w:p>
          <w:pPr>
            <w:rPr>
              <w:szCs w:val="21"/>
            </w:rPr>
          </w:pPr>
        </w:p>
      </w:sdtContent>
    </w:sdt>
    <w:p>
      <w:pPr>
        <w:pStyle w:val="3"/>
        <w:numPr>
          <w:ilvl w:val="0"/>
          <w:numId w:val="54"/>
        </w:numPr>
        <w:rPr>
          <w:rFonts w:ascii="宋体" w:hAnsi="宋体"/>
        </w:rPr>
      </w:pPr>
      <w:r>
        <w:rPr>
          <w:rFonts w:hint="eastAsia" w:ascii="宋体" w:hAnsi="宋体"/>
        </w:rPr>
        <w:t>重</w:t>
      </w:r>
      <w:r>
        <w:rPr>
          <w:rFonts w:ascii="宋体" w:hAnsi="宋体"/>
        </w:rPr>
        <w:t>要会计政策</w:t>
      </w:r>
      <w:r>
        <w:rPr>
          <w:rFonts w:hint="eastAsia" w:ascii="宋体" w:hAnsi="宋体"/>
        </w:rPr>
        <w:t>及</w:t>
      </w:r>
      <w:r>
        <w:rPr>
          <w:rFonts w:ascii="宋体" w:hAnsi="宋体"/>
        </w:rPr>
        <w:t>会计估计</w:t>
      </w:r>
    </w:p>
    <w:sdt>
      <w:sdtPr>
        <w:alias w:val="模块:具体会计政策和会计估计提示"/>
        <w:tag w:val="_GBC_03d97fea34d045cb980749ccc6860a5a"/>
        <w:id w:val="865724045"/>
        <w:lock w:val="sdtLocked"/>
        <w:placeholder>
          <w:docPart w:val="GBC22222222222222222222222222222"/>
        </w:placeholder>
      </w:sdtPr>
      <w:sdtContent>
        <w:p>
          <w:r>
            <w:rPr>
              <w:rFonts w:hint="eastAsia"/>
            </w:rPr>
            <w:t>具体会计政策和会计估计提示：</w:t>
          </w:r>
        </w:p>
        <w:sdt>
          <w:sdtPr>
            <w:alias w:val="是否适用：具体会计政策和会计估计提示[双击切换]"/>
            <w:tag w:val="_GBC_86fd142a599649f8a3574e6ddaba5f71"/>
            <w:id w:val="86572404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865724044"/>
            <w:lock w:val="sdtLocked"/>
            <w:placeholder>
              <w:docPart w:val="GBC22222222222222222222222222222"/>
            </w:placeholder>
          </w:sdtPr>
          <w:sdtContent>
            <w:p>
              <w:pPr>
                <w:widowControl w:val="0"/>
                <w:tabs>
                  <w:tab w:val="left" w:pos="196"/>
                  <w:tab w:val="left" w:pos="426"/>
                </w:tabs>
                <w:spacing w:line="400" w:lineRule="exact"/>
                <w:ind w:firstLine="420" w:firstLineChars="200"/>
                <w:jc w:val="both"/>
                <w:rPr>
                  <w:rFonts w:ascii="Times New Roman" w:hAnsi="Times New Roman" w:cs="Times New Roman"/>
                  <w:sz w:val="24"/>
                </w:rPr>
              </w:pPr>
              <w:r>
                <w:rPr>
                  <w:rFonts w:ascii="Times New Roman" w:cs="Times New Roman" w:hAnsiTheme="minorEastAsia"/>
                  <w:szCs w:val="21"/>
                </w:rPr>
                <w:t>本公司根据生产经营特点确定具体会计政策和会计估计，主要体现在</w:t>
              </w:r>
              <w:r>
                <w:rPr>
                  <w:rFonts w:ascii="Times New Roman" w:hAnsi="Times New Roman" w:cs="Times New Roman"/>
                  <w:szCs w:val="21"/>
                </w:rPr>
                <w:t>“</w:t>
              </w:r>
              <w:r>
                <w:rPr>
                  <w:rFonts w:ascii="Times New Roman" w:cs="Times New Roman"/>
                  <w:szCs w:val="21"/>
                </w:rPr>
                <w:t>五、重要会计政策及会计估计</w:t>
              </w:r>
              <w:r>
                <w:rPr>
                  <w:rFonts w:ascii="Times New Roman" w:hAnsi="Times New Roman" w:cs="Times New Roman"/>
                  <w:szCs w:val="21"/>
                </w:rPr>
                <w:t>15.</w:t>
              </w:r>
              <w:r>
                <w:rPr>
                  <w:rFonts w:ascii="Times New Roman" w:cs="Times New Roman"/>
                  <w:szCs w:val="21"/>
                </w:rPr>
                <w:t>存货的计价方法，</w:t>
              </w:r>
              <w:r>
                <w:rPr>
                  <w:rFonts w:ascii="Times New Roman" w:hAnsi="Times New Roman" w:cs="Times New Roman"/>
                  <w:szCs w:val="21"/>
                </w:rPr>
                <w:t>23.</w:t>
              </w:r>
              <w:r>
                <w:rPr>
                  <w:rFonts w:ascii="Times New Roman" w:cs="Times New Roman"/>
                  <w:szCs w:val="21"/>
                </w:rPr>
                <w:t>固定资产折旧，</w:t>
              </w:r>
              <w:r>
                <w:rPr>
                  <w:rFonts w:ascii="Times New Roman" w:hAnsi="Times New Roman" w:cs="Times New Roman"/>
                  <w:szCs w:val="21"/>
                </w:rPr>
                <w:t>29.</w:t>
              </w:r>
              <w:r>
                <w:rPr>
                  <w:rFonts w:ascii="Times New Roman" w:cs="Times New Roman"/>
                  <w:szCs w:val="21"/>
                </w:rPr>
                <w:t>无形资产摊销，</w:t>
              </w:r>
              <w:r>
                <w:rPr>
                  <w:rFonts w:ascii="Times New Roman" w:hAnsi="Times New Roman" w:cs="Times New Roman"/>
                  <w:szCs w:val="21"/>
                </w:rPr>
                <w:t>38.</w:t>
              </w:r>
              <w:r>
                <w:rPr>
                  <w:rFonts w:ascii="Times New Roman" w:cs="Times New Roman"/>
                  <w:szCs w:val="21"/>
                </w:rPr>
                <w:t>收入的确认</w:t>
              </w:r>
              <w:r>
                <w:rPr>
                  <w:rFonts w:ascii="Times New Roman" w:hAnsi="Times New Roman" w:cs="Times New Roman"/>
                  <w:szCs w:val="21"/>
                </w:rPr>
                <w:t>”</w:t>
              </w:r>
              <w:r>
                <w:rPr>
                  <w:rFonts w:ascii="Times New Roman" w:cs="Times New Roman" w:hAnsiTheme="minorEastAsia"/>
                  <w:szCs w:val="21"/>
                </w:rPr>
                <w:t>。</w:t>
              </w:r>
            </w:p>
            <w:p/>
          </w:sdtContent>
        </w:sdt>
        <w:p/>
      </w:sdtContent>
    </w:sdt>
    <w:sdt>
      <w:sdtPr>
        <w:rPr>
          <w:rFonts w:cs="宋体" w:asciiTheme="minorHAnsi" w:hAnsiTheme="minorHAnsi"/>
          <w:b w:val="0"/>
          <w:bCs w:val="0"/>
          <w:kern w:val="0"/>
          <w:szCs w:val="22"/>
        </w:rPr>
        <w:alias w:val="模块:遵循企业会计准则的声明"/>
        <w:tag w:val="_GBC_a0afbb5b3a444bce84ee78a2a282cb28"/>
        <w:id w:val="865724047"/>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61"/>
            </w:numPr>
          </w:pPr>
          <w:r>
            <w:t>遵循企业会计准则的声明</w:t>
          </w:r>
        </w:p>
        <w:sdt>
          <w:sdtPr>
            <w:rPr>
              <w:rFonts w:hint="eastAsia"/>
              <w:szCs w:val="21"/>
            </w:rPr>
            <w:alias w:val="会计准则和会计制度"/>
            <w:tag w:val="_GBC_a350b889163a4ef3bb500c021e6a6b47"/>
            <w:id w:val="865724046"/>
            <w:lock w:val="sdtLocked"/>
            <w:placeholder>
              <w:docPart w:val="GBC22222222222222222222222222222"/>
            </w:placeholder>
          </w:sdtPr>
          <w:sdtEndPr>
            <w:rPr>
              <w:rFonts w:hint="eastAsia"/>
              <w:szCs w:val="21"/>
            </w:rPr>
          </w:sdtEndPr>
          <w:sdtContent>
            <w:p>
              <w:pPr>
                <w:spacing w:line="400" w:lineRule="exact"/>
                <w:ind w:firstLine="420" w:firstLineChars="200"/>
                <w:rPr>
                  <w:szCs w:val="21"/>
                </w:rPr>
              </w:pPr>
              <w:r>
                <w:rPr>
                  <w:szCs w:val="21"/>
                </w:rPr>
                <w:t>本公司所编制的财务报表符合企业会计准则的要求，真实、完整地反映了公司的财务状况、经营成果、股东权益变动和现金流量等有关信息。</w:t>
              </w:r>
            </w:p>
          </w:sdtContent>
        </w:sdt>
      </w:sdtContent>
    </w:sdt>
    <w:p>
      <w:pPr>
        <w:rPr>
          <w:szCs w:val="21"/>
        </w:rPr>
      </w:pPr>
    </w:p>
    <w:sdt>
      <w:sdtPr>
        <w:rPr>
          <w:rFonts w:ascii="宋体" w:hAnsi="宋体" w:cs="宋体"/>
          <w:b w:val="0"/>
          <w:bCs w:val="0"/>
          <w:kern w:val="0"/>
          <w:szCs w:val="24"/>
        </w:rPr>
        <w:alias w:val="模块:会计期间"/>
        <w:tag w:val="_GBC_2d7f332501c8461ea731797db5588ee5"/>
        <w:id w:val="865724049"/>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61"/>
            </w:numPr>
          </w:pPr>
          <w:r>
            <w:t>会计期间</w:t>
          </w:r>
        </w:p>
        <w:sdt>
          <w:sdtPr>
            <w:rPr>
              <w:rFonts w:hint="eastAsia"/>
              <w:szCs w:val="21"/>
            </w:rPr>
            <w:alias w:val="会计年度"/>
            <w:tag w:val="_GBC_fc896fba50b143f8a06984831f5d5600"/>
            <w:id w:val="865724048"/>
            <w:lock w:val="sdtLocked"/>
            <w:placeholder>
              <w:docPart w:val="GBC22222222222222222222222222222"/>
            </w:placeholder>
          </w:sdtPr>
          <w:sdtEndPr>
            <w:rPr>
              <w:rFonts w:hint="eastAsia"/>
              <w:szCs w:val="21"/>
            </w:rPr>
          </w:sdtEndPr>
          <w:sdtContent>
            <w:p>
              <w:pPr>
                <w:rPr>
                  <w:szCs w:val="21"/>
                </w:rPr>
              </w:pPr>
              <w:r>
                <w:rPr>
                  <w:rFonts w:ascii="Times New Roman" w:cs="Times New Roman"/>
                  <w:szCs w:val="21"/>
                </w:rPr>
                <w:t>本公司会计年度自公历</w:t>
              </w:r>
              <w:r>
                <w:rPr>
                  <w:rFonts w:ascii="Times New Roman" w:hAnsi="Times New Roman" w:cs="Times New Roman"/>
                  <w:szCs w:val="21"/>
                </w:rPr>
                <w:t>1</w:t>
              </w:r>
              <w:r>
                <w:rPr>
                  <w:rFonts w:ascii="Times New Roman" w:cs="Times New Roman"/>
                  <w:szCs w:val="21"/>
                </w:rPr>
                <w:t>月</w:t>
              </w:r>
              <w:r>
                <w:rPr>
                  <w:rFonts w:ascii="Times New Roman" w:hAnsi="Times New Roman" w:cs="Times New Roman"/>
                  <w:szCs w:val="21"/>
                </w:rPr>
                <w:t>1</w:t>
              </w:r>
              <w:r>
                <w:rPr>
                  <w:rFonts w:ascii="Times New Roman" w:cs="Times New Roman"/>
                  <w:szCs w:val="21"/>
                </w:rPr>
                <w:t>日起至</w:t>
              </w:r>
              <w:r>
                <w:rPr>
                  <w:rFonts w:ascii="Times New Roman" w:hAnsi="Times New Roman" w:cs="Times New Roman"/>
                  <w:szCs w:val="21"/>
                </w:rPr>
                <w:t>12</w:t>
              </w:r>
              <w:r>
                <w:rPr>
                  <w:rFonts w:ascii="Times New Roman" w:cs="Times New Roman"/>
                  <w:szCs w:val="21"/>
                </w:rPr>
                <w:t>月</w:t>
              </w:r>
              <w:r>
                <w:rPr>
                  <w:rFonts w:ascii="Times New Roman" w:hAnsi="Times New Roman" w:cs="Times New Roman"/>
                  <w:szCs w:val="21"/>
                </w:rPr>
                <w:t>31</w:t>
              </w:r>
              <w:r>
                <w:rPr>
                  <w:rFonts w:ascii="Times New Roman" w:cs="Times New Roman"/>
                  <w:szCs w:val="21"/>
                </w:rPr>
                <w:t>日止。</w:t>
              </w:r>
            </w:p>
          </w:sdtContent>
        </w:sdt>
      </w:sdtContent>
    </w:sdt>
    <w:p>
      <w:pPr>
        <w:rPr>
          <w:szCs w:val="21"/>
        </w:rPr>
      </w:pPr>
    </w:p>
    <w:sdt>
      <w:sdtPr>
        <w:rPr>
          <w:rFonts w:hint="eastAsia" w:cs="宋体" w:asciiTheme="minorHAnsi" w:hAnsiTheme="minorHAnsi"/>
          <w:b w:val="0"/>
          <w:bCs w:val="0"/>
          <w:kern w:val="0"/>
          <w:szCs w:val="22"/>
        </w:rPr>
        <w:alias w:val="模块:营业周期"/>
        <w:tag w:val="_GBC_b045784ca7904d52a060134ffec0d88c"/>
        <w:id w:val="865724052"/>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61"/>
            </w:numPr>
          </w:pPr>
          <w:r>
            <w:rPr>
              <w:rFonts w:hint="eastAsia"/>
            </w:rPr>
            <w:t>营业周期</w:t>
          </w:r>
        </w:p>
        <w:sdt>
          <w:sdtPr>
            <w:rPr>
              <w:rFonts w:hint="eastAsia"/>
              <w:szCs w:val="21"/>
            </w:rPr>
            <w:alias w:val="是否适用：营业周期[双击切换]"/>
            <w:tag w:val="_GBC_41bd09d0a4bd429996597e58a613259e"/>
            <w:id w:val="86572405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865724051"/>
            <w:lock w:val="sdtLocked"/>
            <w:placeholder>
              <w:docPart w:val="GBC22222222222222222222222222222"/>
            </w:placeholder>
          </w:sdtPr>
          <w:sdtEndPr>
            <w:rPr>
              <w:szCs w:val="21"/>
            </w:rPr>
          </w:sdtEndPr>
          <w:sdtContent>
            <w:p>
              <w:pPr>
                <w:pStyle w:val="109"/>
                <w:widowControl w:val="0"/>
                <w:spacing w:line="480" w:lineRule="exact"/>
                <w:ind w:left="0" w:leftChars="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本公司的营业周期较短，以</w:t>
              </w:r>
              <w:r>
                <w:rPr>
                  <w:rFonts w:ascii="Times New Roman" w:hAnsi="Times New Roman" w:cs="Times New Roman" w:eastAsiaTheme="minorEastAsia"/>
                  <w:color w:val="000000"/>
                  <w:szCs w:val="21"/>
                </w:rPr>
                <w:t>12</w:t>
              </w:r>
              <w:r>
                <w:rPr>
                  <w:rFonts w:ascii="Times New Roman" w:cs="Times New Roman" w:hAnsiTheme="minorEastAsia" w:eastAsiaTheme="minorEastAsia"/>
                  <w:color w:val="000000"/>
                  <w:szCs w:val="21"/>
                </w:rPr>
                <w:t>个月作</w:t>
              </w:r>
              <w:r>
                <w:rPr>
                  <w:rFonts w:hint="eastAsia" w:asciiTheme="minorEastAsia" w:hAnsiTheme="minorEastAsia" w:eastAsiaTheme="minorEastAsia"/>
                  <w:color w:val="000000"/>
                  <w:szCs w:val="21"/>
                </w:rPr>
                <w:t>为资产和负债的流动性划分标准。</w:t>
              </w:r>
            </w:p>
            <w:p>
              <w:pPr>
                <w:rPr>
                  <w:rFonts w:cs="Times New Roman"/>
                  <w:kern w:val="2"/>
                  <w:szCs w:val="21"/>
                </w:rPr>
              </w:pPr>
            </w:p>
          </w:sdtContent>
        </w:sdt>
      </w:sdtContent>
    </w:sdt>
    <w:p>
      <w:pPr>
        <w:rPr>
          <w:szCs w:val="21"/>
        </w:rPr>
      </w:pPr>
    </w:p>
    <w:sdt>
      <w:sdtPr>
        <w:rPr>
          <w:rFonts w:cs="宋体" w:asciiTheme="minorHAnsi" w:hAnsiTheme="minorHAnsi"/>
          <w:b w:val="0"/>
          <w:bCs w:val="0"/>
          <w:kern w:val="0"/>
          <w:szCs w:val="22"/>
        </w:rPr>
        <w:alias w:val="模块:记账本位币"/>
        <w:tag w:val="_GBC_13b1061968754e20bebf2099281ed54f"/>
        <w:id w:val="865724054"/>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61"/>
            </w:numPr>
          </w:pPr>
          <w:r>
            <w:t>记账本位币</w:t>
          </w:r>
        </w:p>
        <w:sdt>
          <w:sdtPr>
            <w:rPr>
              <w:rFonts w:hint="eastAsia"/>
              <w:szCs w:val="21"/>
            </w:rPr>
            <w:alias w:val="记账本位币"/>
            <w:tag w:val="_GBC_3749a2357eba44e8b968cb41cda75ff1"/>
            <w:id w:val="865724053"/>
            <w:lock w:val="sdtLocked"/>
            <w:placeholder>
              <w:docPart w:val="GBC22222222222222222222222222222"/>
            </w:placeholder>
          </w:sdtPr>
          <w:sdtEndPr>
            <w:rPr>
              <w:rFonts w:hint="eastAsia"/>
              <w:szCs w:val="21"/>
            </w:rPr>
          </w:sdtEndPr>
          <w:sdtContent>
            <w:p>
              <w:pPr>
                <w:rPr>
                  <w:szCs w:val="21"/>
                </w:rPr>
              </w:pPr>
              <w:r>
                <w:rPr>
                  <w:szCs w:val="21"/>
                </w:rPr>
                <w:t>本公司的记账本位币为人民币。</w:t>
              </w:r>
            </w:p>
          </w:sdtContent>
        </w:sdt>
        <w:p>
          <w:pPr>
            <w:rPr>
              <w:szCs w:val="21"/>
            </w:rPr>
          </w:pPr>
        </w:p>
      </w:sdtContent>
    </w:sdt>
    <w:sdt>
      <w:sdtPr>
        <w:rPr>
          <w:rFonts w:cs="宋体" w:asciiTheme="minorHAnsi" w:hAnsiTheme="minorHAnsi"/>
          <w:b w:val="0"/>
          <w:bCs w:val="0"/>
          <w:kern w:val="0"/>
          <w:szCs w:val="22"/>
        </w:rPr>
        <w:alias w:val="模块:同一控制下和非同一控制下企业合并的会计处理方法"/>
        <w:tag w:val="_GBC_f44e1e76b2a3457ea36bc088adcbb4c3"/>
        <w:id w:val="865724057"/>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61"/>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86572405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865724056"/>
            <w:lock w:val="sdtLocked"/>
            <w:placeholder>
              <w:docPart w:val="GBC22222222222222222222222222222"/>
            </w:placeholder>
          </w:sdtPr>
          <w:sdtEndPr>
            <w:rPr>
              <w:rFonts w:hint="eastAsia"/>
              <w:szCs w:val="21"/>
            </w:rPr>
          </w:sdtEndPr>
          <w:sdtContent>
            <w:p>
              <w:pPr>
                <w:pStyle w:val="109"/>
                <w:widowControl w:val="0"/>
                <w:tabs>
                  <w:tab w:val="left" w:pos="426"/>
                </w:tabs>
                <w:spacing w:line="400" w:lineRule="exact"/>
                <w:ind w:left="0" w:leftChars="0" w:firstLine="420" w:firstLineChars="200"/>
                <w:rPr>
                  <w:rFonts w:asciiTheme="minorEastAsia" w:hAnsiTheme="minorEastAsia" w:eastAsiaTheme="minorEastAsia"/>
                  <w:b/>
                  <w:color w:val="000000"/>
                  <w:szCs w:val="21"/>
                </w:rPr>
              </w:pPr>
              <w:r>
                <w:rPr>
                  <w:rFonts w:hint="eastAsia"/>
                  <w:szCs w:val="21"/>
                </w:rPr>
                <w:t xml:space="preserve">    </w:t>
              </w:r>
              <w:r>
                <w:rPr>
                  <w:rFonts w:hint="eastAsia" w:asciiTheme="minorEastAsia" w:hAnsiTheme="minorEastAsia" w:eastAsiaTheme="minorEastAsia"/>
                  <w:b/>
                  <w:color w:val="000000"/>
                  <w:szCs w:val="21"/>
                </w:rPr>
                <w:t>1.分步实现企业合并过程中的各项交易的条款、条件以及经济影响符合以下一种或多种情况，将多次交易事项作为一揽子交易进行会计处理</w:t>
              </w:r>
            </w:p>
            <w:p>
              <w:pPr>
                <w:pStyle w:val="109"/>
                <w:widowControl w:val="0"/>
                <w:tabs>
                  <w:tab w:val="left" w:pos="709"/>
                </w:tabs>
                <w:spacing w:line="400" w:lineRule="exact"/>
                <w:ind w:left="0" w:leftChars="0" w:firstLine="420" w:firstLineChars="200"/>
                <w:rPr>
                  <w:rFonts w:ascii="Times New Roman" w:hAnsi="Times New Roman" w:cs="Times New Roman" w:eastAsiaTheme="minorEastAsia"/>
                  <w:color w:val="000000"/>
                  <w:szCs w:val="21"/>
                </w:rPr>
              </w:pPr>
              <w:r>
                <w:rPr>
                  <w:rFonts w:ascii="Times New Roman" w:cs="Times New Roman" w:hAnsiTheme="minorEastAsia" w:eastAsiaTheme="minorEastAsia"/>
                  <w:color w:val="000000"/>
                  <w:szCs w:val="21"/>
                </w:rPr>
                <w:t>（</w:t>
              </w:r>
              <w:r>
                <w:rPr>
                  <w:rFonts w:ascii="Times New Roman" w:hAnsi="Times New Roman" w:cs="Times New Roman" w:eastAsiaTheme="minorEastAsia"/>
                  <w:color w:val="000000"/>
                  <w:szCs w:val="21"/>
                </w:rPr>
                <w:t>1</w:t>
              </w:r>
              <w:r>
                <w:rPr>
                  <w:rFonts w:ascii="Times New Roman" w:cs="Times New Roman" w:hAnsiTheme="minorEastAsia" w:eastAsiaTheme="minorEastAsia"/>
                  <w:color w:val="000000"/>
                  <w:szCs w:val="21"/>
                </w:rPr>
                <w:t>）这些交易是同时或者在考虑了彼此影响的情况下订立的；</w:t>
              </w:r>
            </w:p>
            <w:p>
              <w:pPr>
                <w:pStyle w:val="109"/>
                <w:widowControl w:val="0"/>
                <w:spacing w:line="400" w:lineRule="exact"/>
                <w:ind w:left="0" w:leftChars="0" w:firstLine="420" w:firstLineChars="200"/>
                <w:rPr>
                  <w:rFonts w:ascii="Times New Roman" w:hAnsi="Times New Roman" w:cs="Times New Roman" w:eastAsiaTheme="minorEastAsia"/>
                  <w:color w:val="000000"/>
                  <w:szCs w:val="21"/>
                </w:rPr>
              </w:pPr>
              <w:r>
                <w:rPr>
                  <w:rFonts w:ascii="Times New Roman" w:cs="Times New Roman" w:hAnsiTheme="minorEastAsia" w:eastAsiaTheme="minorEastAsia"/>
                  <w:color w:val="000000"/>
                  <w:szCs w:val="21"/>
                </w:rPr>
                <w:t>（</w:t>
              </w:r>
              <w:r>
                <w:rPr>
                  <w:rFonts w:ascii="Times New Roman" w:hAnsi="Times New Roman" w:cs="Times New Roman" w:eastAsiaTheme="minorEastAsia"/>
                  <w:color w:val="000000"/>
                  <w:szCs w:val="21"/>
                </w:rPr>
                <w:t xml:space="preserve">2 </w:t>
              </w:r>
              <w:r>
                <w:rPr>
                  <w:rFonts w:ascii="Times New Roman" w:cs="Times New Roman" w:hAnsiTheme="minorEastAsia" w:eastAsiaTheme="minorEastAsia"/>
                  <w:color w:val="000000"/>
                  <w:szCs w:val="21"/>
                </w:rPr>
                <w:t>这些交易整体才能达成一项完整的商业结果；</w:t>
              </w:r>
            </w:p>
            <w:p>
              <w:pPr>
                <w:pStyle w:val="109"/>
                <w:widowControl w:val="0"/>
                <w:spacing w:line="400" w:lineRule="exact"/>
                <w:ind w:left="0" w:leftChars="0" w:firstLine="420" w:firstLineChars="200"/>
                <w:rPr>
                  <w:rFonts w:ascii="Times New Roman" w:hAnsi="Times New Roman" w:cs="Times New Roman" w:eastAsiaTheme="minorEastAsia"/>
                  <w:color w:val="000000"/>
                  <w:szCs w:val="21"/>
                </w:rPr>
              </w:pPr>
              <w:r>
                <w:rPr>
                  <w:rFonts w:ascii="Times New Roman" w:cs="Times New Roman" w:hAnsiTheme="minorEastAsia" w:eastAsiaTheme="minorEastAsia"/>
                  <w:color w:val="000000"/>
                  <w:szCs w:val="21"/>
                </w:rPr>
                <w:t>（</w:t>
              </w:r>
              <w:r>
                <w:rPr>
                  <w:rFonts w:ascii="Times New Roman" w:hAnsi="Times New Roman" w:cs="Times New Roman" w:eastAsiaTheme="minorEastAsia"/>
                  <w:color w:val="000000"/>
                  <w:szCs w:val="21"/>
                </w:rPr>
                <w:t>3</w:t>
              </w:r>
              <w:r>
                <w:rPr>
                  <w:rFonts w:ascii="Times New Roman" w:cs="Times New Roman" w:hAnsiTheme="minorEastAsia" w:eastAsiaTheme="minorEastAsia"/>
                  <w:color w:val="000000"/>
                  <w:szCs w:val="21"/>
                </w:rPr>
                <w:t>）一项交易的发生取决于其他至少一项交易的发生；</w:t>
              </w:r>
            </w:p>
            <w:p>
              <w:pPr>
                <w:pStyle w:val="109"/>
                <w:widowControl w:val="0"/>
                <w:spacing w:line="400" w:lineRule="exact"/>
                <w:ind w:left="0" w:leftChars="0" w:firstLine="420" w:firstLineChars="200"/>
                <w:rPr>
                  <w:rFonts w:asciiTheme="minorEastAsia" w:hAnsiTheme="minorEastAsia" w:eastAsiaTheme="minorEastAsia"/>
                  <w:color w:val="000000"/>
                  <w:szCs w:val="21"/>
                </w:rPr>
              </w:pPr>
              <w:r>
                <w:rPr>
                  <w:rFonts w:ascii="Times New Roman" w:cs="Times New Roman" w:hAnsiTheme="minorEastAsia" w:eastAsiaTheme="minorEastAsia"/>
                  <w:color w:val="000000"/>
                  <w:szCs w:val="21"/>
                </w:rPr>
                <w:t>（</w:t>
              </w:r>
              <w:r>
                <w:rPr>
                  <w:rFonts w:ascii="Times New Roman" w:hAnsi="Times New Roman" w:cs="Times New Roman" w:eastAsiaTheme="minorEastAsia"/>
                  <w:color w:val="000000"/>
                  <w:szCs w:val="21"/>
                </w:rPr>
                <w:t>4</w:t>
              </w:r>
              <w:r>
                <w:rPr>
                  <w:rFonts w:ascii="Times New Roman" w:cs="Times New Roman" w:hAnsiTheme="minorEastAsia" w:eastAsiaTheme="minorEastAsia"/>
                  <w:color w:val="000000"/>
                  <w:szCs w:val="21"/>
                </w:rPr>
                <w:t>）</w:t>
              </w:r>
              <w:r>
                <w:rPr>
                  <w:rFonts w:hint="eastAsia" w:asciiTheme="minorEastAsia" w:hAnsiTheme="minorEastAsia" w:eastAsiaTheme="minorEastAsia"/>
                  <w:color w:val="000000"/>
                  <w:szCs w:val="21"/>
                </w:rPr>
                <w:t>一项交易单独看是不经济的，但是和其他交易一并考虑时是经济的。</w:t>
              </w:r>
            </w:p>
            <w:p>
              <w:pPr>
                <w:pStyle w:val="109"/>
                <w:widowControl w:val="0"/>
                <w:spacing w:line="400" w:lineRule="exact"/>
                <w:ind w:left="0" w:leftChars="0" w:firstLine="422" w:firstLineChars="200"/>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2.同一控制下的企业合并</w:t>
              </w:r>
            </w:p>
            <w:p>
              <w:pPr>
                <w:pStyle w:val="109"/>
                <w:widowControl w:val="0"/>
                <w:spacing w:line="400" w:lineRule="exact"/>
                <w:ind w:left="0" w:leftChars="0"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t>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pPr>
                <w:pStyle w:val="109"/>
                <w:widowControl w:val="0"/>
                <w:spacing w:line="400" w:lineRule="exact"/>
                <w:ind w:left="0" w:leftChars="0"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t>如果存在或有对价并需要确认预计负债或资产，该预计负债或资产金额与后续或有对价结算金额的差额，调整资本公积（资本溢价或股本溢价），资本公积不足的，调整留存收益。</w:t>
              </w:r>
            </w:p>
            <w:p>
              <w:pPr>
                <w:pStyle w:val="109"/>
                <w:widowControl w:val="0"/>
                <w:spacing w:line="400" w:lineRule="exact"/>
                <w:ind w:left="0" w:leftChars="0"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t>对于通过多次交易最终实现企业合并的，属于一揽子交易的，将各项交易作为一项取得控制权的交易进行会计处理；不属于一揽子交易的，在取得控制权日，长期股权投资初始投资成本，与达到合并前的长期股权投资账面价值加上合并日进一步取得股份新支付对价的账面价值之和的差额，调整资本公积；资本公积不足冲减的，调整留存收益。对于合并日之前持有的股权投资，因采用权益法核算或金融工具确认和计量准则核算而确认的其他综合收益，暂不进行会计处理，直至处置该项投资时采用与被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w:t>
              </w:r>
            </w:p>
            <w:p>
              <w:pPr>
                <w:pStyle w:val="109"/>
                <w:widowControl w:val="0"/>
                <w:spacing w:line="400" w:lineRule="exact"/>
                <w:ind w:left="0" w:leftChars="0" w:firstLine="422" w:firstLineChars="200"/>
                <w:rPr>
                  <w:rFonts w:asciiTheme="minorEastAsia" w:hAnsiTheme="minorEastAsia" w:eastAsiaTheme="minorEastAsia"/>
                  <w:b/>
                  <w:color w:val="000000"/>
                  <w:szCs w:val="21"/>
                </w:rPr>
              </w:pPr>
              <w:r>
                <w:rPr>
                  <w:rFonts w:asciiTheme="minorEastAsia" w:hAnsiTheme="minorEastAsia" w:eastAsiaTheme="minorEastAsia"/>
                  <w:b/>
                  <w:color w:val="000000"/>
                  <w:szCs w:val="21"/>
                </w:rPr>
                <w:t>3.</w:t>
              </w:r>
              <w:r>
                <w:rPr>
                  <w:rFonts w:hint="eastAsia" w:asciiTheme="minorEastAsia" w:hAnsiTheme="minorEastAsia" w:eastAsiaTheme="minorEastAsia"/>
                  <w:b/>
                  <w:color w:val="000000"/>
                  <w:szCs w:val="21"/>
                </w:rPr>
                <w:t>非同一控制下的企业合并</w:t>
              </w:r>
            </w:p>
            <w:p>
              <w:pPr>
                <w:pStyle w:val="20"/>
                <w:tabs>
                  <w:tab w:val="left" w:pos="196"/>
                  <w:tab w:val="left" w:pos="426"/>
                </w:tabs>
                <w:adjustRightInd w:val="0"/>
                <w:snapToGrid w:val="0"/>
                <w:spacing w:line="400" w:lineRule="exact"/>
                <w:ind w:firstLine="420" w:firstLineChars="200"/>
                <w:rPr>
                  <w:rFonts w:asciiTheme="minorEastAsia" w:hAnsiTheme="minorEastAsia" w:eastAsiaTheme="minorEastAsia"/>
                  <w:kern w:val="0"/>
                  <w:szCs w:val="21"/>
                </w:rPr>
              </w:pPr>
              <w:r>
                <w:rPr>
                  <w:rFonts w:asciiTheme="minorEastAsia" w:hAnsiTheme="minorEastAsia" w:eastAsiaTheme="minorEastAsia"/>
                  <w:kern w:val="0"/>
                  <w:szCs w:val="21"/>
                </w:rPr>
                <w:t>购买日是指本公司实际取得对被购买方控制权的日期，即被购买方的净资产或生产经营决策的控制权转移给本公司的日期。同时满足下列条件时，本公司一般认为实现了控制权的转移：</w:t>
              </w:r>
            </w:p>
            <w:p>
              <w:pPr>
                <w:pStyle w:val="20"/>
                <w:tabs>
                  <w:tab w:val="left" w:pos="196"/>
                  <w:tab w:val="left" w:pos="426"/>
                </w:tabs>
                <w:adjustRightInd w:val="0"/>
                <w:snapToGrid w:val="0"/>
                <w:spacing w:line="400" w:lineRule="exact"/>
                <w:ind w:firstLine="420" w:firstLineChars="200"/>
                <w:rPr>
                  <w:rFonts w:asciiTheme="minorEastAsia" w:hAnsiTheme="minorEastAsia" w:eastAsiaTheme="minorEastAsia"/>
                  <w:kern w:val="0"/>
                  <w:szCs w:val="21"/>
                </w:rPr>
              </w:pPr>
              <w:r>
                <w:rPr>
                  <w:rFonts w:asciiTheme="minorEastAsia" w:hAnsiTheme="minorEastAsia" w:eastAsiaTheme="minorEastAsia"/>
                  <w:kern w:val="0"/>
                  <w:szCs w:val="21"/>
                </w:rPr>
                <w:t>①企业合并合同或协议已获本公司内部权力机构通过。</w:t>
              </w:r>
            </w:p>
            <w:p>
              <w:pPr>
                <w:pStyle w:val="20"/>
                <w:tabs>
                  <w:tab w:val="left" w:pos="196"/>
                  <w:tab w:val="left" w:pos="426"/>
                </w:tabs>
                <w:adjustRightInd w:val="0"/>
                <w:snapToGrid w:val="0"/>
                <w:spacing w:line="400" w:lineRule="exact"/>
                <w:ind w:firstLine="420" w:firstLineChars="200"/>
                <w:rPr>
                  <w:rFonts w:asciiTheme="minorEastAsia" w:hAnsiTheme="minorEastAsia" w:eastAsiaTheme="minorEastAsia"/>
                  <w:kern w:val="0"/>
                  <w:szCs w:val="21"/>
                </w:rPr>
              </w:pPr>
              <w:r>
                <w:rPr>
                  <w:rFonts w:asciiTheme="minorEastAsia" w:hAnsiTheme="minorEastAsia" w:eastAsiaTheme="minorEastAsia"/>
                  <w:kern w:val="0"/>
                  <w:szCs w:val="21"/>
                </w:rPr>
                <w:t>②企业合并事项需要经过国家有关主管部门审批的，已获得批准。</w:t>
              </w:r>
            </w:p>
            <w:p>
              <w:pPr>
                <w:pStyle w:val="20"/>
                <w:tabs>
                  <w:tab w:val="left" w:pos="196"/>
                  <w:tab w:val="left" w:pos="426"/>
                </w:tabs>
                <w:adjustRightInd w:val="0"/>
                <w:snapToGrid w:val="0"/>
                <w:spacing w:line="400" w:lineRule="exact"/>
                <w:ind w:firstLine="420" w:firstLineChars="200"/>
                <w:rPr>
                  <w:rFonts w:asciiTheme="minorEastAsia" w:hAnsiTheme="minorEastAsia" w:eastAsiaTheme="minorEastAsia"/>
                  <w:kern w:val="0"/>
                  <w:szCs w:val="21"/>
                </w:rPr>
              </w:pPr>
              <w:r>
                <w:rPr>
                  <w:rFonts w:asciiTheme="minorEastAsia" w:hAnsiTheme="minorEastAsia" w:eastAsiaTheme="minorEastAsia"/>
                  <w:kern w:val="0"/>
                  <w:szCs w:val="21"/>
                </w:rPr>
                <w:t>③已办理了必要的财产权转移手续。</w:t>
              </w:r>
            </w:p>
            <w:p>
              <w:pPr>
                <w:pStyle w:val="20"/>
                <w:tabs>
                  <w:tab w:val="left" w:pos="196"/>
                  <w:tab w:val="left" w:pos="426"/>
                </w:tabs>
                <w:adjustRightInd w:val="0"/>
                <w:snapToGrid w:val="0"/>
                <w:spacing w:line="400" w:lineRule="exact"/>
                <w:ind w:firstLine="420" w:firstLineChars="200"/>
                <w:rPr>
                  <w:rFonts w:asciiTheme="minorEastAsia" w:hAnsiTheme="minorEastAsia" w:eastAsiaTheme="minorEastAsia"/>
                  <w:kern w:val="0"/>
                  <w:szCs w:val="21"/>
                </w:rPr>
              </w:pPr>
              <w:r>
                <w:rPr>
                  <w:rFonts w:asciiTheme="minorEastAsia" w:hAnsiTheme="minorEastAsia" w:eastAsiaTheme="minorEastAsia"/>
                  <w:kern w:val="0"/>
                  <w:szCs w:val="21"/>
                </w:rPr>
                <w:t>④本公司已支付了合并价款的大部分，并且有能力、有计划支付剩余款项。</w:t>
              </w:r>
            </w:p>
            <w:p>
              <w:pPr>
                <w:pStyle w:val="20"/>
                <w:tabs>
                  <w:tab w:val="left" w:pos="196"/>
                  <w:tab w:val="left" w:pos="426"/>
                </w:tabs>
                <w:adjustRightInd w:val="0"/>
                <w:snapToGrid w:val="0"/>
                <w:spacing w:line="400" w:lineRule="exact"/>
                <w:ind w:firstLine="420" w:firstLineChars="200"/>
                <w:rPr>
                  <w:rFonts w:asciiTheme="minorEastAsia" w:hAnsiTheme="minorEastAsia" w:eastAsiaTheme="minorEastAsia"/>
                  <w:kern w:val="0"/>
                  <w:szCs w:val="21"/>
                </w:rPr>
              </w:pPr>
              <w:r>
                <w:rPr>
                  <w:rFonts w:asciiTheme="minorEastAsia" w:hAnsiTheme="minorEastAsia" w:eastAsiaTheme="minorEastAsia"/>
                  <w:kern w:val="0"/>
                  <w:szCs w:val="21"/>
                </w:rPr>
                <w:t>⑤本公司实际上已经控制了被购买方的财务和经营政策，并享有相应的利益、承担相应的风险。</w:t>
              </w:r>
            </w:p>
            <w:p>
              <w:pPr>
                <w:pStyle w:val="20"/>
                <w:tabs>
                  <w:tab w:val="left" w:pos="196"/>
                  <w:tab w:val="left" w:pos="426"/>
                </w:tabs>
                <w:adjustRightInd w:val="0"/>
                <w:snapToGrid w:val="0"/>
                <w:spacing w:line="400" w:lineRule="exact"/>
                <w:ind w:firstLine="420" w:firstLineChars="200"/>
                <w:rPr>
                  <w:rFonts w:asciiTheme="minorEastAsia" w:hAnsiTheme="minorEastAsia" w:eastAsiaTheme="minorEastAsia"/>
                  <w:szCs w:val="21"/>
                </w:rPr>
              </w:pPr>
              <w:r>
                <w:rPr>
                  <w:rFonts w:asciiTheme="minorEastAsia" w:hAnsiTheme="minorEastAsia" w:eastAsiaTheme="minorEastAsia"/>
                  <w:kern w:val="0"/>
                  <w:szCs w:val="21"/>
                </w:rPr>
                <w:t>本公司在购买日对作为企业合并对价付出的资产、发生或承担的负债按照公允价值计量，公允价值与其账面价值的差额，计入当期损益。</w:t>
              </w:r>
            </w:p>
            <w:p>
              <w:pPr>
                <w:pStyle w:val="20"/>
                <w:tabs>
                  <w:tab w:val="left" w:pos="196"/>
                  <w:tab w:val="left" w:pos="426"/>
                </w:tabs>
                <w:adjustRightInd w:val="0"/>
                <w:snapToGrid w:val="0"/>
                <w:spacing w:line="400" w:lineRule="exact"/>
                <w:ind w:firstLine="420" w:firstLineChars="200"/>
                <w:rPr>
                  <w:rFonts w:asciiTheme="minorEastAsia" w:hAnsiTheme="minorEastAsia" w:eastAsiaTheme="minorEastAsia"/>
                  <w:kern w:val="0"/>
                  <w:szCs w:val="21"/>
                </w:rPr>
              </w:pPr>
              <w:r>
                <w:rPr>
                  <w:rFonts w:asciiTheme="minorEastAsia" w:hAnsiTheme="minorEastAsia" w:eastAsiaTheme="minorEastAsia"/>
                  <w:kern w:val="0"/>
                  <w:szCs w:val="21"/>
                </w:rPr>
                <w:t>本公司对合并成本大于合并中取得的被购买方可辨认净资产公允价值份额的差额，确认为商誉；合并成本小于合并中取得的被购买方可辨认净资产公允价值份额的差额，经复核后，计入当期损益。</w:t>
              </w:r>
            </w:p>
            <w:p>
              <w:pPr>
                <w:pStyle w:val="20"/>
                <w:tabs>
                  <w:tab w:val="left" w:pos="196"/>
                  <w:tab w:val="left" w:pos="426"/>
                </w:tabs>
                <w:adjustRightInd w:val="0"/>
                <w:snapToGrid w:val="0"/>
                <w:spacing w:line="400" w:lineRule="exact"/>
                <w:ind w:firstLine="420" w:firstLineChars="200"/>
                <w:rPr>
                  <w:rFonts w:asciiTheme="minorEastAsia" w:hAnsiTheme="minorEastAsia" w:eastAsiaTheme="minorEastAsia"/>
                  <w:kern w:val="0"/>
                  <w:szCs w:val="21"/>
                </w:rPr>
              </w:pPr>
              <w:r>
                <w:rPr>
                  <w:rFonts w:asciiTheme="minorEastAsia" w:hAnsiTheme="minorEastAsia" w:eastAsiaTheme="minorEastAsia"/>
                  <w:kern w:val="0"/>
                  <w:szCs w:val="21"/>
                </w:rPr>
                <w:t>通过多次交换交易分步实现的非同一控制下企业合并，属于一揽子交易的，将各项交易作为一项取得控制权的交易进行会计处理；不属于一揽子交易的，合并日之前持有的股权投资采用权益法核算的，以购买日之前所持被购买方的股权投资的账面价值与购买日新增投资成本之和，作为该项投资的初始投资成本；购买日之前持有的股权投资因采用权益法核算而确认的其他综合收益，在处置该项投资时采用与被投资单位直接处置相关资产或负债相同的基础进行会计处理。合并日之前持有的股权投资采用金融工具确认和计量准则核算的，以该股权投资在合并日的公允价值加上新增投资成本之和，作为合并日的初始投资成本。原持有股权的公允价值与账面价值之间的差额以及原计入其他综合收益的累计公允价值变动应全部转入合并日当期的投资收益。</w:t>
              </w:r>
            </w:p>
            <w:p>
              <w:pPr>
                <w:pStyle w:val="109"/>
                <w:widowControl w:val="0"/>
                <w:spacing w:line="400" w:lineRule="exact"/>
                <w:ind w:left="0" w:leftChars="0" w:firstLine="422" w:firstLineChars="200"/>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4.为合并发生的相关费用</w:t>
              </w:r>
            </w:p>
            <w:p>
              <w:pPr>
                <w:pStyle w:val="20"/>
                <w:tabs>
                  <w:tab w:val="left" w:pos="196"/>
                  <w:tab w:val="left" w:pos="426"/>
                </w:tabs>
                <w:adjustRightInd w:val="0"/>
                <w:snapToGrid w:val="0"/>
                <w:spacing w:line="400" w:lineRule="exact"/>
                <w:ind w:firstLine="420" w:firstLineChars="200"/>
                <w:rPr>
                  <w:rFonts w:asciiTheme="minorEastAsia" w:hAnsiTheme="minorEastAsia" w:eastAsiaTheme="minorEastAsia"/>
                  <w:kern w:val="0"/>
                  <w:szCs w:val="21"/>
                </w:rPr>
              </w:pPr>
              <w:r>
                <w:rPr>
                  <w:rFonts w:asciiTheme="minorEastAsia" w:hAnsiTheme="minorEastAsia" w:eastAsiaTheme="minorEastAsia"/>
                  <w:bCs/>
                  <w:iCs/>
                  <w:szCs w:val="21"/>
                </w:rPr>
                <w:t>为企业合并发生的审计、法律服务、评估咨询等中介费用以及其他直接相关费用，</w:t>
              </w:r>
              <w:r>
                <w:rPr>
                  <w:rFonts w:asciiTheme="minorEastAsia" w:hAnsiTheme="minorEastAsia" w:eastAsiaTheme="minorEastAsia"/>
                  <w:kern w:val="0"/>
                  <w:szCs w:val="21"/>
                </w:rPr>
                <w:t>于发生时计入当期损益；为企业合并而发行权益性证券的交易费用，</w:t>
              </w:r>
              <w:r>
                <w:rPr>
                  <w:rFonts w:asciiTheme="minorEastAsia" w:hAnsiTheme="minorEastAsia" w:eastAsiaTheme="minorEastAsia"/>
                  <w:szCs w:val="21"/>
                </w:rPr>
                <w:t>可直接归属于权益性交易的从权益中扣减。</w:t>
              </w:r>
            </w:p>
            <w:p>
              <w:pPr>
                <w:rPr>
                  <w:rFonts w:cs="Times New Roman"/>
                  <w:kern w:val="2"/>
                  <w:szCs w:val="21"/>
                </w:rPr>
              </w:pPr>
            </w:p>
          </w:sdtContent>
        </w:sdt>
      </w:sdtContent>
    </w:sdt>
    <w:p>
      <w:pPr>
        <w:rPr>
          <w:szCs w:val="21"/>
        </w:rPr>
      </w:pPr>
    </w:p>
    <w:sdt>
      <w:sdtPr>
        <w:rPr>
          <w:rFonts w:ascii="宋体" w:hAnsi="宋体" w:cs="宋体"/>
          <w:b w:val="0"/>
          <w:bCs w:val="0"/>
          <w:kern w:val="0"/>
          <w:szCs w:val="24"/>
        </w:rPr>
        <w:alias w:val="模块:合并财务报表的编制方法"/>
        <w:tag w:val="_GBC_c23be25e527044f689b710dabd312b04"/>
        <w:id w:val="865724060"/>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61"/>
            </w:numPr>
          </w:pPr>
          <w:r>
            <w:t>合并财务报表的编制方法</w:t>
          </w:r>
        </w:p>
        <w:sdt>
          <w:sdtPr>
            <w:rPr>
              <w:rFonts w:hint="eastAsia"/>
              <w:szCs w:val="21"/>
            </w:rPr>
            <w:alias w:val="是否适用：合并财务报表的编制方法[双击切换]"/>
            <w:tag w:val="_GBC_d8312ea572e647a59b796bf708b54713"/>
            <w:id w:val="86572405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865724059"/>
            <w:lock w:val="sdtLocked"/>
            <w:placeholder>
              <w:docPart w:val="GBC22222222222222222222222222222"/>
            </w:placeholder>
          </w:sdtPr>
          <w:sdtEndPr>
            <w:rPr>
              <w:rFonts w:hint="eastAsia"/>
              <w:szCs w:val="21"/>
            </w:rPr>
          </w:sdtEndPr>
          <w:sdtContent>
            <w:p>
              <w:pPr>
                <w:pStyle w:val="109"/>
                <w:widowControl w:val="0"/>
                <w:spacing w:line="400" w:lineRule="exact"/>
                <w:ind w:left="0" w:leftChars="0" w:firstLine="556"/>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1.合并范围</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asciiTheme="minorEastAsia" w:hAnsiTheme="minorEastAsia" w:eastAsiaTheme="minorEastAsia"/>
                </w:rPr>
                <w:t>本公司合并财务报表的合并范围以控制为基础确定，所有子公司</w:t>
              </w:r>
              <w:r>
                <w:rPr>
                  <w:rFonts w:hint="eastAsia" w:asciiTheme="minorEastAsia" w:hAnsiTheme="minorEastAsia" w:eastAsiaTheme="minorEastAsia"/>
                </w:rPr>
                <w:t>（包括本公司所控制的单独主体）</w:t>
              </w:r>
              <w:r>
                <w:rPr>
                  <w:rFonts w:asciiTheme="minorEastAsia" w:hAnsiTheme="minorEastAsia" w:eastAsiaTheme="minorEastAsia"/>
                </w:rPr>
                <w:t>均纳入合并财务报表。</w:t>
              </w:r>
            </w:p>
            <w:p>
              <w:pPr>
                <w:pStyle w:val="109"/>
                <w:widowControl w:val="0"/>
                <w:spacing w:line="400" w:lineRule="exact"/>
                <w:ind w:left="0" w:leftChars="0" w:firstLine="556"/>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2.合并程序</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asciiTheme="minorEastAsia" w:hAnsiTheme="minorEastAsia" w:eastAsiaTheme="minorEastAsia"/>
                </w:rPr>
                <w:t>所有纳入合并财务报表合并范围的子公司所采用的会计政策、会计期间与本公司一致，如子公司采用的会计政策、会计期间与本公司不一致的，在编制合并财务报表时，按本公司的会计政策、会计期间进行必要的调整。</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cs="宋体" w:asciiTheme="minorEastAsia" w:hAnsiTheme="minorEastAsia" w:eastAsiaTheme="minorEastAsia"/>
                  <w:kern w:val="0"/>
                </w:rPr>
                <w:t>合并财务报表时抵销本公司与各子公司、各子公司相互之间发生的内部交易对合并资产负债表、合并利润表、合并现金流量表、合并股东权益变动表的影响。如果站在企业集团合并财务报表角度与以本公司或子公司为会计主体对同一交易的认定不同时，从企业集团的角度对该交易予以调整</w:t>
              </w:r>
              <w:r>
                <w:rPr>
                  <w:rFonts w:asciiTheme="minorEastAsia" w:hAnsiTheme="minorEastAsia" w:eastAsiaTheme="minorEastAsia"/>
                </w:rPr>
                <w:t>。</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cs="Calibri" w:asciiTheme="minorEastAsia" w:hAnsiTheme="minorEastAsia" w:eastAsiaTheme="minorEastAsia"/>
                  <w:bCs/>
                  <w:kern w:val="0"/>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对于同一控制下企业合并取得的子公司，以其资产、负债（包括最终控制方收购该子公司而形成的商誉）在最终控制方财务报表中的账面价值为基础对其财务报表进行调整。</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cs="Calibri" w:asciiTheme="minorEastAsia" w:hAnsiTheme="minorEastAsia" w:eastAsiaTheme="minorEastAsia"/>
                  <w:bCs/>
                  <w:kern w:val="0"/>
                </w:rPr>
                <w:t>对于非同一控制下企业合并取得的子公司，以购买日可辨认净资产公允价值为基础对其财务报表进行调整</w:t>
              </w:r>
            </w:p>
            <w:p>
              <w:pPr>
                <w:pStyle w:val="112"/>
                <w:widowControl w:val="0"/>
                <w:numPr>
                  <w:ilvl w:val="0"/>
                  <w:numId w:val="62"/>
                </w:numPr>
                <w:tabs>
                  <w:tab w:val="left" w:pos="196"/>
                  <w:tab w:val="left" w:pos="426"/>
                </w:tabs>
                <w:spacing w:line="400" w:lineRule="exact"/>
                <w:ind w:leftChars="0"/>
                <w:jc w:val="both"/>
                <w:rPr>
                  <w:rFonts w:asciiTheme="minorEastAsia" w:hAnsiTheme="minorEastAsia" w:eastAsiaTheme="minorEastAsia"/>
                </w:rPr>
              </w:pPr>
              <w:r>
                <w:rPr>
                  <w:rFonts w:hint="eastAsia" w:asciiTheme="minorEastAsia" w:hAnsiTheme="minorEastAsia" w:eastAsiaTheme="minorEastAsia"/>
                </w:rPr>
                <w:t>增加子公司或业务</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在报告期内，若因同一控制下企业合并增加子公司或业务的，则调整合并资产负债表的期初数；将子公司或业务合并当期期初至报告期末的收入、费用、利润纳入合并利润表；将子公司或业务合并当期期初至报告期末的现金流量纳入合并现金流量表，同时对比较报表的相关项目进行调整，视同合并后的报告主体自最终控制方开始控制时点起一直存在。</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因追加投资等原因能够对同一控制下的被投资方实施控制的，视同参与合并的各方在最终控制方开始控制时即以目前的状态存在进行调整。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在报告期内，若因非同一控制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因追加投资等原因能够对非同一控制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pPr>
                <w:pStyle w:val="112"/>
                <w:widowControl w:val="0"/>
                <w:numPr>
                  <w:ilvl w:val="0"/>
                  <w:numId w:val="62"/>
                </w:numPr>
                <w:tabs>
                  <w:tab w:val="left" w:pos="196"/>
                  <w:tab w:val="left" w:pos="426"/>
                </w:tabs>
                <w:spacing w:line="400" w:lineRule="exact"/>
                <w:ind w:leftChars="0"/>
                <w:jc w:val="both"/>
                <w:rPr>
                  <w:rFonts w:asciiTheme="minorEastAsia" w:hAnsiTheme="minorEastAsia" w:eastAsiaTheme="minorEastAsia"/>
                </w:rPr>
              </w:pPr>
              <w:r>
                <w:rPr>
                  <w:rFonts w:hint="eastAsia" w:asciiTheme="minorEastAsia" w:hAnsiTheme="minorEastAsia" w:eastAsiaTheme="minorEastAsia"/>
                </w:rPr>
                <w:t>处置子公司或业务</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1）一般处理方法</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在报告期内，本公司处置子公司或业务，则该子公司或业务期初至处置日的收入、费用、利润纳入合并利润表；该子公司或业务期初至处置日的现金流量纳入合并现金流量表。</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2）分步处置子公司</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A.这些交易是同时或者在考虑了彼此影响的情况下订立的；</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B.这些交易整体才能达成一项完整的商业结果；</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C.一项交易的发生取决于其他至少一项交易的发生；</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D.一项交易单独看是不经济的，但是和其他交易一并考虑时是经济的。</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pPr>
                <w:pStyle w:val="112"/>
                <w:widowControl w:val="0"/>
                <w:numPr>
                  <w:ilvl w:val="0"/>
                  <w:numId w:val="62"/>
                </w:numPr>
                <w:tabs>
                  <w:tab w:val="left" w:pos="196"/>
                  <w:tab w:val="left" w:pos="426"/>
                </w:tabs>
                <w:spacing w:line="400" w:lineRule="exact"/>
                <w:ind w:leftChars="0"/>
                <w:jc w:val="both"/>
                <w:rPr>
                  <w:rFonts w:asciiTheme="minorEastAsia" w:hAnsiTheme="minorEastAsia" w:eastAsiaTheme="minorEastAsia"/>
                </w:rPr>
              </w:pPr>
              <w:r>
                <w:rPr>
                  <w:rFonts w:hint="eastAsia" w:cs="Calibri" w:asciiTheme="minorEastAsia" w:hAnsiTheme="minorEastAsia" w:eastAsiaTheme="minorEastAsia"/>
                  <w:bCs/>
                  <w:kern w:val="0"/>
                </w:rPr>
                <w:t>购买子公司少数股权</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pPr>
                <w:pStyle w:val="112"/>
                <w:widowControl w:val="0"/>
                <w:numPr>
                  <w:ilvl w:val="0"/>
                  <w:numId w:val="62"/>
                </w:numPr>
                <w:tabs>
                  <w:tab w:val="left" w:pos="196"/>
                  <w:tab w:val="left" w:pos="426"/>
                </w:tabs>
                <w:spacing w:line="400" w:lineRule="exact"/>
                <w:ind w:leftChars="0"/>
                <w:jc w:val="both"/>
                <w:rPr>
                  <w:rFonts w:asciiTheme="minorEastAsia" w:hAnsiTheme="minorEastAsia" w:eastAsiaTheme="minorEastAsia"/>
                </w:rPr>
              </w:pPr>
              <w:r>
                <w:rPr>
                  <w:rFonts w:hint="eastAsia" w:cs="Calibri" w:asciiTheme="minorEastAsia" w:hAnsiTheme="minorEastAsia" w:eastAsiaTheme="minorEastAsia"/>
                  <w:bCs/>
                  <w:kern w:val="0"/>
                </w:rPr>
                <w:t>不丧失控制权的情况下部分处置对子公司的股权投资</w:t>
              </w:r>
            </w:p>
            <w:p>
              <w:pPr>
                <w:pStyle w:val="112"/>
                <w:widowControl w:val="0"/>
                <w:tabs>
                  <w:tab w:val="left" w:pos="196"/>
                  <w:tab w:val="left" w:pos="426"/>
                </w:tabs>
                <w:spacing w:line="400" w:lineRule="exact"/>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股本溢价，资本公积中的股本溢价不足冲减的，调整留存收益。</w:t>
              </w:r>
            </w:p>
            <w:p>
              <w:pPr>
                <w:spacing w:line="400" w:lineRule="exact"/>
                <w:rPr>
                  <w:szCs w:val="21"/>
                </w:rPr>
              </w:pPr>
            </w:p>
          </w:sdtContent>
        </w:sdt>
      </w:sdtContent>
    </w:sdt>
    <w:p>
      <w:pPr>
        <w:rPr>
          <w:szCs w:val="21"/>
        </w:rPr>
      </w:pPr>
    </w:p>
    <w:sdt>
      <w:sdtPr>
        <w:rPr>
          <w:rFonts w:hint="eastAsia" w:ascii="宋体" w:hAnsi="宋体" w:cs="宋体"/>
          <w:b w:val="0"/>
          <w:bCs w:val="0"/>
          <w:kern w:val="0"/>
          <w:szCs w:val="21"/>
        </w:rPr>
        <w:alias w:val="模块:合营安排分类及共同经营会计处理方法"/>
        <w:tag w:val="_GBC_a6643877dd0341e39dee12c064dc6fdc"/>
        <w:id w:val="865724063"/>
        <w:lock w:val="sdtLocked"/>
        <w:placeholder>
          <w:docPart w:val="GBC22222222222222222222222222222"/>
        </w:placeholder>
      </w:sdtPr>
      <w:sdtEndPr>
        <w:rPr>
          <w:rFonts w:hint="eastAsia" w:ascii="宋体" w:hAnsi="宋体" w:cs="宋体"/>
          <w:b/>
          <w:bCs/>
          <w:kern w:val="0"/>
          <w:szCs w:val="21"/>
        </w:rPr>
      </w:sdtEndPr>
      <w:sdtContent>
        <w:p>
          <w:pPr>
            <w:pStyle w:val="4"/>
            <w:numPr>
              <w:ilvl w:val="0"/>
              <w:numId w:val="61"/>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865724061"/>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865724062"/>
            <w:lock w:val="sdtLocked"/>
            <w:placeholder>
              <w:docPart w:val="GBC22222222222222222222222222222"/>
            </w:placeholder>
          </w:sdtPr>
          <w:sdtEndPr>
            <w:rPr>
              <w:szCs w:val="21"/>
            </w:rPr>
          </w:sdtEndPr>
          <w:sdtContent>
            <w:p>
              <w:pPr>
                <w:pStyle w:val="109"/>
                <w:widowControl w:val="0"/>
                <w:spacing w:line="400" w:lineRule="exact"/>
                <w:ind w:left="0" w:leftChars="0" w:firstLine="420" w:firstLineChars="200"/>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1.合营安排的分类</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本公司根据合营安排的结构、法律形式以及合营安排中约定的条款、其他相关事实和情况等因素，将合营安排分为共同经营和合营企业。</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未通过单独主体达成的合营安排，划分为共同经营；通过单独主体达成的合营安排，通常划分为合营企业；但有确凿证据表明满足下列任一条件并且符合相关法律法规规定的合营安排划分为共同经营：</w:t>
              </w:r>
            </w:p>
            <w:p>
              <w:pPr>
                <w:pStyle w:val="112"/>
                <w:widowControl w:val="0"/>
                <w:numPr>
                  <w:ilvl w:val="1"/>
                  <w:numId w:val="63"/>
                </w:numPr>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合营安排的法律形式表明，合营方对该安排中的相关资产和负债分别享有权利和承担义务。</w:t>
              </w:r>
            </w:p>
            <w:p>
              <w:pPr>
                <w:pStyle w:val="112"/>
                <w:widowControl w:val="0"/>
                <w:numPr>
                  <w:ilvl w:val="1"/>
                  <w:numId w:val="63"/>
                </w:numPr>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合营安排的合同条款约定，合营方对该安排中的相关资产和负债分别享有权利和承担义务。</w:t>
              </w:r>
            </w:p>
            <w:p>
              <w:pPr>
                <w:pStyle w:val="112"/>
                <w:widowControl w:val="0"/>
                <w:numPr>
                  <w:ilvl w:val="1"/>
                  <w:numId w:val="63"/>
                </w:numPr>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其他相关事实和情况表明，合营方对该安排中的相关资产和负债分别享有权利和承担义务，如合营方享有与合营安排相关的几乎所有产出，并且该安排中负债的清偿持续依赖于合营方的支持。</w:t>
              </w:r>
            </w:p>
            <w:p>
              <w:pPr>
                <w:pStyle w:val="109"/>
                <w:widowControl w:val="0"/>
                <w:spacing w:line="400" w:lineRule="exact"/>
                <w:ind w:left="0" w:leftChars="0" w:firstLine="422" w:firstLineChars="200"/>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2.共同经营会计处理方法</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本公司确认共同经营中利益份额中与本公司相关的下列项目，并按照相关企业会计准则的规定进行会计处理：</w:t>
              </w:r>
            </w:p>
            <w:p>
              <w:pPr>
                <w:pStyle w:val="112"/>
                <w:widowControl w:val="0"/>
                <w:numPr>
                  <w:ilvl w:val="1"/>
                  <w:numId w:val="63"/>
                </w:numPr>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确认单独所持有的资产，以及按其份额确认共同持有的资产；</w:t>
              </w:r>
            </w:p>
            <w:p>
              <w:pPr>
                <w:pStyle w:val="112"/>
                <w:widowControl w:val="0"/>
                <w:numPr>
                  <w:ilvl w:val="1"/>
                  <w:numId w:val="63"/>
                </w:numPr>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确认单独所承担的负债，以及按其份额确认共同承担的负债；</w:t>
              </w:r>
            </w:p>
            <w:p>
              <w:pPr>
                <w:pStyle w:val="112"/>
                <w:widowControl w:val="0"/>
                <w:numPr>
                  <w:ilvl w:val="1"/>
                  <w:numId w:val="63"/>
                </w:numPr>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确认出售其享有的共同经营产出份额所产生的收入；</w:t>
              </w:r>
            </w:p>
            <w:p>
              <w:pPr>
                <w:pStyle w:val="112"/>
                <w:widowControl w:val="0"/>
                <w:numPr>
                  <w:ilvl w:val="1"/>
                  <w:numId w:val="63"/>
                </w:numPr>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按其份额确认共同经营因出售产出所产生的收入；</w:t>
              </w:r>
            </w:p>
            <w:p>
              <w:pPr>
                <w:pStyle w:val="112"/>
                <w:widowControl w:val="0"/>
                <w:numPr>
                  <w:ilvl w:val="1"/>
                  <w:numId w:val="63"/>
                </w:numPr>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确认单独所发生的费用，以及按其份额确认共同经营发生的费用。</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向共同经营投出或出售资产等（该资产构成业务的除外），在该资产等由共同经营出售给第三方之前，仅确认因该交易产生的损益中归属于共同经营其他参与方的部分。投出或出售的资产发生符合《企业会计准则第8号——资产减值》等规定的资产减值损失的，本公司全额确认该损失。</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自共同经营购买资产等（该资产构成业务的除外），在将该资产等出售给第三方之前，仅确认因该交易产生的损益中归属于共同经营其他参与方的部分。购入的资产发生符合《企业会计准则第8号——资产减值》等规定的资产减值损失的，本公司按承担的份额确认该部分损失。</w:t>
              </w:r>
            </w:p>
            <w:p>
              <w:pPr>
                <w:spacing w:line="400" w:lineRule="exact"/>
                <w:ind w:firstLine="420" w:firstLineChars="200"/>
                <w:rPr>
                  <w:b/>
                  <w:bCs/>
                  <w:szCs w:val="21"/>
                </w:rPr>
              </w:pPr>
              <w:r>
                <w:rPr>
                  <w:rFonts w:hint="eastAsia" w:asciiTheme="minorEastAsia" w:hAnsiTheme="minorEastAsia" w:eastAsiaTheme="minorEastAsia"/>
                  <w:szCs w:val="21"/>
                </w:rPr>
                <w:t>本公司对共同经营不享有共同控制，如果本公司享有该共同经营相关资产且承担该共同经营相关负债的，仍按上述原则进行会计处理，否则，应当按照相关企业会计准则的规定进行会计处理。</w:t>
              </w:r>
            </w:p>
          </w:sdtContent>
        </w:sdt>
      </w:sdtContent>
    </w:sdt>
    <w:p/>
    <w:sdt>
      <w:sdtPr>
        <w:rPr>
          <w:rFonts w:ascii="宋体" w:hAnsi="宋体" w:cs="宋体"/>
          <w:b w:val="0"/>
          <w:bCs w:val="0"/>
          <w:kern w:val="0"/>
          <w:szCs w:val="24"/>
        </w:rPr>
        <w:alias w:val="模块:现金及现金等价物的确定标准"/>
        <w:tag w:val="_GBC_9f2dfe6521c4434b9ad3e7bb1a8a52b7"/>
        <w:id w:val="865724065"/>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61"/>
            </w:numPr>
            <w:rPr>
              <w:sz w:val="24"/>
              <w:szCs w:val="24"/>
            </w:rPr>
          </w:pPr>
          <w:r>
            <w:rPr>
              <w:szCs w:val="21"/>
            </w:rPr>
            <w:t>现金及现金等价物的确定标准</w:t>
          </w:r>
        </w:p>
        <w:sdt>
          <w:sdtPr>
            <w:rPr>
              <w:rFonts w:hint="eastAsia"/>
              <w:sz w:val="24"/>
            </w:rPr>
            <w:alias w:val="现金及现金等价物的确定标准"/>
            <w:tag w:val="_GBC_54f6bc3e44e840bc85cb3872600823b5"/>
            <w:id w:val="865724064"/>
            <w:lock w:val="sdtLocked"/>
            <w:placeholder>
              <w:docPart w:val="GBC22222222222222222222222222222"/>
            </w:placeholder>
          </w:sdtPr>
          <w:sdtEndPr>
            <w:rPr>
              <w:rFonts w:hint="eastAsia"/>
              <w:sz w:val="21"/>
              <w:szCs w:val="21"/>
            </w:rPr>
          </w:sdtEndPr>
          <w:sdtContent>
            <w:p>
              <w:pPr>
                <w:spacing w:line="400" w:lineRule="exact"/>
                <w:ind w:firstLine="480" w:firstLineChars="200"/>
                <w:rPr>
                  <w:szCs w:val="21"/>
                </w:rPr>
              </w:pPr>
              <w:r>
                <w:rPr>
                  <w:szCs w:val="21"/>
                </w:rPr>
                <w:t>现金等价物是指企业持有的期限短（一般指从购买日起三个月内到期）、流动性强、易于转换为已知金额现金、价值变动风险很小的投资。</w:t>
              </w:r>
            </w:p>
            <w:p>
              <w:pPr>
                <w:pStyle w:val="112"/>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asciiTheme="minorEastAsia" w:hAnsiTheme="minorEastAsia" w:eastAsiaTheme="minorEastAsia"/>
                </w:rPr>
                <w:t>在编制现金流量表时，将本公司库存现金以及可以随时用于支付的存款确认为现金。将同时具备期限短（</w:t>
              </w:r>
              <w:r>
                <w:rPr>
                  <w:rFonts w:hint="eastAsia" w:asciiTheme="minorEastAsia" w:hAnsiTheme="minorEastAsia" w:eastAsiaTheme="minorEastAsia"/>
                </w:rPr>
                <w:t>一般</w:t>
              </w:r>
              <w:r>
                <w:rPr>
                  <w:rFonts w:asciiTheme="minorEastAsia" w:hAnsiTheme="minorEastAsia" w:eastAsiaTheme="minorEastAsia"/>
                </w:rPr>
                <w:t>从购买日起三个月内到期）、流动性强、易于转换为已知</w:t>
              </w:r>
              <w:r>
                <w:rPr>
                  <w:rFonts w:hint="eastAsia" w:asciiTheme="minorEastAsia" w:hAnsiTheme="minorEastAsia" w:eastAsiaTheme="minorEastAsia"/>
                </w:rPr>
                <w:t>金额的</w:t>
              </w:r>
              <w:r>
                <w:rPr>
                  <w:rFonts w:asciiTheme="minorEastAsia" w:hAnsiTheme="minorEastAsia" w:eastAsiaTheme="minorEastAsia"/>
                </w:rPr>
                <w:t>现金、价值变动风险很小四个条件的投资，确定为现金等价物。</w:t>
              </w:r>
            </w:p>
            <w:p>
              <w:pPr>
                <w:rPr>
                  <w:szCs w:val="21"/>
                </w:rPr>
              </w:pPr>
            </w:p>
          </w:sdtContent>
        </w:sdt>
      </w:sdtContent>
    </w:sdt>
    <w:p>
      <w:pPr>
        <w:rPr>
          <w:szCs w:val="21"/>
        </w:rPr>
      </w:pPr>
    </w:p>
    <w:sdt>
      <w:sdtPr>
        <w:rPr>
          <w:rFonts w:cs="宋体" w:asciiTheme="minorHAnsi" w:hAnsiTheme="minorHAnsi"/>
          <w:b w:val="0"/>
          <w:bCs w:val="0"/>
          <w:kern w:val="0"/>
          <w:szCs w:val="22"/>
        </w:rPr>
        <w:alias w:val="模块:外币业务和外币报表折算"/>
        <w:tag w:val="_GBC_cff1e1487c3242a8a1be0ce9c2b7a554"/>
        <w:id w:val="865724068"/>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61"/>
            </w:numPr>
            <w:rPr>
              <w:szCs w:val="21"/>
            </w:rPr>
          </w:pPr>
          <w:r>
            <w:rPr>
              <w:szCs w:val="21"/>
            </w:rPr>
            <w:t>外币业务和外币报表折算</w:t>
          </w:r>
        </w:p>
        <w:sdt>
          <w:sdtPr>
            <w:rPr>
              <w:rFonts w:hint="eastAsia"/>
              <w:szCs w:val="21"/>
            </w:rPr>
            <w:alias w:val="是否适用：外币业务和外币报表折算[双击切换]"/>
            <w:tag w:val="_GBC_9c9def5a1d2241b5a3ee696d03433778"/>
            <w:id w:val="86572406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cs="宋体"/>
              <w:kern w:val="0"/>
              <w:szCs w:val="24"/>
            </w:rPr>
            <w:alias w:val="外币业务核算方法"/>
            <w:tag w:val="_GBC_1703fe5fc56b42a8972c0906a4ac6d6b"/>
            <w:id w:val="865724067"/>
            <w:lock w:val="sdtLocked"/>
            <w:placeholder>
              <w:docPart w:val="GBC22222222222222222222222222222"/>
            </w:placeholder>
          </w:sdtPr>
          <w:sdtEndPr>
            <w:rPr>
              <w:rFonts w:hint="eastAsia" w:cs="宋体"/>
              <w:kern w:val="0"/>
              <w:szCs w:val="24"/>
            </w:rPr>
          </w:sdtEndPr>
          <w:sdtContent>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asciiTheme="minorEastAsia" w:hAnsiTheme="minorEastAsia" w:eastAsiaTheme="minorEastAsia"/>
                </w:rPr>
                <w:t>外币业务</w:t>
              </w:r>
              <w:r>
                <w:rPr>
                  <w:rFonts w:hint="eastAsia" w:asciiTheme="minorEastAsia" w:hAnsiTheme="minorEastAsia" w:eastAsiaTheme="minorEastAsia"/>
                </w:rPr>
                <w:t>交易在初始确认时，</w:t>
              </w:r>
              <w:r>
                <w:rPr>
                  <w:rFonts w:asciiTheme="minorEastAsia" w:hAnsiTheme="minorEastAsia" w:eastAsiaTheme="minorEastAsia"/>
                </w:rPr>
                <w:t>采用交易发生日的即期汇率作为折算汇率折合成人民币记账。</w:t>
              </w:r>
            </w:p>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资产负债表日，</w:t>
              </w:r>
              <w:r>
                <w:rPr>
                  <w:rFonts w:asciiTheme="minorEastAsia" w:hAnsiTheme="minorEastAsia" w:eastAsiaTheme="minorEastAsia"/>
                </w:rPr>
                <w:t>外币货币性项目按资产负债表日即期汇率折算，由此产生的汇兑差额，除属于与购建符合资本化条件的资产相关的外币专门借款产生的汇兑差额按照借款费用资本化的原则处理外，均计入当期损益。以历史成本计量的外币非货币性项目，仍采用交易发生日的即期汇率折算，不改变其记账本位币金额。</w:t>
              </w:r>
            </w:p>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asciiTheme="minorEastAsia" w:hAnsiTheme="minorEastAsia" w:eastAsiaTheme="minorEastAsia"/>
                </w:rPr>
                <w:t>以公允价值计量的外币非货币性项目，采用公允价值确定日的即期汇率折算，由此产生的汇兑差额</w:t>
              </w:r>
              <w:r>
                <w:rPr>
                  <w:rFonts w:hint="eastAsia" w:asciiTheme="minorEastAsia" w:hAnsiTheme="minorEastAsia" w:eastAsiaTheme="minorEastAsia"/>
                </w:rPr>
                <w:t>作为公允价值变动损益</w:t>
              </w:r>
              <w:r>
                <w:rPr>
                  <w:rFonts w:asciiTheme="minorEastAsia" w:hAnsiTheme="minorEastAsia" w:eastAsiaTheme="minorEastAsia"/>
                </w:rPr>
                <w:t>计入当期损益</w:t>
              </w:r>
              <w:r>
                <w:rPr>
                  <w:rFonts w:hint="eastAsia" w:asciiTheme="minorEastAsia" w:hAnsiTheme="minorEastAsia" w:eastAsiaTheme="minorEastAsia"/>
                </w:rPr>
                <w:t>。如属于可供出售外币非货币性项目的，形成的汇兑差额计入其他综合收益</w:t>
              </w:r>
              <w:r>
                <w:rPr>
                  <w:rFonts w:asciiTheme="minorEastAsia" w:hAnsiTheme="minorEastAsia" w:eastAsiaTheme="minorEastAsia"/>
                </w:rPr>
                <w:t>。</w:t>
              </w:r>
            </w:p>
            <w:p>
              <w:pPr>
                <w:rPr>
                  <w:rFonts w:cs="Times New Roman"/>
                  <w:kern w:val="2"/>
                  <w:szCs w:val="21"/>
                </w:rPr>
              </w:pPr>
            </w:p>
          </w:sdtContent>
        </w:sdt>
      </w:sdtContent>
    </w:sdt>
    <w:p>
      <w:pPr>
        <w:rPr>
          <w:szCs w:val="21"/>
        </w:rPr>
      </w:pPr>
    </w:p>
    <w:sdt>
      <w:sdtPr>
        <w:rPr>
          <w:rFonts w:ascii="宋体" w:hAnsi="宋体" w:cs="宋体"/>
          <w:b w:val="0"/>
          <w:bCs w:val="0"/>
          <w:kern w:val="0"/>
          <w:szCs w:val="24"/>
        </w:rPr>
        <w:alias w:val="模块:金融工具"/>
        <w:tag w:val="_GBC_4b3a058b038b41689d379e6a2726a904"/>
        <w:id w:val="865724071"/>
        <w:lock w:val="sdtLocked"/>
        <w:placeholder>
          <w:docPart w:val="GBC22222222222222222222222222222"/>
        </w:placeholder>
      </w:sdtPr>
      <w:sdtEndPr>
        <w:rPr>
          <w:rFonts w:ascii="Times New Roman" w:hAnsi="Times New Roman" w:cs="Times New Roman"/>
          <w:b w:val="0"/>
          <w:bCs w:val="0"/>
          <w:kern w:val="0"/>
          <w:szCs w:val="21"/>
        </w:rPr>
      </w:sdtEndPr>
      <w:sdtContent>
        <w:p>
          <w:pPr>
            <w:pStyle w:val="4"/>
            <w:numPr>
              <w:ilvl w:val="0"/>
              <w:numId w:val="61"/>
            </w:numPr>
          </w:pPr>
          <w:r>
            <w:t>金融工具</w:t>
          </w:r>
        </w:p>
        <w:sdt>
          <w:sdtPr>
            <w:rPr>
              <w:rFonts w:hint="eastAsia"/>
              <w:szCs w:val="21"/>
            </w:rPr>
            <w:alias w:val="是否适用：金融工具_重要会计政策和估计[双击切换]"/>
            <w:tag w:val="_GBC_1537cea503f244c2af870a2a0d5fd7a9"/>
            <w:id w:val="865724069"/>
            <w:lock w:val="sdtLocked"/>
          </w:sdtPr>
          <w:sdtEndPr>
            <w:rPr>
              <w:rFonts w:hint="eastAsia"/>
              <w:szCs w:val="21"/>
            </w:rPr>
          </w:sdtEndPr>
          <w:sdtContent>
            <w:p>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
          <w:sdtPr>
            <w:rPr>
              <w:rFonts w:hint="eastAsia"/>
              <w:szCs w:val="21"/>
            </w:rPr>
            <w:alias w:val="金融资产和金融负债的核算方法"/>
            <w:tag w:val="_GBC_b358067bbe2a49bf880c383a5db50d8a"/>
            <w:id w:val="865724070"/>
            <w:lock w:val="sdtLocked"/>
          </w:sdtPr>
          <w:sdtEndPr>
            <w:rPr>
              <w:rFonts w:hint="default" w:ascii="Times New Roman" w:hAnsi="Times New Roman" w:cs="Times New Roman"/>
              <w:szCs w:val="21"/>
            </w:rPr>
          </w:sdtEndPr>
          <w:sdtContent>
            <w:p>
              <w:pPr>
                <w:spacing w:line="400" w:lineRule="exact"/>
                <w:ind w:firstLine="420" w:firstLineChars="200"/>
                <w:rPr>
                  <w:rFonts w:ascii="Times New Roman" w:hAnsi="Times New Roman" w:cs="Times New Roman"/>
                  <w:szCs w:val="21"/>
                </w:rPr>
              </w:pPr>
              <w:r>
                <w:rPr>
                  <w:rFonts w:ascii="Times New Roman" w:cs="Times New Roman"/>
                  <w:szCs w:val="21"/>
                </w:rPr>
                <w:t>在本公司成为金融工具合同的一方时确认一项金融资产或金融负债。</w:t>
              </w:r>
            </w:p>
            <w:p>
              <w:pPr>
                <w:spacing w:line="400" w:lineRule="exact"/>
                <w:ind w:firstLine="420" w:firstLineChars="200"/>
                <w:rPr>
                  <w:rFonts w:ascii="Times New Roman" w:hAnsi="Times New Roman" w:cs="Times New Roman"/>
                  <w:szCs w:val="21"/>
                </w:rPr>
              </w:pPr>
              <w:r>
                <w:rPr>
                  <w:rFonts w:ascii="Times New Roman" w:cs="Times New Roman"/>
                  <w:szCs w:val="21"/>
                </w:rPr>
                <w:t>实际利率法是指计算金融资产或金融负债的摊余成本以及将利息收入或利息费用分摊计入各会计期间的方法。</w:t>
              </w:r>
            </w:p>
            <w:p>
              <w:pPr>
                <w:spacing w:line="400" w:lineRule="exact"/>
                <w:ind w:firstLine="420" w:firstLineChars="200"/>
                <w:rPr>
                  <w:rFonts w:ascii="Times New Roman" w:hAnsi="Times New Roman" w:cs="Times New Roman"/>
                  <w:szCs w:val="21"/>
                </w:rPr>
              </w:pPr>
              <w:r>
                <w:rPr>
                  <w:rFonts w:ascii="Times New Roman" w:cs="Times New Roman"/>
                  <w:szCs w:val="21"/>
                </w:rPr>
                <w:t>实际利率，是指将金融资产或金融负债在预计存续期的估计未来现金流量，折现为该金融资产账面余额或该金融负债摊余成本所使用的利率。在确定实际利率时，在考虑金融资产或金融负债所有合同条款</w:t>
              </w:r>
              <w:r>
                <w:rPr>
                  <w:rFonts w:ascii="Times New Roman" w:hAnsi="Times New Roman" w:cs="Times New Roman"/>
                  <w:szCs w:val="21"/>
                </w:rPr>
                <w:t>(</w:t>
              </w:r>
              <w:r>
                <w:rPr>
                  <w:rFonts w:ascii="Times New Roman" w:cs="Times New Roman"/>
                  <w:szCs w:val="21"/>
                </w:rPr>
                <w:t>如提前还款、展期、看涨期权或其他类似期权等</w:t>
              </w:r>
              <w:r>
                <w:rPr>
                  <w:rFonts w:ascii="Times New Roman" w:hAnsi="Times New Roman" w:cs="Times New Roman"/>
                  <w:szCs w:val="21"/>
                </w:rPr>
                <w:t>)</w:t>
              </w:r>
              <w:r>
                <w:rPr>
                  <w:rFonts w:ascii="Times New Roman" w:cs="Times New Roman"/>
                  <w:szCs w:val="21"/>
                </w:rPr>
                <w:t>的基础上估计预期现金流量，但不考虑预期信用损失。</w:t>
              </w:r>
            </w:p>
            <w:p>
              <w:pPr>
                <w:spacing w:line="400" w:lineRule="exact"/>
                <w:ind w:firstLine="420" w:firstLineChars="200"/>
                <w:rPr>
                  <w:rFonts w:ascii="Times New Roman" w:hAnsi="Times New Roman" w:cs="Times New Roman"/>
                  <w:szCs w:val="21"/>
                </w:rPr>
              </w:pPr>
              <w:r>
                <w:rPr>
                  <w:rFonts w:ascii="Times New Roman" w:cs="Times New Roman"/>
                  <w:szCs w:val="21"/>
                </w:rPr>
                <w:t>金融资产或金融负债的摊余成本是以该金融资产或金融负债的初始确认金额扣除已偿还的本金，加上或减去采用实际利率法将该初始确认金额与到期日金额之间的差额进行摊销形成的累计摊销额，再扣除累计计提的损失准备</w:t>
              </w:r>
              <w:r>
                <w:rPr>
                  <w:rFonts w:ascii="Times New Roman" w:hAnsi="Times New Roman" w:cs="Times New Roman"/>
                  <w:szCs w:val="21"/>
                </w:rPr>
                <w:t>(</w:t>
              </w:r>
              <w:r>
                <w:rPr>
                  <w:rFonts w:ascii="Times New Roman" w:cs="Times New Roman"/>
                  <w:szCs w:val="21"/>
                </w:rPr>
                <w:t>仅适用于金融资产</w:t>
              </w:r>
              <w:r>
                <w:rPr>
                  <w:rFonts w:ascii="Times New Roman" w:hAnsi="Times New Roman" w:cs="Times New Roman"/>
                  <w:szCs w:val="21"/>
                </w:rPr>
                <w:t>)</w:t>
              </w:r>
              <w:r>
                <w:rPr>
                  <w:rFonts w:ascii="Times New Roman" w:cs="Times New Roman"/>
                  <w:szCs w:val="21"/>
                </w:rPr>
                <w:t>。</w:t>
              </w:r>
            </w:p>
            <w:p>
              <w:pPr>
                <w:pStyle w:val="55"/>
                <w:numPr>
                  <w:ilvl w:val="0"/>
                  <w:numId w:val="64"/>
                </w:numPr>
                <w:spacing w:line="400" w:lineRule="exact"/>
                <w:ind w:firstLineChars="0"/>
                <w:rPr>
                  <w:rFonts w:ascii="Times New Roman" w:hAnsi="Times New Roman"/>
                  <w:b/>
                  <w:szCs w:val="21"/>
                </w:rPr>
              </w:pPr>
              <w:r>
                <w:rPr>
                  <w:rFonts w:ascii="Times New Roman"/>
                  <w:b/>
                  <w:szCs w:val="21"/>
                </w:rPr>
                <w:t>金融资产分类和计量</w:t>
              </w:r>
            </w:p>
            <w:p>
              <w:pPr>
                <w:spacing w:line="400" w:lineRule="exact"/>
                <w:ind w:firstLine="420" w:firstLineChars="200"/>
                <w:rPr>
                  <w:rFonts w:ascii="Times New Roman" w:hAnsi="Times New Roman" w:cs="Times New Roman"/>
                  <w:szCs w:val="21"/>
                </w:rPr>
              </w:pPr>
              <w:r>
                <w:rPr>
                  <w:rFonts w:ascii="Times New Roman" w:cs="Times New Roman"/>
                  <w:szCs w:val="21"/>
                </w:rPr>
                <w:t>本公司根据所管理金融资产的业务模式和金融资产的合同现金流量特征，将金融资产划分为以下三类：</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（1）以摊余成本计量的金融资产。</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）以公允价值计量且其变动计入其他综合收益的金融资产。</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3</w:t>
              </w:r>
              <w:r>
                <w:rPr>
                  <w:rFonts w:ascii="Times New Roman" w:cs="Times New Roman"/>
                  <w:szCs w:val="21"/>
                </w:rPr>
                <w:t>）以公允价值计量且其变动计入当期损益的金融资产。</w:t>
              </w:r>
            </w:p>
            <w:p>
              <w:pPr>
                <w:spacing w:line="400" w:lineRule="exact"/>
                <w:ind w:firstLine="420" w:firstLineChars="200"/>
                <w:rPr>
                  <w:rFonts w:ascii="Times New Roman" w:hAnsi="Times New Roman" w:cs="Times New Roman"/>
                  <w:szCs w:val="21"/>
                </w:rPr>
              </w:pPr>
              <w:r>
                <w:rPr>
                  <w:rFonts w:ascii="Times New Roman" w:cs="Times New Roman"/>
                  <w:szCs w:val="21"/>
                </w:rPr>
                <w:t>金融资产在初始确认时以公允价值计量，但是因销售商品或提供服务等产生的应收账款或应收票据未包含重大融资成分或不考虑不超过一年的融资成分的，按照交易价格进行初始计量。</w:t>
              </w:r>
            </w:p>
            <w:p>
              <w:pPr>
                <w:spacing w:line="400" w:lineRule="exact"/>
                <w:ind w:firstLine="420" w:firstLineChars="200"/>
                <w:rPr>
                  <w:rFonts w:ascii="Times New Roman" w:hAnsi="Times New Roman" w:cs="Times New Roman"/>
                  <w:szCs w:val="21"/>
                </w:rPr>
              </w:pPr>
              <w:r>
                <w:rPr>
                  <w:rFonts w:ascii="Times New Roman" w:cs="Times New Roman"/>
                  <w:szCs w:val="21"/>
                </w:rPr>
                <w:t>对于以公允价值计量且其变动计入当期损益的金融资产，相关交易费用直接计入当期损益，其他类别的金融资产相关交易费用计入其初始确认金额。</w:t>
              </w:r>
            </w:p>
            <w:p>
              <w:pPr>
                <w:spacing w:line="400" w:lineRule="exact"/>
                <w:ind w:firstLine="420" w:firstLineChars="200"/>
                <w:rPr>
                  <w:rFonts w:ascii="Times New Roman" w:hAnsi="Times New Roman" w:cs="Times New Roman"/>
                  <w:szCs w:val="21"/>
                </w:rPr>
              </w:pPr>
              <w:r>
                <w:rPr>
                  <w:rFonts w:ascii="Times New Roman" w:cs="Times New Roman"/>
                  <w:szCs w:val="21"/>
                </w:rPr>
                <w:t>金融资产的后续计量取决于其分类，当且仅当本公司改变管理金融资产的业务模式时，才对所有受影响的相关金融资产进行重分类。</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）分类为以摊余成本计量的金融资产</w:t>
              </w:r>
            </w:p>
            <w:p>
              <w:pPr>
                <w:spacing w:line="400" w:lineRule="exact"/>
                <w:ind w:firstLine="420" w:firstLineChars="200"/>
                <w:rPr>
                  <w:rFonts w:ascii="Times New Roman" w:hAnsi="Times New Roman" w:cs="Times New Roman"/>
                  <w:szCs w:val="21"/>
                </w:rPr>
              </w:pPr>
              <w:r>
                <w:rPr>
                  <w:rFonts w:ascii="Times New Roman" w:cs="Times New Roman"/>
                  <w:szCs w:val="21"/>
                </w:rPr>
                <w:t>金融资产的合同条款规定在特定日期产生的现金流量仅为对本金和以未偿付本金金额为基础的利息的支付，且管理该金融资产的业务模式是以收取合同现金流量为目标，则本公司将该金融资产分类为以摊余成本计量的金融资产。本公司分类为以摊余成本计量的金融资产包括货币资金、应收款项融资、应收账款、其他应收款等。</w:t>
              </w:r>
            </w:p>
            <w:p>
              <w:pPr>
                <w:spacing w:line="400" w:lineRule="exact"/>
                <w:ind w:firstLine="420" w:firstLineChars="200"/>
                <w:rPr>
                  <w:rFonts w:ascii="Times New Roman" w:hAnsi="Times New Roman" w:cs="Times New Roman"/>
                  <w:szCs w:val="21"/>
                </w:rPr>
              </w:pPr>
              <w:r>
                <w:rPr>
                  <w:rFonts w:ascii="Times New Roman" w:cs="Times New Roman"/>
                  <w:szCs w:val="21"/>
                </w:rPr>
                <w:t>本公司对此类金融资产采用实际利率法确认利息收入，按摊余成本进行后续计量，其发生减值时或终止确认、修改产生的利得或损失，计入当期损益。除下列情况外，本公司根据金融资产账面余额乘以实际利率计算确定利息收入：</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）对于购入或源生的已发生信用减值的金融资产，本公司自初始确认起，按照该金融资产的摊余成本和经信用调整的实际利率计算确定其利息收入。</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对于购入或源生的未发生信用减值、但在后续期间成为已发生信用减值的金融资产，本公司在后续期间，按照该金融资产的摊余成本和实际利率计算确定其利息收入。若该金融工具在后续期间因其信用风险有所改善而不再存在信用减值，本公司转按实际利率乘以该金融资产账面余额来计算确定利息收入。</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）分类为以公允价值计量且其变动计入其他综合收益的金融资产</w:t>
              </w:r>
            </w:p>
            <w:p>
              <w:pPr>
                <w:spacing w:line="400" w:lineRule="exact"/>
                <w:ind w:firstLine="420" w:firstLineChars="200"/>
                <w:rPr>
                  <w:rFonts w:ascii="Times New Roman" w:hAnsi="Times New Roman" w:cs="Times New Roman"/>
                  <w:szCs w:val="21"/>
                </w:rPr>
              </w:pPr>
              <w:r>
                <w:rPr>
                  <w:rFonts w:ascii="Times New Roman" w:cs="Times New Roman"/>
                  <w:szCs w:val="21"/>
                </w:rPr>
                <w:t>金融资产的合同条款规定在特定日期产生的现金流量仅为对本金和以未偿付本金金额为基础的利息的支付，且管理该金融资产的业务模式既以收取合同现金流量为目标又以出售该金融资产为目标，则本公司将该金融资产分类为以公允价值计量且其变动计入其他综合收益的金融资产。</w:t>
              </w:r>
            </w:p>
            <w:p>
              <w:pPr>
                <w:spacing w:line="400" w:lineRule="exact"/>
                <w:ind w:firstLine="420" w:firstLineChars="200"/>
                <w:rPr>
                  <w:rFonts w:ascii="Times New Roman" w:hAnsi="Times New Roman" w:cs="Times New Roman"/>
                  <w:szCs w:val="21"/>
                </w:rPr>
              </w:pPr>
              <w:r>
                <w:rPr>
                  <w:rFonts w:ascii="Times New Roman" w:cs="Times New Roman"/>
                  <w:szCs w:val="21"/>
                </w:rPr>
                <w:t>本公司对此类金融资产采用实际利率法确认利息收入。除利息收入、减值损失及汇兑差额确认为当期损益外，其余公允价值变动计入其他综合收益。当该金融资产终止确认时，之前计入其他综合收益的累计利得或损失从其他综合收益中转出，计入当期损益。</w:t>
              </w:r>
            </w:p>
            <w:p>
              <w:pPr>
                <w:spacing w:line="400" w:lineRule="exact"/>
                <w:ind w:firstLine="420" w:firstLineChars="200"/>
                <w:rPr>
                  <w:rFonts w:ascii="Times New Roman" w:hAnsi="Times New Roman" w:cs="Times New Roman"/>
                  <w:szCs w:val="21"/>
                </w:rPr>
              </w:pPr>
              <w:r>
                <w:rPr>
                  <w:rFonts w:ascii="Times New Roman" w:cs="Times New Roman"/>
                  <w:szCs w:val="21"/>
                </w:rPr>
                <w:t>以公允价值计量且变动计入其他综合收益的应收票据及应收账款列报为应收款项融资，其他此类金融资产列报为其他债权投资，其中：自资产负债表日起一年内到期的其他债权投资列报为一年内到期的非流动资产，原到期日在一年以内的其他债权投资列报为其他流动资产。</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3</w:t>
              </w:r>
              <w:r>
                <w:rPr>
                  <w:rFonts w:ascii="Times New Roman" w:cs="Times New Roman"/>
                  <w:szCs w:val="21"/>
                </w:rPr>
                <w:t>）指定为以公允价值计量且其变动计入其他综合收益的金融资产</w:t>
              </w:r>
            </w:p>
            <w:p>
              <w:pPr>
                <w:spacing w:line="400" w:lineRule="exact"/>
                <w:ind w:firstLine="420" w:firstLineChars="200"/>
                <w:rPr>
                  <w:rFonts w:ascii="Times New Roman" w:hAnsi="Times New Roman" w:cs="Times New Roman"/>
                  <w:szCs w:val="21"/>
                </w:rPr>
              </w:pPr>
              <w:r>
                <w:rPr>
                  <w:rFonts w:hint="eastAsia"/>
                  <w:szCs w:val="21"/>
                </w:rPr>
                <w:t>在初始确认时，本公司可以单项金融资产为基础不可撤销地将非交易性权益工具投资指定为以公</w:t>
              </w:r>
              <w:r>
                <w:rPr>
                  <w:rFonts w:ascii="Times New Roman" w:cs="Times New Roman"/>
                  <w:szCs w:val="21"/>
                </w:rPr>
                <w:t>允价值计量且其变动计入其他综合收益的金融资产。</w:t>
              </w:r>
            </w:p>
            <w:p>
              <w:pPr>
                <w:spacing w:line="400" w:lineRule="exact"/>
                <w:ind w:firstLine="420" w:firstLineChars="200"/>
                <w:rPr>
                  <w:rFonts w:ascii="Times New Roman" w:hAnsi="Times New Roman" w:cs="Times New Roman"/>
                  <w:szCs w:val="21"/>
                </w:rPr>
              </w:pPr>
              <w:r>
                <w:rPr>
                  <w:rFonts w:ascii="Times New Roman" w:cs="Times New Roman"/>
                  <w:szCs w:val="21"/>
                </w:rPr>
                <w:t>此类金融资产的公允价值变动计入其他综合收益，不需计提减值准备。该金融资产终止确认时，之前计入其他综合收益的累计利得或损失从其他综合收益中转出，计入留存收益。本公司持有该权益工具投资期间，在本公司收取股利的权利已经确立，与股利相关的经济利益很可能流入本公司，且股利的金额能够可靠计量时，确认股利收入并计入当期损益。本公司对此类金融资产在其他权益工具投资项目下列报。</w:t>
              </w:r>
            </w:p>
            <w:p>
              <w:pPr>
                <w:spacing w:line="400" w:lineRule="exact"/>
                <w:ind w:firstLine="420" w:firstLineChars="200"/>
                <w:rPr>
                  <w:rFonts w:ascii="Times New Roman" w:hAnsi="Times New Roman" w:cs="Times New Roman"/>
                  <w:szCs w:val="21"/>
                </w:rPr>
              </w:pPr>
              <w:r>
                <w:rPr>
                  <w:rFonts w:ascii="Times New Roman" w:cs="Times New Roman"/>
                  <w:szCs w:val="21"/>
                </w:rPr>
                <w:t>权益工具投资满足下列条件之一的，属于以公允价值计量且其变动计入当期损益的金融资产：取得该金融资产的目的主要是为了近期出售；初始确认时属于集中管理的可辨认金融资产工具组合的一部分，且有客观证据表明近期实际存在短期获利模式；属于衍生工具（符合财务担保合同定义的以及被指定为有效套期工具的衍生工具除外）。</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4</w:t>
              </w:r>
              <w:r>
                <w:rPr>
                  <w:rFonts w:ascii="Times New Roman" w:cs="Times New Roman"/>
                  <w:szCs w:val="21"/>
                </w:rPr>
                <w:t>）分类为以公允价值计量且其变动计入当期损益的金融资产</w:t>
              </w:r>
            </w:p>
            <w:p>
              <w:pPr>
                <w:spacing w:line="400" w:lineRule="exact"/>
                <w:ind w:firstLine="420" w:firstLineChars="200"/>
                <w:rPr>
                  <w:rFonts w:ascii="Times New Roman" w:hAnsi="Times New Roman" w:cs="Times New Roman"/>
                  <w:szCs w:val="21"/>
                </w:rPr>
              </w:pPr>
              <w:r>
                <w:rPr>
                  <w:rFonts w:ascii="Times New Roman" w:cs="Times New Roman"/>
                  <w:szCs w:val="21"/>
                </w:rPr>
                <w:t>不符合分类为以摊余成本计量或以公允价值计量且其变动计入其他综合收益的金融资产条件、亦不指定为以公允价值计量且其变动计入其他综合收益的金融资产均分类为以公允价值计量且其变动计入当期损益的金融资产。</w:t>
              </w:r>
            </w:p>
            <w:p>
              <w:pPr>
                <w:spacing w:line="400" w:lineRule="exact"/>
                <w:ind w:firstLine="420" w:firstLineChars="200"/>
                <w:rPr>
                  <w:rFonts w:ascii="Times New Roman" w:hAnsi="Times New Roman" w:cs="Times New Roman"/>
                  <w:szCs w:val="21"/>
                </w:rPr>
              </w:pPr>
              <w:r>
                <w:rPr>
                  <w:rFonts w:ascii="Times New Roman" w:cs="Times New Roman"/>
                  <w:szCs w:val="21"/>
                </w:rPr>
                <w:t>本公司对此类金融资产采用公允价值进行后续计量，将公允价值变动形成的利得或损失以及与此类金融资产相关的股利和利息收入计入当期损益。</w:t>
              </w:r>
            </w:p>
            <w:p>
              <w:pPr>
                <w:spacing w:line="400" w:lineRule="exact"/>
                <w:ind w:firstLine="420" w:firstLineChars="200"/>
                <w:rPr>
                  <w:rFonts w:ascii="Times New Roman" w:hAnsi="Times New Roman" w:cs="Times New Roman"/>
                  <w:szCs w:val="21"/>
                </w:rPr>
              </w:pPr>
              <w:r>
                <w:rPr>
                  <w:rFonts w:ascii="Times New Roman" w:cs="Times New Roman"/>
                  <w:szCs w:val="21"/>
                </w:rPr>
                <w:t>本公司对此类金融资产根据其流动性在交易性金融资产、其他非流动金融资产项目列报。</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5</w:t>
              </w:r>
              <w:r>
                <w:rPr>
                  <w:rFonts w:ascii="Times New Roman" w:cs="Times New Roman"/>
                  <w:szCs w:val="21"/>
                </w:rPr>
                <w:t>）指定为以公允价值计量且其变动计入当期损益的金融资产</w:t>
              </w:r>
            </w:p>
            <w:p>
              <w:pPr>
                <w:spacing w:line="400" w:lineRule="exact"/>
                <w:ind w:firstLine="420" w:firstLineChars="200"/>
                <w:rPr>
                  <w:rFonts w:ascii="Times New Roman" w:hAnsi="Times New Roman" w:cs="Times New Roman"/>
                  <w:szCs w:val="21"/>
                </w:rPr>
              </w:pPr>
              <w:r>
                <w:rPr>
                  <w:rFonts w:ascii="Times New Roman" w:cs="Times New Roman"/>
                  <w:szCs w:val="21"/>
                </w:rPr>
                <w:t>在初始确认时，本公司为了消除或显著减少会计错配，可以单项金融资产为基础不可撤销地将金融资产指定为以公允价值计量且其变动计入当期损益的金融资产。</w:t>
              </w:r>
            </w:p>
            <w:p>
              <w:pPr>
                <w:spacing w:line="400" w:lineRule="exact"/>
                <w:ind w:firstLine="420" w:firstLineChars="200"/>
                <w:rPr>
                  <w:rFonts w:ascii="Times New Roman" w:hAnsi="Times New Roman" w:cs="Times New Roman"/>
                  <w:szCs w:val="21"/>
                </w:rPr>
              </w:pPr>
              <w:r>
                <w:rPr>
                  <w:rFonts w:ascii="Times New Roman" w:cs="Times New Roman"/>
                  <w:szCs w:val="21"/>
                </w:rPr>
                <w:t>混合合同包含一项或多项嵌入衍生工具，且其主合同不属于以上金融资产的，本公司可以将其整体指定为以公允价值计量且其变动计入当期损益的金融工具。但下列情况除外：</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）嵌入衍生工具不会对混合合同的现金流量产生重大改变。</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）在初次确定类似的混合合同是否需要分拆时，几乎不需分析就能明确其包含的嵌入衍生工具不应分拆。如嵌入贷款的提前还款权，允许持有人以接近摊余成本的金额提前偿还贷款，该提前还款权不需要分拆。</w:t>
              </w:r>
            </w:p>
            <w:p>
              <w:pPr>
                <w:spacing w:line="400" w:lineRule="exact"/>
                <w:ind w:firstLine="420" w:firstLineChars="200"/>
                <w:rPr>
                  <w:rFonts w:ascii="Times New Roman" w:hAnsi="Times New Roman" w:cs="Times New Roman"/>
                  <w:szCs w:val="21"/>
                </w:rPr>
              </w:pPr>
              <w:r>
                <w:rPr>
                  <w:rFonts w:ascii="Times New Roman" w:cs="Times New Roman"/>
                  <w:szCs w:val="21"/>
                </w:rPr>
                <w:t>本公司对此类金融资产采用公允价值进行后续计量，将公允价值变动形成的利得或损失以及与此类金融资产相关的股利和利息收入计入当期损益。</w:t>
              </w:r>
            </w:p>
            <w:p>
              <w:pPr>
                <w:spacing w:line="400" w:lineRule="exact"/>
                <w:ind w:firstLine="420" w:firstLineChars="200"/>
                <w:rPr>
                  <w:rFonts w:ascii="Times New Roman" w:hAnsi="Times New Roman" w:cs="Times New Roman"/>
                  <w:szCs w:val="21"/>
                </w:rPr>
              </w:pPr>
              <w:r>
                <w:rPr>
                  <w:rFonts w:ascii="Times New Roman" w:cs="Times New Roman"/>
                  <w:szCs w:val="21"/>
                </w:rPr>
                <w:t>本公司对此类金融资产根据其流动性在交易性金融资产、其他非流动金融资产项目列报。</w:t>
              </w:r>
            </w:p>
            <w:p>
              <w:pPr>
                <w:pStyle w:val="55"/>
                <w:numPr>
                  <w:ilvl w:val="0"/>
                  <w:numId w:val="64"/>
                </w:numPr>
                <w:spacing w:line="400" w:lineRule="exact"/>
                <w:ind w:firstLineChars="0"/>
                <w:rPr>
                  <w:rFonts w:ascii="Times New Roman" w:hAnsi="Times New Roman"/>
                  <w:b/>
                  <w:szCs w:val="21"/>
                </w:rPr>
              </w:pPr>
              <w:r>
                <w:rPr>
                  <w:rFonts w:ascii="Times New Roman"/>
                  <w:b/>
                  <w:szCs w:val="21"/>
                </w:rPr>
                <w:t>金融负债分类和计量</w:t>
              </w:r>
            </w:p>
            <w:p>
              <w:pPr>
                <w:spacing w:line="400" w:lineRule="exact"/>
                <w:ind w:firstLine="420" w:firstLineChars="200"/>
                <w:rPr>
                  <w:szCs w:val="21"/>
                </w:rPr>
              </w:pPr>
              <w:r>
                <w:rPr>
                  <w:rFonts w:ascii="Times New Roman" w:cs="Times New Roman"/>
                  <w:szCs w:val="21"/>
                </w:rPr>
                <w:t>本公司根据所发行金融工具的合同条款及其所反映的经济实质</w:t>
              </w:r>
              <w:r>
                <w:rPr>
                  <w:rFonts w:hint="eastAsia"/>
                  <w:szCs w:val="21"/>
                </w:rPr>
                <w:t>而非仅以法律形式，结合金融负债和权益工具的定义，在初始确认时将该金融工具或其组成部分分类为金融负债或权益工具。金融负债在初始确认时分类为：以公允价值计量且其变动计入当期损益的金融负债、其他金融负债、被指定为有效套期工具的衍生工具。</w:t>
              </w:r>
            </w:p>
            <w:p>
              <w:pPr>
                <w:spacing w:line="400" w:lineRule="exact"/>
                <w:ind w:firstLine="420" w:firstLineChars="200"/>
                <w:rPr>
                  <w:szCs w:val="21"/>
                </w:rPr>
              </w:pPr>
              <w:r>
                <w:rPr>
                  <w:rFonts w:hint="eastAsia"/>
                  <w:szCs w:val="21"/>
                </w:rPr>
                <w:t>金融负债在初始确认时以公允价值计量。对于以公允价值计量且其变动计入当期损益的金融负债，相关的交易费用直接计入当期损益；对于其他类别的金融负债，相关交易费用计入初始确认金额。</w:t>
              </w:r>
            </w:p>
            <w:p>
              <w:pPr>
                <w:spacing w:line="400" w:lineRule="exact"/>
                <w:ind w:firstLine="420" w:firstLineChars="200"/>
                <w:rPr>
                  <w:szCs w:val="21"/>
                </w:rPr>
              </w:pPr>
              <w:r>
                <w:rPr>
                  <w:rFonts w:hint="eastAsia"/>
                  <w:szCs w:val="21"/>
                </w:rPr>
                <w:t>金融负债的后续计量取决于其分类：</w:t>
              </w:r>
            </w:p>
            <w:p>
              <w:pPr>
                <w:spacing w:line="400" w:lineRule="exact"/>
                <w:ind w:firstLine="420" w:firstLineChars="200"/>
                <w:rPr>
                  <w:szCs w:val="21"/>
                </w:rPr>
              </w:pPr>
              <w:r>
                <w:rPr>
                  <w:rFonts w:hint="eastAsia"/>
                  <w:szCs w:val="21"/>
                </w:rPr>
                <w:t>（1）以公允价值计量且其变动计入当期损益的金融负债</w:t>
              </w:r>
            </w:p>
            <w:p>
              <w:pPr>
                <w:spacing w:line="400" w:lineRule="exact"/>
                <w:ind w:firstLine="420" w:firstLineChars="200"/>
                <w:rPr>
                  <w:szCs w:val="21"/>
                </w:rPr>
              </w:pPr>
              <w:r>
                <w:rPr>
                  <w:rFonts w:hint="eastAsia"/>
                  <w:szCs w:val="21"/>
                </w:rPr>
                <w:t>此类金融负债包括交易性金融负债（含属于金融负债的衍生工具）和初始确认时指定为以公允价值计量且其变动计入当期损益的金融负债。</w:t>
              </w:r>
            </w:p>
            <w:p>
              <w:pPr>
                <w:spacing w:line="400" w:lineRule="exact"/>
                <w:ind w:firstLine="420" w:firstLineChars="200"/>
                <w:rPr>
                  <w:szCs w:val="21"/>
                </w:rPr>
              </w:pPr>
              <w:r>
                <w:rPr>
                  <w:rFonts w:hint="eastAsia"/>
                  <w:szCs w:val="21"/>
                </w:rPr>
                <w:t>满足下列条件之一的，属于交易性金融负债：承担相关金融负债的目的主要是为了在近期内出售或回购；属于集中管理的可辨认金融工具组合的一部分，且有客观证据表明企业近期采用短期获利方式模式；属于衍生工具，但是，被指定且为有效套期工具的衍生工具、符合财务担保合同的衍生工具除外。交易性金融负债（含属于金融负债的衍生工具），按照公允价值进行后续计量，除与套期会计有关外，所有公允价值变动均计入当期损益。</w:t>
              </w:r>
            </w:p>
            <w:p>
              <w:pPr>
                <w:spacing w:line="400" w:lineRule="exact"/>
                <w:ind w:firstLine="420" w:firstLineChars="200"/>
                <w:rPr>
                  <w:szCs w:val="21"/>
                </w:rPr>
              </w:pPr>
              <w:r>
                <w:rPr>
                  <w:rFonts w:hint="eastAsia"/>
                  <w:szCs w:val="21"/>
                </w:rPr>
                <w:t>在初始确认时，为了提供更相关的会计信息，本公司将满足下列条件之一的金融负债不可撤销地指定为以公允价值计量且其变动计入当期损益的金融负债：</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）能够消除或显著减少会计错配。</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）根据正式书面文件载明的企业风险管理或投资策略，以公允价值为基础对金融负债组合或金融资产和金融负债组合进行管理和业绩评价，并在企业内部以此为基础向关键管理人员报告。</w:t>
              </w:r>
            </w:p>
            <w:p>
              <w:pPr>
                <w:spacing w:line="400" w:lineRule="exact"/>
                <w:ind w:firstLine="420" w:firstLineChars="200"/>
                <w:rPr>
                  <w:rFonts w:ascii="Times New Roman" w:hAnsi="Times New Roman" w:cs="Times New Roman"/>
                  <w:szCs w:val="21"/>
                </w:rPr>
              </w:pPr>
              <w:r>
                <w:rPr>
                  <w:rFonts w:ascii="Times New Roman" w:cs="Times New Roman"/>
                  <w:szCs w:val="21"/>
                </w:rPr>
                <w:t>本公司对此类金融负债采用公允价值进行后续计量，除由本公司自身信用风险变动引起的公允价值变动计入其他综合收益之外，其他公允价值变动计入当期损益。除非由本公司自身信用风险变动引起的公允价值变动计入其他综合收益会造成或扩大损益中的会计错配，本公司将所有公允价值变动（包括自身信用风险变动的影响金额）计入当期损益。</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）其他金融负债</w:t>
              </w:r>
            </w:p>
            <w:p>
              <w:pPr>
                <w:spacing w:line="400" w:lineRule="exact"/>
                <w:ind w:firstLine="420" w:firstLineChars="200"/>
                <w:rPr>
                  <w:rFonts w:ascii="Times New Roman" w:hAnsi="Times New Roman" w:cs="Times New Roman"/>
                  <w:szCs w:val="21"/>
                </w:rPr>
              </w:pPr>
              <w:r>
                <w:rPr>
                  <w:rFonts w:ascii="Times New Roman" w:cs="Times New Roman"/>
                  <w:szCs w:val="21"/>
                </w:rPr>
                <w:t>除下列各项外，公司将金融负债分类为以摊余成本计量的金融负债，对此类金融负债采用实际利率法，按照摊余成本进行后续计量，终止确认或摊销产生的利得或损失计入当期损益：</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）以公允价值计量且其变动计入当期损益的金融负债。</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）金融资产转移不符合终止确认条件或继续涉入被转移金融资产所形成的金融负债。</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）不属于本条前两类情形的财务担保合同，以及不属于本条第</w:t>
              </w:r>
              <w:r>
                <w:rPr>
                  <w:rFonts w:ascii="Times New Roman" w:hAnsi="Times New Roman" w:cs="Times New Roman"/>
                  <w:szCs w:val="21"/>
                </w:rPr>
                <w:t>1</w:t>
              </w:r>
              <w:r>
                <w:rPr>
                  <w:rFonts w:ascii="Times New Roman" w:cs="Times New Roman"/>
                  <w:szCs w:val="21"/>
                </w:rPr>
                <w:t>）类情形的以低于市场利率贷款的贷款承诺。</w:t>
              </w:r>
            </w:p>
            <w:p>
              <w:pPr>
                <w:spacing w:line="400" w:lineRule="exact"/>
                <w:ind w:firstLine="420" w:firstLineChars="200"/>
                <w:rPr>
                  <w:szCs w:val="21"/>
                </w:rPr>
              </w:pPr>
              <w:r>
                <w:rPr>
                  <w:rFonts w:hint="eastAsia"/>
                  <w:szCs w:val="21"/>
                </w:rPr>
                <w:t>财务担保合同是指当特定债务人到期不能按照最初或修改后的债务工具条款偿付债务时，要求发行方向蒙受损失的合同持有人赔付特定金额的合同。不属于指定为以公允价值计量且其变动计入当期损益的金融负债的财务担保合同，在初始确认后按照损失准备金额以及初始确认金额扣除担保期内的累计摊销额后的余额孰高进行计量。</w:t>
              </w:r>
            </w:p>
            <w:p>
              <w:pPr>
                <w:pStyle w:val="55"/>
                <w:numPr>
                  <w:ilvl w:val="0"/>
                  <w:numId w:val="64"/>
                </w:numPr>
                <w:spacing w:line="400" w:lineRule="exact"/>
                <w:ind w:firstLineChars="0"/>
                <w:rPr>
                  <w:b/>
                  <w:szCs w:val="21"/>
                </w:rPr>
              </w:pPr>
              <w:r>
                <w:rPr>
                  <w:rFonts w:hint="eastAsia"/>
                  <w:b/>
                  <w:szCs w:val="21"/>
                </w:rPr>
                <w:t>金融资产和金融负债的终止确认</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）金融资产满足下列条件之一的，终止确认金融资产，即从其账户和资产负债表内予以转销：</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）收取该金融资产现金流量的合同权利终止。</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）该金融资产已转移，且该转移满足金融资产终止确认的规定。</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）金融负债终止确认条件</w:t>
              </w:r>
            </w:p>
            <w:p>
              <w:pPr>
                <w:spacing w:line="400" w:lineRule="exact"/>
                <w:ind w:firstLine="420" w:firstLineChars="200"/>
                <w:rPr>
                  <w:rFonts w:ascii="Times New Roman" w:hAnsi="Times New Roman" w:cs="Times New Roman"/>
                  <w:szCs w:val="21"/>
                </w:rPr>
              </w:pPr>
              <w:r>
                <w:rPr>
                  <w:rFonts w:ascii="Times New Roman" w:cs="Times New Roman"/>
                  <w:szCs w:val="21"/>
                </w:rPr>
                <w:t>金融负债（或其一部分）的现时义务已经解除的，则终止确认该金融负债（或该部分金融负债）。</w:t>
              </w:r>
            </w:p>
            <w:p>
              <w:pPr>
                <w:spacing w:line="400" w:lineRule="exact"/>
                <w:ind w:firstLine="420" w:firstLineChars="200"/>
                <w:rPr>
                  <w:rFonts w:ascii="Times New Roman" w:hAnsi="Times New Roman" w:cs="Times New Roman"/>
                  <w:szCs w:val="21"/>
                </w:rPr>
              </w:pPr>
              <w:r>
                <w:rPr>
                  <w:rFonts w:ascii="Times New Roman" w:cs="Times New Roman"/>
                  <w:szCs w:val="21"/>
                </w:rPr>
                <w:t>本公司与借出方之间签订协议，以承担新金融负债方式替换原金融负债，且新金融负债与原金融负债的合同条款实质上不同的，或对原金融负债（或其一部分）的合同条款做出实质性修改的，则终止确认原金融负债，同时确认一项新金融负债，账面价值与支付的对价（包括转出的非现金资产或承担的负债）之间的差额，计入当期损益。</w:t>
              </w:r>
            </w:p>
            <w:p>
              <w:pPr>
                <w:spacing w:line="400" w:lineRule="exact"/>
                <w:ind w:firstLine="420" w:firstLineChars="200"/>
                <w:rPr>
                  <w:rFonts w:ascii="Times New Roman" w:hAnsi="Times New Roman" w:cs="Times New Roman"/>
                  <w:szCs w:val="21"/>
                </w:rPr>
              </w:pPr>
              <w:r>
                <w:rPr>
                  <w:rFonts w:ascii="Times New Roman" w:cs="Times New Roman"/>
                  <w:szCs w:val="21"/>
                </w:rPr>
                <w:t>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pPr>
                <w:pStyle w:val="55"/>
                <w:numPr>
                  <w:ilvl w:val="0"/>
                  <w:numId w:val="64"/>
                </w:numPr>
                <w:spacing w:line="400" w:lineRule="exact"/>
                <w:ind w:firstLineChars="0"/>
                <w:rPr>
                  <w:rFonts w:ascii="Times New Roman" w:hAnsi="Times New Roman"/>
                  <w:b/>
                  <w:szCs w:val="21"/>
                </w:rPr>
              </w:pPr>
              <w:r>
                <w:rPr>
                  <w:rFonts w:ascii="Times New Roman"/>
                  <w:b/>
                  <w:szCs w:val="21"/>
                </w:rPr>
                <w:t>金融资产转移的确认依据和计量方法</w:t>
              </w:r>
            </w:p>
            <w:p>
              <w:pPr>
                <w:spacing w:line="400" w:lineRule="exact"/>
                <w:ind w:firstLine="420" w:firstLineChars="200"/>
                <w:rPr>
                  <w:rFonts w:ascii="Times New Roman" w:hAnsi="Times New Roman" w:cs="Times New Roman"/>
                  <w:szCs w:val="21"/>
                </w:rPr>
              </w:pPr>
              <w:r>
                <w:rPr>
                  <w:rFonts w:ascii="Times New Roman" w:cs="Times New Roman"/>
                  <w:szCs w:val="21"/>
                </w:rPr>
                <w:t>本公司在发生金融资产转移时，评估其保留金融资产所有权上的风险和报酬的程度，并分别下列情形处理：</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）转移了金融资产所有权上几乎所有风险和报酬的，则终止确认该金融资产，并将转移中产生或保留的权利和义务单独确认为资产或负债。</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）保留了金融资产所有权上几乎所有风险和报酬的，则继续确认该金融资产。</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3</w:t>
              </w:r>
              <w:r>
                <w:rPr>
                  <w:rFonts w:ascii="Times New Roman" w:cs="Times New Roman"/>
                  <w:szCs w:val="21"/>
                </w:rPr>
                <w:t>）既没有转移也没有保留金融资产所有权上几乎所有风险和报酬的（即除本条（</w:t>
              </w:r>
              <w:r>
                <w:rPr>
                  <w:rFonts w:ascii="Times New Roman" w:hAnsi="Times New Roman" w:cs="Times New Roman"/>
                  <w:szCs w:val="21"/>
                </w:rPr>
                <w:t>1</w:t>
              </w:r>
              <w:r>
                <w:rPr>
                  <w:rFonts w:ascii="Times New Roman" w:cs="Times New Roman"/>
                  <w:szCs w:val="21"/>
                </w:rPr>
                <w:t>）、（</w:t>
              </w:r>
              <w:r>
                <w:rPr>
                  <w:rFonts w:ascii="Times New Roman" w:hAnsi="Times New Roman" w:cs="Times New Roman"/>
                  <w:szCs w:val="21"/>
                </w:rPr>
                <w:t>2</w:t>
              </w:r>
              <w:r>
                <w:rPr>
                  <w:rFonts w:ascii="Times New Roman" w:cs="Times New Roman"/>
                  <w:szCs w:val="21"/>
                </w:rPr>
                <w:t>）之外的其他情形），则根据其是否保留了对金融资产的控制，分别下列情形处理：</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）未保留对该金融资产控制的，则终止确认该金融资产，并将转移中产生或保留的权利和义务单独确认为资产或负债。</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保留了对该金融资产控制的，则按照其继续涉入被转移金融资产的程度继续确认有关金融资产，并相应确认相关负债。继续涉入被转移金融资产的程度，是指本公司承担的被转移金融资产价值变动风险或报酬的程度。</w:t>
              </w:r>
            </w:p>
            <w:p>
              <w:pPr>
                <w:spacing w:line="400" w:lineRule="exact"/>
                <w:ind w:firstLine="420" w:firstLineChars="200"/>
                <w:rPr>
                  <w:rFonts w:ascii="Times New Roman" w:hAnsi="Times New Roman" w:cs="Times New Roman"/>
                  <w:szCs w:val="21"/>
                </w:rPr>
              </w:pPr>
              <w:r>
                <w:rPr>
                  <w:rFonts w:ascii="Times New Roman" w:cs="Times New Roman"/>
                  <w:szCs w:val="21"/>
                </w:rPr>
                <w:t>在判断金融资产转移是否满足上述金融资产终止确认条件时，采用实质重于形式的原则。公司将金融资产转移区分为金融资产整体转移和部分转移。</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）金融资产整体转移满足终止确认条件的，将下列两项金额的差额计入当期损益：</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）被转移金融资产在终止确认日的账面价值。</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）因转移金融资产而收到的对价，与原直接计入其他综合收益的公允价值变动累计额中对应终止确认部分的金额（涉及转移的金融资产为以公允价值计量且其变动计入其他综合收益的金融资产）之和。</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金融资产部分转移且该被转移部分整体满足终止确认条件的，将转移前金融资产整体的账面价值，在终止确认部分和继续确认部分（在此种情形下，所保留的服务资产应当视同继续确认金融资产的一部分）之间，按照转移日各自的相对公允价值进行分摊，并将下列两项金额的差额计入当期损益：</w:t>
              </w:r>
            </w:p>
            <w:p>
              <w:pPr>
                <w:spacing w:line="400" w:lineRule="exact"/>
                <w:ind w:firstLine="200"/>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1</w:t>
              </w:r>
              <w:r>
                <w:rPr>
                  <w:rFonts w:ascii="Times New Roman" w:cs="Times New Roman"/>
                  <w:szCs w:val="21"/>
                </w:rPr>
                <w:t>）终止确认部分在终止确认日的账面价值。</w:t>
              </w:r>
            </w:p>
            <w:p>
              <w:pPr>
                <w:spacing w:line="400" w:lineRule="exact"/>
                <w:ind w:firstLine="200"/>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2</w:t>
              </w:r>
              <w:r>
                <w:rPr>
                  <w:rFonts w:ascii="Times New Roman" w:cs="Times New Roman"/>
                  <w:szCs w:val="21"/>
                </w:rPr>
                <w:t>）终止确认部分收到的对价，与原计入其他综合收益的公允价值变动累计额中对应终止确认部分的金额（涉及转移的金融资产为以公允价值计量且其变动计入其他综合收益的金融资产）之和。</w:t>
              </w:r>
            </w:p>
            <w:p>
              <w:pPr>
                <w:spacing w:line="400" w:lineRule="exact"/>
                <w:ind w:firstLine="200"/>
                <w:rPr>
                  <w:rFonts w:ascii="Times New Roman" w:hAnsi="Times New Roman" w:cs="Times New Roman"/>
                  <w:szCs w:val="21"/>
                </w:rPr>
              </w:pPr>
              <w:r>
                <w:rPr>
                  <w:rFonts w:hint="eastAsia" w:ascii="Times New Roman" w:cs="Times New Roman"/>
                  <w:szCs w:val="21"/>
                </w:rPr>
                <w:t xml:space="preserve">   </w:t>
              </w:r>
              <w:r>
                <w:rPr>
                  <w:rFonts w:ascii="Times New Roman" w:cs="Times New Roman"/>
                  <w:szCs w:val="21"/>
                </w:rPr>
                <w:t>金融资产转移不满足终止确认条件的，继续确认该金融资产，所收到的对价确认为一项金融负债。</w:t>
              </w:r>
            </w:p>
            <w:p>
              <w:pPr>
                <w:pStyle w:val="55"/>
                <w:numPr>
                  <w:ilvl w:val="0"/>
                  <w:numId w:val="64"/>
                </w:numPr>
                <w:spacing w:line="400" w:lineRule="exact"/>
                <w:ind w:firstLineChars="0"/>
                <w:rPr>
                  <w:rFonts w:ascii="Times New Roman" w:hAnsi="Times New Roman"/>
                  <w:b/>
                  <w:szCs w:val="21"/>
                </w:rPr>
              </w:pPr>
              <w:r>
                <w:rPr>
                  <w:rFonts w:ascii="Times New Roman"/>
                  <w:b/>
                  <w:szCs w:val="21"/>
                </w:rPr>
                <w:t>金融资产和金融负债公允价值的确定方法</w:t>
              </w:r>
            </w:p>
            <w:p>
              <w:pPr>
                <w:spacing w:line="400" w:lineRule="exact"/>
                <w:ind w:firstLine="200"/>
                <w:rPr>
                  <w:szCs w:val="21"/>
                </w:rPr>
              </w:pPr>
              <w:r>
                <w:rPr>
                  <w:rFonts w:hint="eastAsia" w:ascii="Times New Roman" w:cs="Times New Roman"/>
                  <w:szCs w:val="21"/>
                </w:rPr>
                <w:t xml:space="preserve">  </w:t>
              </w:r>
              <w:r>
                <w:rPr>
                  <w:rFonts w:ascii="Times New Roman" w:cs="Times New Roman"/>
                  <w:szCs w:val="21"/>
                </w:rPr>
                <w:t>存在活跃市场的金融资产或金融负债，以活跃市场的报价确定其公允价值，除非该项金融资产存在针对资产本身的限售期。对于针对资产本身的限售的金融资产，按照活跃市场的报价扣除市场参与者因承担指定期间内无法在公开市场上出售该金融资产的风险而要求获得的补偿金额后确定。活跃市场的报价包括易于且可定期从交易</w:t>
              </w:r>
              <w:r>
                <w:rPr>
                  <w:rFonts w:hint="eastAsia"/>
                  <w:szCs w:val="21"/>
                </w:rPr>
                <w:t>所、交易商、经纪人、行业集团、定价机构或监管机构等获得相关资产或负债的报价，且能代表在公平交易基础上实际并经常发生的市场交易。</w:t>
              </w:r>
            </w:p>
            <w:p>
              <w:pPr>
                <w:spacing w:line="400" w:lineRule="exact"/>
                <w:ind w:firstLine="426"/>
                <w:rPr>
                  <w:szCs w:val="21"/>
                </w:rPr>
              </w:pPr>
              <w:r>
                <w:rPr>
                  <w:rFonts w:hint="eastAsia"/>
                  <w:szCs w:val="21"/>
                </w:rPr>
                <w:t>初始取得或衍生的金融资产或承担的金融负债，以市场交易价格作为确定其公允价值的基础。</w:t>
              </w:r>
            </w:p>
            <w:p>
              <w:pPr>
                <w:spacing w:line="400" w:lineRule="exact"/>
                <w:ind w:firstLine="426"/>
                <w:rPr>
                  <w:szCs w:val="21"/>
                </w:rPr>
              </w:pPr>
              <w:r>
                <w:rPr>
                  <w:rFonts w:hint="eastAsia"/>
                  <w:szCs w:val="21"/>
                </w:rPr>
                <w:t>不存在活跃市场的金融资产或金融负债，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pPr>
                <w:pStyle w:val="55"/>
                <w:numPr>
                  <w:ilvl w:val="0"/>
                  <w:numId w:val="64"/>
                </w:numPr>
                <w:spacing w:line="400" w:lineRule="exact"/>
                <w:ind w:firstLineChars="0"/>
                <w:rPr>
                  <w:b/>
                  <w:szCs w:val="21"/>
                </w:rPr>
              </w:pPr>
              <w:r>
                <w:rPr>
                  <w:rFonts w:hint="eastAsia"/>
                  <w:b/>
                  <w:szCs w:val="21"/>
                </w:rPr>
                <w:t>金融工具减值</w:t>
              </w:r>
            </w:p>
            <w:p>
              <w:pPr>
                <w:spacing w:line="400" w:lineRule="exact"/>
                <w:ind w:firstLine="426"/>
                <w:rPr>
                  <w:szCs w:val="21"/>
                </w:rPr>
              </w:pPr>
              <w:r>
                <w:rPr>
                  <w:rFonts w:hint="eastAsia"/>
                  <w:szCs w:val="21"/>
                </w:rPr>
                <w:t>本公司以预期信用损失为基础，对分类为以摊余成本计量的金融资产、分类为以公允价值计量且其变动计入其他综合收益的金融资产以及财务担保合同，进行减值会计处理并确认损失准备。</w:t>
              </w:r>
            </w:p>
            <w:p>
              <w:pPr>
                <w:spacing w:line="400" w:lineRule="exact"/>
                <w:ind w:firstLine="200"/>
                <w:rPr>
                  <w:szCs w:val="21"/>
                </w:rPr>
              </w:pPr>
              <w:r>
                <w:rPr>
                  <w:rFonts w:hint="eastAsia"/>
                  <w:szCs w:val="21"/>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pPr>
                <w:spacing w:line="400" w:lineRule="exact"/>
                <w:ind w:firstLine="200"/>
                <w:rPr>
                  <w:szCs w:val="21"/>
                </w:rPr>
              </w:pPr>
              <w:r>
                <w:rPr>
                  <w:rFonts w:hint="eastAsia"/>
                  <w:szCs w:val="21"/>
                </w:rPr>
                <w:t>对由收入准则规范的交易形成的应收款项，本公司运用简化计量方法，按照相当于整个存续期内预期信用损失的金额计量损失准备。</w:t>
              </w:r>
            </w:p>
            <w:p>
              <w:pPr>
                <w:spacing w:line="400" w:lineRule="exact"/>
                <w:ind w:firstLine="426"/>
                <w:rPr>
                  <w:szCs w:val="21"/>
                </w:rPr>
              </w:pPr>
              <w:r>
                <w:rPr>
                  <w:rFonts w:hint="eastAsia"/>
                  <w:szCs w:val="21"/>
                </w:rPr>
                <w:t>对于购买或源生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pPr>
                <w:spacing w:line="400" w:lineRule="exact"/>
                <w:ind w:firstLine="426"/>
                <w:rPr>
                  <w:szCs w:val="21"/>
                </w:rPr>
              </w:pPr>
              <w:r>
                <w:rPr>
                  <w:rFonts w:hint="eastAsia"/>
                  <w:szCs w:val="21"/>
                </w:rPr>
                <w:t>除上述采用简化计量方法和购买或源生的已发生信用减值以外的其他金融资产，本公司在每个资产负债表日评估相关金融工具的信用风险自初始确认后是否已显著增加，并按照下列情形分别计量其损失准备、确认预期信用损失及其变动：</w:t>
              </w:r>
            </w:p>
            <w:p>
              <w:pPr>
                <w:spacing w:line="400" w:lineRule="exact"/>
                <w:ind w:firstLine="200"/>
                <w:rPr>
                  <w:szCs w:val="21"/>
                </w:rPr>
              </w:pPr>
              <w:r>
                <w:rPr>
                  <w:rFonts w:hint="eastAsia"/>
                  <w:szCs w:val="21"/>
                </w:rPr>
                <w:t xml:space="preserve"> （1）如果该金融工具的信用风险自初始确认后并未显著增加，处于第一阶段，则按照相当于该金融工具未来12个月内预期信用损失的金额计量其损失准备，并按照账面余额和实际利率计算利息收入。</w:t>
              </w:r>
            </w:p>
            <w:p>
              <w:pPr>
                <w:spacing w:line="400" w:lineRule="exact"/>
                <w:ind w:firstLine="200"/>
                <w:rPr>
                  <w:szCs w:val="21"/>
                </w:rPr>
              </w:pPr>
              <w:r>
                <w:rPr>
                  <w:rFonts w:hint="eastAsia"/>
                  <w:szCs w:val="21"/>
                </w:rPr>
                <w:t xml:space="preserve"> （2）如果该金融工具的信用风险自初始确认后已显著增加但尚未发生信用减值的，处于第二阶段，则按照相当于该金融工具整个存续期内预期信用损失的金额计量其损失准备，并按照账面余额和实际利率计算利息收入。</w:t>
              </w:r>
            </w:p>
            <w:p>
              <w:pPr>
                <w:spacing w:line="400" w:lineRule="exact"/>
                <w:ind w:firstLine="200"/>
                <w:rPr>
                  <w:szCs w:val="21"/>
                </w:rPr>
              </w:pPr>
              <w:r>
                <w:rPr>
                  <w:rFonts w:hint="eastAsia"/>
                  <w:szCs w:val="21"/>
                </w:rPr>
                <w:t xml:space="preserve"> （3）如果该金融工具自初始确认后已经发生信用减值的，处于第三阶段，本公司按照相当于该金融工具整个存续期内预期信用损失的金额计量其损失准备，并按照摊余成本和实际利率计算利息收入。</w:t>
              </w:r>
            </w:p>
            <w:p>
              <w:pPr>
                <w:spacing w:line="400" w:lineRule="exact"/>
                <w:ind w:firstLine="200"/>
                <w:rPr>
                  <w:szCs w:val="21"/>
                </w:rPr>
              </w:pPr>
              <w:r>
                <w:rPr>
                  <w:rFonts w:hint="eastAsia"/>
                  <w:szCs w:val="21"/>
                </w:rPr>
                <w:t xml:space="preserve">  金融工具信用损失准备的增加或转回金额，作为减值损失或利得计入当期损益。除分类为以公允价值计量且其变动计入其他综合收益的金融资产外，信用损失准备抵减金融资产的账面余额。对于分类为以公允价值计量且其变动计入其他综合收益的金融资产，本公司在其他综合收益中确认其信用损失准备，不减少该金融资产在资产负债表中列示的账面价值。</w:t>
              </w:r>
            </w:p>
            <w:p>
              <w:pPr>
                <w:spacing w:line="400" w:lineRule="exact"/>
                <w:ind w:firstLine="200"/>
                <w:rPr>
                  <w:szCs w:val="21"/>
                </w:rPr>
              </w:pPr>
              <w:r>
                <w:rPr>
                  <w:rFonts w:hint="eastAsia"/>
                  <w:szCs w:val="21"/>
                </w:rPr>
                <w:t xml:space="preserve">  本公司在前一会计期间已经按照相当于金融工具整个存续期内预期信用损失的金额计量了损失准备，但在当期资产负债表日，该金融工具已不再属于自初始确认后信用风险显著增加的情形的，本公司在当期资产负债表日按照相当于未来12个月内预期信用损失的金额计量该金融工具的损失准备，由此形成的损失准备的转回金额作为减值利得计入当期损益。</w:t>
              </w:r>
            </w:p>
            <w:p>
              <w:pPr>
                <w:spacing w:line="400" w:lineRule="exact"/>
                <w:ind w:firstLine="200"/>
                <w:rPr>
                  <w:szCs w:val="21"/>
                </w:rPr>
              </w:pPr>
              <w:r>
                <w:rPr>
                  <w:rFonts w:hint="eastAsia"/>
                  <w:szCs w:val="21"/>
                </w:rPr>
                <w:t xml:space="preserve">  （1）信用风险显著增加</w:t>
              </w:r>
            </w:p>
            <w:p>
              <w:pPr>
                <w:spacing w:line="400" w:lineRule="exact"/>
                <w:ind w:firstLine="200"/>
                <w:rPr>
                  <w:szCs w:val="21"/>
                </w:rPr>
              </w:pPr>
              <w:r>
                <w:rPr>
                  <w:rFonts w:hint="eastAsia"/>
                  <w:szCs w:val="21"/>
                </w:rPr>
                <w:t xml:space="preserve">  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pPr>
                <w:spacing w:line="400" w:lineRule="exact"/>
                <w:ind w:firstLine="200"/>
                <w:rPr>
                  <w:szCs w:val="21"/>
                </w:rPr>
              </w:pPr>
              <w:r>
                <w:rPr>
                  <w:rFonts w:hint="eastAsia"/>
                  <w:szCs w:val="21"/>
                </w:rPr>
                <w:t>本公司在评估信用风险是否显著增加时会考虑如下因素：</w:t>
              </w:r>
            </w:p>
            <w:p>
              <w:pPr>
                <w:spacing w:line="400" w:lineRule="exact"/>
                <w:ind w:firstLine="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）债务人经营成果实际或预期是否发生显著变化；</w:t>
              </w:r>
            </w:p>
            <w:p>
              <w:pPr>
                <w:spacing w:line="400" w:lineRule="exact"/>
                <w:ind w:firstLine="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）债务人所处的监管、经济或技术环境是否发生显著不利变化；</w:t>
              </w:r>
            </w:p>
            <w:p>
              <w:pPr>
                <w:spacing w:line="400" w:lineRule="exact"/>
                <w:ind w:firstLine="200"/>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）作为债务抵押的担保物价值或第三方提供的担保或信用增级质量是否发生显著变化，这些变化预期将降低债务人按合同规定期限还款的经济动机或者影响违约概率；</w:t>
              </w:r>
            </w:p>
            <w:p>
              <w:pPr>
                <w:spacing w:line="400" w:lineRule="exact"/>
                <w:ind w:firstLine="200"/>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）债务人预期表现和还款行为是否发生显著变化；</w:t>
              </w:r>
            </w:p>
            <w:p>
              <w:pPr>
                <w:spacing w:line="400" w:lineRule="exact"/>
                <w:ind w:firstLine="200"/>
                <w:rPr>
                  <w:rFonts w:ascii="Times New Roman" w:hAnsi="Times New Roman" w:cs="Times New Roman"/>
                  <w:szCs w:val="21"/>
                </w:rPr>
              </w:pPr>
              <w:r>
                <w:rPr>
                  <w:rFonts w:ascii="Times New Roman" w:hAnsi="Times New Roman" w:cs="Times New Roman"/>
                  <w:szCs w:val="21"/>
                </w:rPr>
                <w:t>5</w:t>
              </w:r>
              <w:r>
                <w:rPr>
                  <w:rFonts w:ascii="Times New Roman" w:cs="Times New Roman"/>
                  <w:szCs w:val="21"/>
                </w:rPr>
                <w:t>）本公司对金融工具信用管理方法是否发生变化等。</w:t>
              </w:r>
            </w:p>
            <w:p>
              <w:pPr>
                <w:spacing w:line="400" w:lineRule="exact"/>
                <w:ind w:firstLine="200"/>
                <w:rPr>
                  <w:szCs w:val="21"/>
                </w:rPr>
              </w:pPr>
              <w:r>
                <w:rPr>
                  <w:rFonts w:ascii="Times New Roman" w:cs="Times New Roman"/>
                  <w:szCs w:val="21"/>
                </w:rPr>
                <w:t>于</w:t>
              </w:r>
              <w:r>
                <w:rPr>
                  <w:rFonts w:hint="eastAsia"/>
                  <w:szCs w:val="21"/>
                </w:rPr>
                <w:t>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流量义务的能力，则该金融工具被视为具有较低的信用风险。</w:t>
              </w:r>
            </w:p>
            <w:p>
              <w:pPr>
                <w:spacing w:line="400" w:lineRule="exact"/>
                <w:ind w:firstLine="200"/>
                <w:rPr>
                  <w:rFonts w:ascii="Times New Roman" w:hAnsi="Times New Roman" w:cs="Times New Roman"/>
                  <w:szCs w:val="21"/>
                </w:rPr>
              </w:pPr>
              <w:r>
                <w:rPr>
                  <w:rFonts w:hint="eastAsia"/>
                  <w:szCs w:val="21"/>
                </w:rPr>
                <w:t>（</w:t>
              </w:r>
              <w:r>
                <w:rPr>
                  <w:rFonts w:ascii="Times New Roman" w:hAnsi="Times New Roman" w:cs="Times New Roman"/>
                  <w:szCs w:val="21"/>
                </w:rPr>
                <w:t>2</w:t>
              </w:r>
              <w:r>
                <w:rPr>
                  <w:rFonts w:ascii="Times New Roman" w:cs="Times New Roman"/>
                  <w:szCs w:val="21"/>
                </w:rPr>
                <w:t>）已发生信用减值的金融资产</w:t>
              </w:r>
            </w:p>
            <w:p>
              <w:pPr>
                <w:spacing w:line="400" w:lineRule="exact"/>
                <w:ind w:firstLine="200"/>
                <w:rPr>
                  <w:rFonts w:ascii="Times New Roman" w:hAnsi="Times New Roman" w:cs="Times New Roman"/>
                  <w:szCs w:val="21"/>
                </w:rPr>
              </w:pPr>
              <w:r>
                <w:rPr>
                  <w:rFonts w:ascii="Times New Roman" w:cs="Times New Roman"/>
                  <w:szCs w:val="21"/>
                </w:rPr>
                <w:t>当对金融资产预期未来现金流量具有不利影响的一项或多项事件发生时，该金融资产成为已发生信用减值的金融资产。金融资产已发生信用减值的证据包括下列可观察信息：</w:t>
              </w:r>
            </w:p>
            <w:p>
              <w:pPr>
                <w:spacing w:line="400" w:lineRule="exact"/>
                <w:ind w:firstLine="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）发行方或债务人发生重大财务困难；</w:t>
              </w:r>
            </w:p>
            <w:p>
              <w:pPr>
                <w:spacing w:line="400" w:lineRule="exact"/>
                <w:ind w:firstLine="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）债务人违反合同，如偿付利息或本金违约或逾期等；</w:t>
              </w:r>
            </w:p>
            <w:p>
              <w:pPr>
                <w:spacing w:line="400" w:lineRule="exact"/>
                <w:ind w:firstLine="200"/>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）债权人出于与债务人财务困难有关的经济或合同考虑，给予债务人在任何其他情况下都不会做出的让步；</w:t>
              </w:r>
            </w:p>
            <w:p>
              <w:pPr>
                <w:spacing w:line="400" w:lineRule="exact"/>
                <w:ind w:firstLine="200"/>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）债务人很可能破产或进行其他财务重组；</w:t>
              </w:r>
            </w:p>
            <w:p>
              <w:pPr>
                <w:spacing w:line="400" w:lineRule="exact"/>
                <w:ind w:firstLine="200"/>
                <w:rPr>
                  <w:rFonts w:ascii="Times New Roman" w:hAnsi="Times New Roman" w:cs="Times New Roman"/>
                  <w:szCs w:val="21"/>
                </w:rPr>
              </w:pPr>
              <w:r>
                <w:rPr>
                  <w:rFonts w:ascii="Times New Roman" w:hAnsi="Times New Roman" w:cs="Times New Roman"/>
                  <w:szCs w:val="21"/>
                </w:rPr>
                <w:t>5</w:t>
              </w:r>
              <w:r>
                <w:rPr>
                  <w:rFonts w:ascii="Times New Roman" w:cs="Times New Roman"/>
                  <w:szCs w:val="21"/>
                </w:rPr>
                <w:t>）发行方或债务人财务困难导致该金融资产的活跃市场消失；</w:t>
              </w:r>
            </w:p>
            <w:p>
              <w:pPr>
                <w:spacing w:line="400" w:lineRule="exact"/>
                <w:ind w:firstLine="200"/>
                <w:rPr>
                  <w:rFonts w:ascii="Times New Roman" w:hAnsi="Times New Roman" w:cs="Times New Roman"/>
                  <w:szCs w:val="21"/>
                </w:rPr>
              </w:pPr>
              <w:r>
                <w:rPr>
                  <w:rFonts w:ascii="Times New Roman" w:hAnsi="Times New Roman" w:cs="Times New Roman"/>
                  <w:szCs w:val="21"/>
                </w:rPr>
                <w:t>6</w:t>
              </w:r>
              <w:r>
                <w:rPr>
                  <w:rFonts w:ascii="Times New Roman" w:cs="Times New Roman"/>
                  <w:szCs w:val="21"/>
                </w:rPr>
                <w:t>）以大幅折扣购买或源生一项金融资产，该折扣反映了发生信用损失的事实。</w:t>
              </w:r>
            </w:p>
            <w:p>
              <w:pPr>
                <w:spacing w:line="400" w:lineRule="exact"/>
                <w:ind w:firstLine="200"/>
                <w:rPr>
                  <w:rFonts w:ascii="Times New Roman" w:hAnsi="Times New Roman" w:cs="Times New Roman"/>
                  <w:szCs w:val="21"/>
                </w:rPr>
              </w:pPr>
              <w:r>
                <w:rPr>
                  <w:rFonts w:ascii="Times New Roman" w:cs="Times New Roman"/>
                  <w:szCs w:val="21"/>
                </w:rPr>
                <w:t>金融资产发生信用减值，有可能是多个事件的共同作用所致，未必是可单独识别的事件所致。</w:t>
              </w:r>
            </w:p>
            <w:p>
              <w:pPr>
                <w:spacing w:line="400" w:lineRule="exact"/>
                <w:ind w:firstLine="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3</w:t>
              </w:r>
              <w:r>
                <w:rPr>
                  <w:rFonts w:ascii="Times New Roman" w:cs="Times New Roman"/>
                  <w:szCs w:val="21"/>
                </w:rPr>
                <w:t>）预期信用损失的确定</w:t>
              </w:r>
            </w:p>
            <w:p>
              <w:pPr>
                <w:spacing w:line="400" w:lineRule="exact"/>
                <w:ind w:firstLine="426"/>
                <w:rPr>
                  <w:rFonts w:ascii="Times New Roman" w:hAnsi="Times New Roman" w:cs="Times New Roman"/>
                  <w:szCs w:val="21"/>
                </w:rPr>
              </w:pPr>
              <w:r>
                <w:rPr>
                  <w:rFonts w:ascii="Times New Roman" w:cs="Times New Roman"/>
                  <w:szCs w:val="21"/>
                </w:rPr>
                <w:t>本公司基于单项和组合评估金融工具的预期信用损失，在评估预期信用损失时，考虑有关过去事项、当前状况以及未来经济状况预测的合理且有依据的信息。</w:t>
              </w:r>
            </w:p>
            <w:p>
              <w:pPr>
                <w:spacing w:line="400" w:lineRule="exact"/>
                <w:ind w:firstLine="426"/>
                <w:rPr>
                  <w:rFonts w:ascii="Times New Roman" w:hAnsi="Times New Roman" w:cs="Times New Roman"/>
                  <w:szCs w:val="21"/>
                </w:rPr>
              </w:pPr>
              <w:r>
                <w:rPr>
                  <w:rFonts w:ascii="Times New Roman" w:cs="Times New Roman"/>
                  <w:szCs w:val="21"/>
                </w:rPr>
                <w:t>本公司以共同信用风险特征为依据，将金融工具分为不同组合。本公司采用的共同信用风险特征包括：金融工具类型、信用风险评级、账龄组合等。相关金融工具的单项评估标准和组合信用风险特征详见相关金融工具的会计政策。</w:t>
              </w:r>
            </w:p>
            <w:p>
              <w:pPr>
                <w:spacing w:line="400" w:lineRule="exact"/>
                <w:ind w:firstLine="426"/>
                <w:rPr>
                  <w:szCs w:val="21"/>
                </w:rPr>
              </w:pPr>
              <w:r>
                <w:rPr>
                  <w:rFonts w:ascii="Times New Roman" w:cs="Times New Roman"/>
                  <w:szCs w:val="21"/>
                </w:rPr>
                <w:t>本公司按照下列方法确定相</w:t>
              </w:r>
              <w:r>
                <w:rPr>
                  <w:rFonts w:hint="eastAsia"/>
                  <w:szCs w:val="21"/>
                </w:rPr>
                <w:t>关金融工具的预期信用损失：</w:t>
              </w:r>
            </w:p>
            <w:p>
              <w:pPr>
                <w:spacing w:line="400" w:lineRule="exact"/>
                <w:ind w:firstLine="426"/>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）对于金融资产，信用损失为本公司应收取的合同现金流量与预期收取的现金流量之间差额的现值。</w:t>
              </w:r>
            </w:p>
            <w:p>
              <w:pPr>
                <w:spacing w:line="400" w:lineRule="exact"/>
                <w:ind w:firstLine="426"/>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）对于财务担保合同，信用损失为本公司就该合同持有人发生的信用损失向其做出赔付的预计付款额，减去本公司预期向该合同持有人、债务人或任何其他方收取的金额之间差额的现值。</w:t>
              </w:r>
            </w:p>
            <w:p>
              <w:pPr>
                <w:spacing w:line="400" w:lineRule="exact"/>
                <w:ind w:firstLine="426"/>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）对于资产负债表日已发生信用减值但并非购买或源生已发生信用减值的金融资产，信用损失为该金融资产账面余额与按原实际利率折现的估计未来现金流量的现值之间的差额。</w:t>
              </w:r>
            </w:p>
            <w:p>
              <w:pPr>
                <w:spacing w:line="400" w:lineRule="exact"/>
                <w:ind w:firstLine="426"/>
                <w:rPr>
                  <w:rFonts w:ascii="Times New Roman" w:hAnsi="Times New Roman" w:cs="Times New Roman"/>
                  <w:szCs w:val="21"/>
                </w:rPr>
              </w:pPr>
              <w:r>
                <w:rPr>
                  <w:rFonts w:ascii="Times New Roman" w:cs="Times New Roman"/>
                  <w:szCs w:val="21"/>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pPr>
                <w:spacing w:line="400" w:lineRule="exact"/>
                <w:ind w:firstLine="200"/>
                <w:rPr>
                  <w:rFonts w:ascii="Times New Roman" w:hAnsi="Times New Roman" w:cs="Times New Roman"/>
                  <w:szCs w:val="21"/>
                </w:rPr>
              </w:pPr>
              <w:r>
                <w:rPr>
                  <w:rFonts w:hint="eastAsia" w:ascii="Times New Roman" w:cs="Times New Roman"/>
                  <w:szCs w:val="21"/>
                </w:rPr>
                <w:t xml:space="preserve"> </w:t>
              </w:r>
              <w:r>
                <w:rPr>
                  <w:rFonts w:ascii="Times New Roman" w:cs="Times New Roman"/>
                  <w:szCs w:val="21"/>
                </w:rPr>
                <w:t>（</w:t>
              </w:r>
              <w:r>
                <w:rPr>
                  <w:rFonts w:ascii="Times New Roman" w:hAnsi="Times New Roman" w:cs="Times New Roman"/>
                  <w:szCs w:val="21"/>
                </w:rPr>
                <w:t>4</w:t>
              </w:r>
              <w:r>
                <w:rPr>
                  <w:rFonts w:ascii="Times New Roman" w:cs="Times New Roman"/>
                  <w:szCs w:val="21"/>
                </w:rPr>
                <w:t>）减记金融资产</w:t>
              </w:r>
            </w:p>
            <w:p>
              <w:pPr>
                <w:spacing w:line="400" w:lineRule="exact"/>
                <w:ind w:firstLine="200"/>
                <w:rPr>
                  <w:rFonts w:ascii="Times New Roman" w:hAnsi="Times New Roman" w:cs="Times New Roman"/>
                  <w:szCs w:val="21"/>
                </w:rPr>
              </w:pPr>
              <w:r>
                <w:rPr>
                  <w:rFonts w:hint="eastAsia" w:ascii="Times New Roman" w:cs="Times New Roman"/>
                  <w:szCs w:val="21"/>
                </w:rPr>
                <w:t xml:space="preserve">  </w:t>
              </w:r>
              <w:r>
                <w:rPr>
                  <w:rFonts w:ascii="Times New Roman" w:cs="Times New Roman"/>
                  <w:szCs w:val="21"/>
                </w:rPr>
                <w:t>当本公司不再合理预期金融资产合同现金流量能够全部或部分收回的，直接减记该金融资产的账面余额。这种减记构成相关金融资产的终止确认。</w:t>
              </w:r>
            </w:p>
            <w:p>
              <w:pPr>
                <w:pStyle w:val="55"/>
                <w:numPr>
                  <w:ilvl w:val="0"/>
                  <w:numId w:val="64"/>
                </w:numPr>
                <w:spacing w:line="400" w:lineRule="exact"/>
                <w:ind w:firstLineChars="0"/>
                <w:rPr>
                  <w:rFonts w:ascii="Times New Roman" w:hAnsi="Times New Roman"/>
                  <w:b/>
                  <w:szCs w:val="21"/>
                </w:rPr>
              </w:pPr>
              <w:r>
                <w:rPr>
                  <w:rFonts w:ascii="Times New Roman"/>
                  <w:b/>
                  <w:szCs w:val="21"/>
                </w:rPr>
                <w:t>金融资产及金融负债的抵销</w:t>
              </w:r>
            </w:p>
            <w:p>
              <w:pPr>
                <w:spacing w:line="400" w:lineRule="exact"/>
                <w:ind w:firstLine="200"/>
                <w:rPr>
                  <w:rFonts w:ascii="Times New Roman" w:hAnsi="Times New Roman" w:cs="Times New Roman"/>
                  <w:szCs w:val="21"/>
                </w:rPr>
              </w:pPr>
              <w:r>
                <w:rPr>
                  <w:rFonts w:hint="eastAsia" w:ascii="Times New Roman" w:cs="Times New Roman"/>
                  <w:szCs w:val="21"/>
                </w:rPr>
                <w:t xml:space="preserve">  </w:t>
              </w:r>
              <w:r>
                <w:rPr>
                  <w:rFonts w:ascii="Times New Roman" w:cs="Times New Roman"/>
                  <w:szCs w:val="21"/>
                </w:rPr>
                <w:t>金融资产和金融负债在资产负债表内分别列示，没有相互抵销。但是，同时满足下列条件的，以相互抵销后的净额在资产负债表内列示：</w:t>
              </w:r>
            </w:p>
            <w:p>
              <w:pPr>
                <w:spacing w:line="400" w:lineRule="exact"/>
                <w:ind w:firstLine="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）本公司具有抵销已确认金额的法定权利，且该种法定权利是当前可执行的；</w:t>
              </w:r>
            </w:p>
            <w:p>
              <w:pPr>
                <w:spacing w:line="400" w:lineRule="exact"/>
                <w:ind w:firstLine="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）本公司计划以净额结算，或同时变现该金融资产和清偿该金融负债。</w:t>
              </w:r>
            </w:p>
            <w:p>
              <w:pPr>
                <w:rPr>
                  <w:rFonts w:ascii="Times New Roman" w:hAnsi="Times New Roman" w:cs="Times New Roman"/>
                  <w:szCs w:val="21"/>
                </w:rPr>
              </w:pPr>
            </w:p>
          </w:sdtContent>
        </w:sdt>
        <w:p>
          <w:pPr>
            <w:rPr>
              <w:rFonts w:ascii="Times New Roman" w:hAnsi="Times New Roman" w:cs="Times New Roman"/>
              <w:szCs w:val="21"/>
            </w:rPr>
          </w:pPr>
        </w:p>
      </w:sdtContent>
    </w:sdt>
    <w:p>
      <w:pPr>
        <w:rPr>
          <w:rFonts w:ascii="Times New Roman" w:hAnsi="Times New Roman" w:cs="Times New Roman"/>
          <w:szCs w:val="21"/>
        </w:rPr>
      </w:pPr>
    </w:p>
    <w:p>
      <w:pPr>
        <w:pStyle w:val="4"/>
        <w:numPr>
          <w:ilvl w:val="0"/>
          <w:numId w:val="61"/>
        </w:numPr>
        <w:rPr>
          <w:rFonts w:ascii="Times New Roman" w:hAnsi="Times New Roman"/>
          <w:kern w:val="0"/>
          <w:szCs w:val="21"/>
        </w:rPr>
      </w:pPr>
      <w:bookmarkStart w:id="117" w:name="_Hlk533667757"/>
      <w:r>
        <w:rPr>
          <w:rFonts w:ascii="Times New Roman" w:hAnsi="宋体"/>
          <w:kern w:val="0"/>
          <w:szCs w:val="21"/>
        </w:rPr>
        <w:t>应收票据</w:t>
      </w:r>
    </w:p>
    <w:sdt>
      <w:sdtPr>
        <w:rPr>
          <w:rFonts w:hint="eastAsia" w:ascii="宋体" w:hAnsi="宋体" w:eastAsia="宋体" w:cs="宋体"/>
          <w:b w:val="0"/>
          <w:bCs w:val="0"/>
          <w:kern w:val="0"/>
          <w:szCs w:val="24"/>
        </w:rPr>
        <w:alias w:val="模块:应收票据的预期信用损失的确定方法及会计处理方法"/>
        <w:tag w:val="_SEC_362fa257dbf6485a955cc6289ec1ce23"/>
        <w:id w:val="865724073"/>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86572407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117"/>
    <w:sdt>
      <w:sdtPr>
        <w:rPr>
          <w:rFonts w:hint="eastAsia" w:ascii="宋体" w:hAnsi="宋体" w:cs="宋体"/>
          <w:b w:val="0"/>
          <w:bCs w:val="0"/>
          <w:kern w:val="0"/>
          <w:szCs w:val="21"/>
        </w:rPr>
        <w:alias w:val="模块:应收账款的预期信用损失的确定方法及会计处理方法"/>
        <w:tag w:val="_SEC_8c5112e0a6de47a6af2fe2c06199a1a9"/>
        <w:id w:val="865724076"/>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61"/>
            </w:numPr>
            <w:rPr>
              <w:rFonts w:ascii="宋体" w:hAnsi="宋体" w:cs="宋体"/>
              <w:kern w:val="0"/>
              <w:szCs w:val="21"/>
            </w:rPr>
          </w:pPr>
          <w:bookmarkStart w:id="118" w:name="_Hlk533667783"/>
          <w:r>
            <w:rPr>
              <w:rFonts w:hint="eastAsia" w:ascii="宋体" w:hAnsi="宋体" w:cs="宋体"/>
              <w:kern w:val="0"/>
              <w:szCs w:val="21"/>
            </w:rPr>
            <w:t>应收账款</w:t>
          </w:r>
        </w:p>
        <w:p>
          <w:pPr>
            <w:pStyle w:val="5"/>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86572407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kern w:val="0"/>
              <w:szCs w:val="24"/>
            </w:rPr>
            <w:alias w:val="应收账款的预期信用损失的确定方法及会计处理方法"/>
            <w:tag w:val="_GBC_b61c1c3012c24b9fb0994266a51aa85a"/>
            <w:id w:val="865724075"/>
            <w:lock w:val="sdtLocked"/>
            <w:placeholder>
              <w:docPart w:val="GBC22222222222222222222222222222"/>
            </w:placeholder>
          </w:sdtPr>
          <w:sdtEndPr>
            <w:rPr>
              <w:rFonts w:cs="宋体"/>
              <w:kern w:val="0"/>
              <w:szCs w:val="24"/>
            </w:rPr>
          </w:sdtEndPr>
          <w:sdtContent>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b/>
                </w:rPr>
              </w:pPr>
              <w:r>
                <w:rPr>
                  <w:rFonts w:hint="eastAsia" w:asciiTheme="minorEastAsia" w:hAnsiTheme="minorEastAsia" w:eastAsiaTheme="minorEastAsia"/>
                </w:rPr>
                <w:t>本公司对应收账款的预期信用损失的确定方法及会计处理方法详见</w:t>
              </w:r>
              <w:r>
                <w:rPr>
                  <w:rFonts w:hint="eastAsia" w:ascii="Times New Roman"/>
                </w:rPr>
                <w:t>“</w:t>
              </w:r>
              <w:r>
                <w:rPr>
                  <w:rFonts w:hint="eastAsia"/>
                </w:rPr>
                <w:t>五、重要会计政策及会计估计</w:t>
              </w:r>
              <w:r>
                <w:rPr>
                  <w:rFonts w:hint="eastAsia" w:ascii="Times New Roman"/>
                </w:rPr>
                <w:t>之</w:t>
              </w:r>
              <w:r>
                <w:rPr>
                  <w:rFonts w:ascii="Times New Roman"/>
                </w:rPr>
                <w:t>10.</w:t>
              </w:r>
              <w:r>
                <w:rPr>
                  <w:rFonts w:hint="eastAsia" w:ascii="Times New Roman"/>
                </w:rPr>
                <w:t>金融工具减值”。</w:t>
              </w:r>
            </w:p>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本公司对有客观证据表明其发生损失的应收账款单独确定其信用损失。</w:t>
              </w:r>
            </w:p>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sz w:val="24"/>
                  <w:szCs w:val="24"/>
                </w:rPr>
              </w:pPr>
              <w:r>
                <w:rPr>
                  <w:rFonts w:hint="eastAsia" w:asciiTheme="minorEastAsia" w:hAnsiTheme="minorEastAsia" w:eastAsiaTheme="minorEastAsia"/>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r>
                <w:rPr>
                  <w:rFonts w:hint="eastAsia" w:asciiTheme="minorEastAsia" w:hAnsiTheme="minorEastAsia" w:eastAsiaTheme="minorEastAsia"/>
                  <w:sz w:val="24"/>
                  <w:szCs w:val="24"/>
                </w:rPr>
                <w:t>：</w:t>
              </w:r>
            </w:p>
            <w:tbl>
              <w:tblPr>
                <w:tblStyle w:val="10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68"/>
                <w:gridCol w:w="1924"/>
                <w:gridCol w:w="493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668" w:type="dxa"/>
                    <w:shd w:val="clear" w:color="auto" w:fill="auto"/>
                    <w:vAlign w:val="center"/>
                  </w:tcPr>
                  <w:p>
                    <w:pPr>
                      <w:widowControl w:val="0"/>
                      <w:tabs>
                        <w:tab w:val="left" w:pos="196"/>
                        <w:tab w:val="left" w:pos="426"/>
                      </w:tabs>
                      <w:snapToGrid w:val="0"/>
                      <w:spacing w:line="480" w:lineRule="exact"/>
                      <w:jc w:val="center"/>
                      <w:rPr>
                        <w:rFonts w:ascii="Arial Narrow" w:hAnsi="Arial Narrow"/>
                        <w:sz w:val="18"/>
                        <w:szCs w:val="18"/>
                      </w:rPr>
                    </w:pPr>
                    <w:r>
                      <w:rPr>
                        <w:rFonts w:hint="eastAsia" w:ascii="Arial Narrow" w:hAnsi="Arial Narrow"/>
                        <w:sz w:val="18"/>
                        <w:szCs w:val="18"/>
                      </w:rPr>
                      <w:t>组合名称</w:t>
                    </w:r>
                  </w:p>
                </w:tc>
                <w:tc>
                  <w:tcPr>
                    <w:tcW w:w="1924" w:type="dxa"/>
                    <w:shd w:val="clear" w:color="auto" w:fill="auto"/>
                    <w:vAlign w:val="center"/>
                  </w:tcPr>
                  <w:p>
                    <w:pPr>
                      <w:widowControl w:val="0"/>
                      <w:tabs>
                        <w:tab w:val="left" w:pos="196"/>
                        <w:tab w:val="left" w:pos="426"/>
                      </w:tabs>
                      <w:snapToGrid w:val="0"/>
                      <w:spacing w:line="480" w:lineRule="exact"/>
                      <w:jc w:val="center"/>
                      <w:rPr>
                        <w:rFonts w:ascii="Arial Narrow" w:hAnsi="Arial Narrow"/>
                        <w:sz w:val="18"/>
                        <w:szCs w:val="18"/>
                      </w:rPr>
                    </w:pPr>
                    <w:r>
                      <w:rPr>
                        <w:rFonts w:hint="eastAsia" w:ascii="Arial Narrow" w:hAnsi="Arial Narrow"/>
                        <w:sz w:val="18"/>
                        <w:szCs w:val="18"/>
                      </w:rPr>
                      <w:t>确定组合的依据</w:t>
                    </w:r>
                  </w:p>
                </w:tc>
                <w:tc>
                  <w:tcPr>
                    <w:tcW w:w="4936" w:type="dxa"/>
                    <w:vAlign w:val="center"/>
                  </w:tcPr>
                  <w:p>
                    <w:pPr>
                      <w:widowControl w:val="0"/>
                      <w:tabs>
                        <w:tab w:val="left" w:pos="196"/>
                        <w:tab w:val="left" w:pos="426"/>
                      </w:tabs>
                      <w:snapToGrid w:val="0"/>
                      <w:spacing w:line="480" w:lineRule="exact"/>
                      <w:jc w:val="center"/>
                      <w:rPr>
                        <w:rFonts w:ascii="Arial Narrow" w:hAnsi="Arial Narrow"/>
                        <w:sz w:val="18"/>
                        <w:szCs w:val="18"/>
                      </w:rPr>
                    </w:pPr>
                    <w:r>
                      <w:rPr>
                        <w:rFonts w:hint="eastAsia" w:ascii="Arial Narrow" w:hAnsi="Arial Narrow"/>
                        <w:sz w:val="18"/>
                        <w:szCs w:val="18"/>
                      </w:rPr>
                      <w:t>计提方法</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668" w:type="dxa"/>
                    <w:shd w:val="clear" w:color="auto" w:fill="auto"/>
                    <w:vAlign w:val="center"/>
                  </w:tcPr>
                  <w:p>
                    <w:pPr>
                      <w:widowControl w:val="0"/>
                      <w:tabs>
                        <w:tab w:val="left" w:pos="196"/>
                        <w:tab w:val="left" w:pos="426"/>
                      </w:tabs>
                      <w:snapToGrid w:val="0"/>
                      <w:spacing w:line="400" w:lineRule="exact"/>
                      <w:jc w:val="center"/>
                      <w:rPr>
                        <w:rFonts w:ascii="Arial Narrow" w:hAnsi="Arial Narrow"/>
                        <w:sz w:val="18"/>
                        <w:szCs w:val="18"/>
                      </w:rPr>
                    </w:pPr>
                    <w:r>
                      <w:rPr>
                        <w:rFonts w:hint="eastAsia" w:ascii="Arial Narrow" w:hAnsi="Arial Narrow"/>
                        <w:sz w:val="18"/>
                        <w:szCs w:val="18"/>
                      </w:rPr>
                      <w:t>合并范围内关联往来组合</w:t>
                    </w:r>
                  </w:p>
                </w:tc>
                <w:tc>
                  <w:tcPr>
                    <w:tcW w:w="1924" w:type="dxa"/>
                    <w:shd w:val="clear" w:color="auto" w:fill="auto"/>
                    <w:vAlign w:val="center"/>
                  </w:tcPr>
                  <w:p>
                    <w:pPr>
                      <w:widowControl w:val="0"/>
                      <w:tabs>
                        <w:tab w:val="left" w:pos="196"/>
                        <w:tab w:val="left" w:pos="426"/>
                      </w:tabs>
                      <w:snapToGrid w:val="0"/>
                      <w:spacing w:line="400" w:lineRule="exact"/>
                      <w:jc w:val="both"/>
                      <w:rPr>
                        <w:rFonts w:ascii="Arial Narrow" w:hAnsi="Arial Narrow"/>
                        <w:sz w:val="18"/>
                        <w:szCs w:val="18"/>
                      </w:rPr>
                    </w:pPr>
                    <w:r>
                      <w:rPr>
                        <w:rFonts w:hint="eastAsia" w:ascii="Arial Narrow" w:hAnsi="Arial Narrow"/>
                        <w:sz w:val="18"/>
                        <w:szCs w:val="18"/>
                      </w:rPr>
                      <w:t>合并范围内关联方</w:t>
                    </w:r>
                  </w:p>
                </w:tc>
                <w:tc>
                  <w:tcPr>
                    <w:tcW w:w="4936" w:type="dxa"/>
                    <w:vAlign w:val="center"/>
                  </w:tcPr>
                  <w:p>
                    <w:pPr>
                      <w:widowControl w:val="0"/>
                      <w:tabs>
                        <w:tab w:val="left" w:pos="196"/>
                        <w:tab w:val="left" w:pos="426"/>
                      </w:tabs>
                      <w:snapToGrid w:val="0"/>
                      <w:spacing w:line="400" w:lineRule="exact"/>
                      <w:jc w:val="both"/>
                      <w:rPr>
                        <w:rFonts w:ascii="Arial Narrow" w:hAnsi="Arial Narrow"/>
                        <w:sz w:val="18"/>
                        <w:szCs w:val="18"/>
                      </w:rPr>
                    </w:pPr>
                    <w:r>
                      <w:rPr>
                        <w:rFonts w:hint="eastAsia" w:ascii="Arial Narrow" w:hAnsi="Arial Narrow"/>
                        <w:sz w:val="18"/>
                        <w:szCs w:val="18"/>
                      </w:rPr>
                      <w:t>参考历史信用损失经验，结合当前状况以及对未来经济状况的预测，按账龄与整个存续期预期信用损失率对照表计提。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668" w:type="dxa"/>
                    <w:shd w:val="clear" w:color="auto" w:fill="auto"/>
                    <w:vAlign w:val="center"/>
                  </w:tcPr>
                  <w:p>
                    <w:pPr>
                      <w:widowControl w:val="0"/>
                      <w:tabs>
                        <w:tab w:val="left" w:pos="196"/>
                        <w:tab w:val="left" w:pos="426"/>
                      </w:tabs>
                      <w:snapToGrid w:val="0"/>
                      <w:spacing w:line="400" w:lineRule="exact"/>
                      <w:jc w:val="both"/>
                      <w:rPr>
                        <w:rFonts w:ascii="Arial Narrow" w:hAnsi="Arial Narrow"/>
                        <w:sz w:val="18"/>
                        <w:szCs w:val="18"/>
                      </w:rPr>
                    </w:pPr>
                    <w:r>
                      <w:rPr>
                        <w:rFonts w:hint="eastAsia" w:ascii="Arial Narrow" w:hAnsi="Arial Narrow"/>
                        <w:sz w:val="18"/>
                        <w:szCs w:val="18"/>
                      </w:rPr>
                      <w:t>信用风险特征组合</w:t>
                    </w:r>
                  </w:p>
                </w:tc>
                <w:tc>
                  <w:tcPr>
                    <w:tcW w:w="1924" w:type="dxa"/>
                    <w:shd w:val="clear" w:color="auto" w:fill="auto"/>
                    <w:vAlign w:val="center"/>
                  </w:tcPr>
                  <w:p>
                    <w:pPr>
                      <w:widowControl w:val="0"/>
                      <w:tabs>
                        <w:tab w:val="left" w:pos="196"/>
                        <w:tab w:val="left" w:pos="426"/>
                      </w:tabs>
                      <w:snapToGrid w:val="0"/>
                      <w:spacing w:line="400" w:lineRule="exact"/>
                      <w:jc w:val="both"/>
                      <w:rPr>
                        <w:rFonts w:ascii="Arial Narrow" w:hAnsi="Arial Narrow"/>
                        <w:sz w:val="18"/>
                        <w:szCs w:val="18"/>
                      </w:rPr>
                    </w:pPr>
                    <w:r>
                      <w:rPr>
                        <w:rFonts w:hint="eastAsia" w:ascii="Arial Narrow" w:hAnsi="Arial Narrow"/>
                        <w:sz w:val="18"/>
                        <w:szCs w:val="18"/>
                      </w:rPr>
                      <w:t>应收款项账龄</w:t>
                    </w:r>
                  </w:p>
                </w:tc>
                <w:tc>
                  <w:tcPr>
                    <w:tcW w:w="4936" w:type="dxa"/>
                    <w:vAlign w:val="center"/>
                  </w:tcPr>
                  <w:p>
                    <w:pPr>
                      <w:widowControl w:val="0"/>
                      <w:tabs>
                        <w:tab w:val="left" w:pos="196"/>
                        <w:tab w:val="left" w:pos="426"/>
                      </w:tabs>
                      <w:snapToGrid w:val="0"/>
                      <w:spacing w:line="400" w:lineRule="exact"/>
                      <w:jc w:val="both"/>
                      <w:rPr>
                        <w:rFonts w:ascii="Arial Narrow" w:hAnsi="Arial Narrow"/>
                        <w:sz w:val="18"/>
                        <w:szCs w:val="18"/>
                      </w:rPr>
                    </w:pPr>
                    <w:r>
                      <w:rPr>
                        <w:rFonts w:hint="eastAsia" w:ascii="Arial Narrow" w:hAnsi="Arial Narrow"/>
                        <w:sz w:val="18"/>
                        <w:szCs w:val="18"/>
                      </w:rPr>
                      <w:t>参考历史信用损失经验，结合当前状况以及对未来经济状况的预测，按账龄与整个存续期预期信用损失率对照表计提。</w:t>
                    </w:r>
                  </w:p>
                </w:tc>
              </w:tr>
            </w:tbl>
            <w:p>
              <w:pPr>
                <w:rPr>
                  <w:szCs w:val="21"/>
                </w:rPr>
              </w:pPr>
            </w:p>
          </w:sdtContent>
        </w:sdt>
        <w:p>
          <w:pPr>
            <w:rPr>
              <w:szCs w:val="21"/>
            </w:rPr>
          </w:pPr>
        </w:p>
      </w:sdtContent>
    </w:sdt>
    <w:bookmarkEnd w:id="118"/>
    <w:sdt>
      <w:sdtPr>
        <w:rPr>
          <w:rFonts w:ascii="宋体" w:hAnsi="宋体" w:cs="宋体"/>
          <w:b w:val="0"/>
          <w:bCs w:val="0"/>
          <w:kern w:val="0"/>
          <w:szCs w:val="24"/>
        </w:rPr>
        <w:alias w:val="模块:应收款项融资"/>
        <w:tag w:val="_SEC_53a8085b738a461ab82c366601a4ec80"/>
        <w:id w:val="865724079"/>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61"/>
            </w:numPr>
          </w:pPr>
          <w:bookmarkStart w:id="119" w:name="_Hlk24102310"/>
          <w:r>
            <w:rPr>
              <w:rFonts w:hint="eastAsia"/>
            </w:rPr>
            <w:t>应收款项融资</w:t>
          </w:r>
        </w:p>
        <w:sdt>
          <w:sdtPr>
            <w:alias w:val="是否适用：应收款项融资_重要会计政策和估计[双击切换]"/>
            <w:tag w:val="_GBC_0096d3b0df9d4e67bcab21d747dee092"/>
            <w:id w:val="86572407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kern w:val="0"/>
              <w:szCs w:val="24"/>
            </w:rPr>
            <w:alias w:val="应收款项融资的核算方法"/>
            <w:tag w:val="_GBC_27b64041746346078945e1a510603b07"/>
            <w:id w:val="865724078"/>
            <w:lock w:val="sdtLocked"/>
            <w:placeholder>
              <w:docPart w:val="GBC22222222222222222222222222222"/>
            </w:placeholder>
          </w:sdtPr>
          <w:sdtEndPr>
            <w:rPr>
              <w:rFonts w:ascii="Times New Roman" w:hAnsi="Times New Roman" w:cs="Times New Roman"/>
              <w:kern w:val="0"/>
              <w:szCs w:val="24"/>
            </w:rPr>
          </w:sdtEndPr>
          <w:sdtContent>
            <w:p>
              <w:pPr>
                <w:pStyle w:val="113"/>
                <w:widowControl w:val="0"/>
                <w:tabs>
                  <w:tab w:val="left" w:pos="196"/>
                  <w:tab w:val="left" w:pos="426"/>
                </w:tabs>
                <w:spacing w:line="400" w:lineRule="exact"/>
                <w:ind w:left="0" w:leftChars="0" w:firstLine="420" w:firstLineChars="200"/>
                <w:jc w:val="both"/>
                <w:rPr>
                  <w:rFonts w:ascii="Times New Roman"/>
                </w:rPr>
              </w:pPr>
              <w:r>
                <w:rPr>
                  <w:rFonts w:hint="eastAsia" w:ascii="Times New Roman"/>
                </w:rPr>
                <w:t>本公司对应收款项融资的预期信用损失的确定方法及会计处理方法详见“</w:t>
              </w:r>
              <w:r>
                <w:rPr>
                  <w:rFonts w:hint="eastAsia"/>
                </w:rPr>
                <w:t>五、重要会计政策及会计估计</w:t>
              </w:r>
              <w:r>
                <w:rPr>
                  <w:rFonts w:hint="eastAsia" w:ascii="Times New Roman"/>
                </w:rPr>
                <w:t>之</w:t>
              </w:r>
              <w:r>
                <w:rPr>
                  <w:rFonts w:ascii="Times New Roman"/>
                </w:rPr>
                <w:t>10.</w:t>
              </w:r>
              <w:r>
                <w:rPr>
                  <w:rFonts w:hint="eastAsia" w:ascii="Times New Roman"/>
                </w:rPr>
                <w:t>金融工具减值”。</w:t>
              </w:r>
            </w:p>
            <w:p>
              <w:pPr>
                <w:pStyle w:val="113"/>
                <w:widowControl w:val="0"/>
                <w:tabs>
                  <w:tab w:val="left" w:pos="196"/>
                  <w:tab w:val="left" w:pos="426"/>
                </w:tabs>
                <w:spacing w:line="400" w:lineRule="exact"/>
                <w:ind w:left="0" w:leftChars="0" w:firstLine="420" w:firstLineChars="200"/>
                <w:jc w:val="both"/>
                <w:rPr>
                  <w:rFonts w:ascii="Times New Roman"/>
                </w:rPr>
              </w:pPr>
              <w:r>
                <w:rPr>
                  <w:rFonts w:hint="eastAsia" w:ascii="Times New Roman"/>
                </w:rPr>
                <w:t>当在单项工具层面无法以合理成本评估预期信用损失的充分证据时，本公司参考历史信用损失经验，结合当前状况以及对未来经济状况的判断，依据信用风险特征将</w:t>
              </w:r>
              <w:r>
                <w:rPr>
                  <w:rFonts w:hint="eastAsia" w:ascii="Times New Roman"/>
                </w:rPr>
                <w:tab/>
              </w:r>
              <w:r>
                <w:rPr>
                  <w:rFonts w:hint="eastAsia" w:ascii="Times New Roman"/>
                </w:rPr>
                <w:t>应收票据划分为若干组合，在组合基础上计算预期信用损失。确定组合的依据如下：</w:t>
              </w:r>
            </w:p>
            <w:tbl>
              <w:tblPr>
                <w:tblStyle w:val="10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01"/>
                <w:gridCol w:w="2091"/>
                <w:gridCol w:w="513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01" w:type="dxa"/>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sz w:val="18"/>
                        <w:szCs w:val="18"/>
                      </w:rPr>
                    </w:pPr>
                    <w:r>
                      <w:rPr>
                        <w:rFonts w:ascii="Times New Roman" w:hAnsi="Arial Narrow" w:cs="Times New Roman"/>
                        <w:sz w:val="18"/>
                        <w:szCs w:val="18"/>
                      </w:rPr>
                      <w:t>组合名称</w:t>
                    </w:r>
                  </w:p>
                </w:tc>
                <w:tc>
                  <w:tcPr>
                    <w:tcW w:w="2091" w:type="dxa"/>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sz w:val="18"/>
                        <w:szCs w:val="18"/>
                      </w:rPr>
                    </w:pPr>
                    <w:r>
                      <w:rPr>
                        <w:rFonts w:ascii="Times New Roman" w:hAnsi="Arial Narrow" w:cs="Times New Roman"/>
                        <w:sz w:val="18"/>
                        <w:szCs w:val="18"/>
                      </w:rPr>
                      <w:t>确定组合的依据</w:t>
                    </w:r>
                  </w:p>
                </w:tc>
                <w:tc>
                  <w:tcPr>
                    <w:tcW w:w="5136" w:type="dxa"/>
                    <w:vAlign w:val="center"/>
                  </w:tcPr>
                  <w:p>
                    <w:pPr>
                      <w:widowControl w:val="0"/>
                      <w:tabs>
                        <w:tab w:val="left" w:pos="196"/>
                        <w:tab w:val="left" w:pos="426"/>
                      </w:tabs>
                      <w:snapToGrid w:val="0"/>
                      <w:spacing w:line="480" w:lineRule="exact"/>
                      <w:jc w:val="center"/>
                      <w:rPr>
                        <w:rFonts w:ascii="Times New Roman" w:hAnsi="Times New Roman" w:cs="Times New Roman"/>
                        <w:sz w:val="18"/>
                        <w:szCs w:val="18"/>
                      </w:rPr>
                    </w:pPr>
                    <w:r>
                      <w:rPr>
                        <w:rFonts w:ascii="Times New Roman" w:hAnsi="Arial Narrow" w:cs="Times New Roman"/>
                        <w:sz w:val="18"/>
                        <w:szCs w:val="18"/>
                      </w:rPr>
                      <w:t>计提方法</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01" w:type="dxa"/>
                    <w:shd w:val="clear" w:color="auto" w:fill="auto"/>
                    <w:vAlign w:val="center"/>
                  </w:tcPr>
                  <w:p>
                    <w:pPr>
                      <w:widowControl w:val="0"/>
                      <w:tabs>
                        <w:tab w:val="left" w:pos="196"/>
                        <w:tab w:val="left" w:pos="426"/>
                      </w:tabs>
                      <w:snapToGrid w:val="0"/>
                      <w:spacing w:line="480" w:lineRule="exact"/>
                      <w:jc w:val="both"/>
                      <w:rPr>
                        <w:rFonts w:ascii="Times New Roman" w:hAnsi="Times New Roman" w:cs="Times New Roman"/>
                        <w:sz w:val="18"/>
                        <w:szCs w:val="18"/>
                      </w:rPr>
                    </w:pPr>
                    <w:r>
                      <w:rPr>
                        <w:rFonts w:ascii="Times New Roman" w:hAnsi="Arial Narrow" w:cs="Times New Roman"/>
                        <w:sz w:val="18"/>
                        <w:szCs w:val="18"/>
                      </w:rPr>
                      <w:t>银行承兑汇票</w:t>
                    </w:r>
                  </w:p>
                </w:tc>
                <w:tc>
                  <w:tcPr>
                    <w:tcW w:w="2091" w:type="dxa"/>
                    <w:shd w:val="clear" w:color="auto" w:fill="auto"/>
                    <w:vAlign w:val="center"/>
                  </w:tcPr>
                  <w:p>
                    <w:pPr>
                      <w:widowControl w:val="0"/>
                      <w:tabs>
                        <w:tab w:val="left" w:pos="196"/>
                        <w:tab w:val="left" w:pos="426"/>
                      </w:tabs>
                      <w:snapToGrid w:val="0"/>
                      <w:spacing w:line="480" w:lineRule="exact"/>
                      <w:jc w:val="both"/>
                      <w:rPr>
                        <w:rFonts w:ascii="Times New Roman" w:hAnsi="Times New Roman" w:cs="Times New Roman"/>
                        <w:sz w:val="18"/>
                        <w:szCs w:val="18"/>
                      </w:rPr>
                    </w:pPr>
                    <w:r>
                      <w:rPr>
                        <w:rFonts w:ascii="Times New Roman" w:hAnsi="Arial Narrow" w:cs="Times New Roman"/>
                        <w:sz w:val="18"/>
                        <w:szCs w:val="18"/>
                      </w:rPr>
                      <w:t>信用风险较低银行</w:t>
                    </w:r>
                  </w:p>
                </w:tc>
                <w:tc>
                  <w:tcPr>
                    <w:tcW w:w="5136" w:type="dxa"/>
                    <w:vAlign w:val="center"/>
                  </w:tcPr>
                  <w:p>
                    <w:pPr>
                      <w:widowControl w:val="0"/>
                      <w:tabs>
                        <w:tab w:val="left" w:pos="196"/>
                        <w:tab w:val="left" w:pos="426"/>
                      </w:tabs>
                      <w:snapToGrid w:val="0"/>
                      <w:spacing w:line="480" w:lineRule="exact"/>
                      <w:jc w:val="both"/>
                      <w:rPr>
                        <w:rFonts w:ascii="Times New Roman" w:hAnsi="Times New Roman" w:cs="Times New Roman"/>
                        <w:sz w:val="18"/>
                        <w:szCs w:val="18"/>
                      </w:rPr>
                    </w:pPr>
                    <w:r>
                      <w:rPr>
                        <w:rFonts w:ascii="Times New Roman" w:hAnsi="Arial Narrow" w:cs="Times New Roman"/>
                        <w:sz w:val="18"/>
                        <w:szCs w:val="18"/>
                      </w:rPr>
                      <w:t>参考历史信用损失经验，结合当前状况以及对未来经济状况的预测，对未来</w:t>
                    </w:r>
                    <w:r>
                      <w:rPr>
                        <w:rFonts w:ascii="Times New Roman" w:hAnsi="Times New Roman" w:cs="Times New Roman"/>
                        <w:sz w:val="18"/>
                        <w:szCs w:val="18"/>
                      </w:rPr>
                      <w:t>12</w:t>
                    </w:r>
                    <w:r>
                      <w:rPr>
                        <w:rFonts w:ascii="Times New Roman" w:hAnsi="Arial Narrow" w:cs="Times New Roman"/>
                        <w:sz w:val="18"/>
                        <w:szCs w:val="18"/>
                      </w:rPr>
                      <w:t>个月内的预期信用损失率，计算预期信用损失。</w:t>
                    </w:r>
                  </w:p>
                </w:tc>
              </w:tr>
            </w:tbl>
            <w:p>
              <w:pPr>
                <w:rPr>
                  <w:rFonts w:ascii="Times New Roman" w:hAnsi="Times New Roman" w:cs="Times New Roman"/>
                </w:rPr>
              </w:pPr>
            </w:p>
          </w:sdtContent>
        </w:sdt>
        <w:p/>
      </w:sdtContent>
    </w:sdt>
    <w:bookmarkEnd w:id="119"/>
    <w:sdt>
      <w:sdtPr>
        <w:rPr>
          <w:rFonts w:hint="eastAsia" w:ascii="宋体" w:hAnsi="宋体" w:cs="宋体"/>
          <w:b w:val="0"/>
          <w:bCs w:val="0"/>
          <w:kern w:val="0"/>
          <w:szCs w:val="21"/>
        </w:rPr>
        <w:alias w:val="模块:其他应收款预期信用损失的确定方法及会计处理方法"/>
        <w:tag w:val="_SEC_ef6a22d43b7f4cfca911abd1cd64c22b"/>
        <w:id w:val="865724082"/>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61"/>
            </w:numPr>
            <w:rPr>
              <w:szCs w:val="21"/>
            </w:rPr>
          </w:pPr>
          <w:bookmarkStart w:id="120" w:name="_Hlk533667836"/>
          <w:r>
            <w:rPr>
              <w:rFonts w:hint="eastAsia"/>
              <w:szCs w:val="21"/>
            </w:rPr>
            <w:t>其他应收款</w:t>
          </w:r>
        </w:p>
        <w:p>
          <w:pPr>
            <w:pStyle w:val="5"/>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86572408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kern w:val="0"/>
              <w:szCs w:val="24"/>
            </w:rPr>
            <w:alias w:val="其他应收款预期信用损失的确定方法及会计处理方法"/>
            <w:tag w:val="_GBC_d89fd8b99fb74b308080a3d007b66530"/>
            <w:id w:val="865724081"/>
            <w:lock w:val="sdtLocked"/>
            <w:placeholder>
              <w:docPart w:val="GBC22222222222222222222222222222"/>
            </w:placeholder>
          </w:sdtPr>
          <w:sdtEndPr>
            <w:rPr>
              <w:rFonts w:cs="宋体"/>
              <w:kern w:val="0"/>
              <w:szCs w:val="24"/>
            </w:rPr>
          </w:sdtEndPr>
          <w:sdtContent>
            <w:p>
              <w:pPr>
                <w:pStyle w:val="113"/>
                <w:widowControl w:val="0"/>
                <w:tabs>
                  <w:tab w:val="left" w:pos="196"/>
                  <w:tab w:val="left" w:pos="426"/>
                </w:tabs>
                <w:spacing w:line="400" w:lineRule="exact"/>
                <w:ind w:left="0" w:leftChars="0" w:firstLine="420" w:firstLineChars="200"/>
                <w:jc w:val="both"/>
                <w:rPr>
                  <w:rFonts w:ascii="Times New Roman"/>
                </w:rPr>
              </w:pPr>
              <w:r>
                <w:rPr>
                  <w:rFonts w:hint="eastAsia" w:ascii="Times New Roman"/>
                </w:rPr>
                <w:t>本公司对其他应收款的预期信用损失的确定方法及会计处理方法详见“</w:t>
              </w:r>
              <w:r>
                <w:rPr>
                  <w:rFonts w:hint="eastAsia"/>
                </w:rPr>
                <w:t>五、重要会计政策及会计估计</w:t>
              </w:r>
              <w:r>
                <w:rPr>
                  <w:rFonts w:hint="eastAsia" w:ascii="Times New Roman"/>
                </w:rPr>
                <w:t>之</w:t>
              </w:r>
              <w:r>
                <w:rPr>
                  <w:rFonts w:ascii="Times New Roman"/>
                </w:rPr>
                <w:t>10.</w:t>
              </w:r>
              <w:r>
                <w:rPr>
                  <w:rFonts w:hint="eastAsia" w:ascii="Times New Roman"/>
                </w:rPr>
                <w:t>金融工具减值”。</w:t>
              </w:r>
            </w:p>
            <w:p>
              <w:pPr>
                <w:pStyle w:val="113"/>
                <w:widowControl w:val="0"/>
                <w:tabs>
                  <w:tab w:val="left" w:pos="196"/>
                  <w:tab w:val="left" w:pos="426"/>
                </w:tabs>
                <w:spacing w:line="400" w:lineRule="exact"/>
                <w:ind w:left="0" w:leftChars="0" w:firstLine="420" w:firstLineChars="200"/>
                <w:jc w:val="both"/>
                <w:rPr>
                  <w:rFonts w:ascii="Times New Roman"/>
                </w:rPr>
              </w:pPr>
              <w:r>
                <w:rPr>
                  <w:rFonts w:hint="eastAsia" w:ascii="Times New Roman"/>
                </w:rPr>
                <w:t>本公司对有“</w:t>
              </w:r>
              <w:r>
                <w:rPr>
                  <w:rFonts w:hint="eastAsia"/>
                </w:rPr>
                <w:t>五、重要会计政策及会计估计</w:t>
              </w:r>
              <w:r>
                <w:rPr>
                  <w:rFonts w:hint="eastAsia" w:ascii="Times New Roman"/>
                </w:rPr>
                <w:t>之</w:t>
              </w:r>
              <w:r>
                <w:rPr>
                  <w:rFonts w:ascii="Times New Roman"/>
                </w:rPr>
                <w:t>10.</w:t>
              </w:r>
              <w:r>
                <w:rPr>
                  <w:rFonts w:hint="eastAsia" w:ascii="Times New Roman"/>
                </w:rPr>
                <w:t>金融工具减值”。客观证据表明其发生损失的其他应收款单独确定其信用损失。</w:t>
              </w:r>
            </w:p>
            <w:p>
              <w:pPr>
                <w:pStyle w:val="113"/>
                <w:widowControl w:val="0"/>
                <w:tabs>
                  <w:tab w:val="left" w:pos="196"/>
                  <w:tab w:val="left" w:pos="426"/>
                </w:tabs>
                <w:spacing w:line="400" w:lineRule="exact"/>
                <w:ind w:left="0" w:leftChars="0" w:firstLine="420" w:firstLineChars="200"/>
                <w:jc w:val="both"/>
                <w:rPr>
                  <w:rFonts w:ascii="Times New Roman"/>
                  <w:sz w:val="24"/>
                  <w:szCs w:val="24"/>
                </w:rPr>
              </w:pPr>
              <w:r>
                <w:rPr>
                  <w:rFonts w:hint="eastAsia" w:ascii="Times New Roman"/>
                </w:rPr>
                <w:t>当在单项工具层面无法以合理成本评估预期信用损失的充分证据时，本公司参考历史信用损失经验，结合当前状况以及对未来经济状况的判断，依据信用风险特征将其他应收款划分为若干组合，在组合基础上计算预期信用损失。确定组合的依据如下：</w:t>
              </w:r>
            </w:p>
            <w:tbl>
              <w:tblPr>
                <w:tblStyle w:val="10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54"/>
                <w:gridCol w:w="1919"/>
                <w:gridCol w:w="505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526" w:type="dxa"/>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sz w:val="18"/>
                        <w:szCs w:val="18"/>
                      </w:rPr>
                    </w:pPr>
                    <w:r>
                      <w:rPr>
                        <w:rFonts w:ascii="Times New Roman" w:hAnsi="Arial Narrow" w:cs="Times New Roman"/>
                        <w:sz w:val="18"/>
                        <w:szCs w:val="18"/>
                      </w:rPr>
                      <w:t>组合名称</w:t>
                    </w:r>
                  </w:p>
                </w:tc>
                <w:tc>
                  <w:tcPr>
                    <w:tcW w:w="1884" w:type="dxa"/>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sz w:val="18"/>
                        <w:szCs w:val="18"/>
                      </w:rPr>
                    </w:pPr>
                    <w:r>
                      <w:rPr>
                        <w:rFonts w:ascii="Times New Roman" w:hAnsi="Arial Narrow" w:cs="Times New Roman"/>
                        <w:sz w:val="18"/>
                        <w:szCs w:val="18"/>
                      </w:rPr>
                      <w:t>确定组合的依据</w:t>
                    </w:r>
                  </w:p>
                </w:tc>
                <w:tc>
                  <w:tcPr>
                    <w:tcW w:w="4963" w:type="dxa"/>
                    <w:vAlign w:val="center"/>
                  </w:tcPr>
                  <w:p>
                    <w:pPr>
                      <w:widowControl w:val="0"/>
                      <w:tabs>
                        <w:tab w:val="left" w:pos="196"/>
                        <w:tab w:val="left" w:pos="426"/>
                      </w:tabs>
                      <w:snapToGrid w:val="0"/>
                      <w:spacing w:line="480" w:lineRule="exact"/>
                      <w:jc w:val="center"/>
                      <w:rPr>
                        <w:rFonts w:ascii="Times New Roman" w:hAnsi="Times New Roman" w:cs="Times New Roman"/>
                        <w:sz w:val="18"/>
                        <w:szCs w:val="18"/>
                      </w:rPr>
                    </w:pPr>
                    <w:r>
                      <w:rPr>
                        <w:rFonts w:ascii="Times New Roman" w:hAnsi="Arial Narrow" w:cs="Times New Roman"/>
                        <w:sz w:val="18"/>
                        <w:szCs w:val="18"/>
                      </w:rPr>
                      <w:t>计提方法</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26" w:type="dxa"/>
                    <w:shd w:val="clear" w:color="auto" w:fill="auto"/>
                    <w:vAlign w:val="center"/>
                  </w:tcPr>
                  <w:p>
                    <w:pPr>
                      <w:widowControl w:val="0"/>
                      <w:tabs>
                        <w:tab w:val="left" w:pos="196"/>
                        <w:tab w:val="left" w:pos="426"/>
                      </w:tabs>
                      <w:snapToGrid w:val="0"/>
                      <w:spacing w:line="320" w:lineRule="exact"/>
                      <w:jc w:val="both"/>
                      <w:rPr>
                        <w:rFonts w:ascii="Times New Roman" w:hAnsi="Times New Roman" w:cs="Times New Roman"/>
                        <w:sz w:val="18"/>
                        <w:szCs w:val="18"/>
                      </w:rPr>
                    </w:pPr>
                    <w:r>
                      <w:rPr>
                        <w:rFonts w:ascii="Times New Roman" w:hAnsi="Arial Narrow" w:cs="Times New Roman"/>
                        <w:sz w:val="18"/>
                        <w:szCs w:val="18"/>
                      </w:rPr>
                      <w:t>合并范围内关联往来组合</w:t>
                    </w:r>
                  </w:p>
                </w:tc>
                <w:tc>
                  <w:tcPr>
                    <w:tcW w:w="1884" w:type="dxa"/>
                    <w:shd w:val="clear" w:color="auto" w:fill="auto"/>
                    <w:vAlign w:val="center"/>
                  </w:tcPr>
                  <w:p>
                    <w:pPr>
                      <w:widowControl w:val="0"/>
                      <w:tabs>
                        <w:tab w:val="left" w:pos="196"/>
                        <w:tab w:val="left" w:pos="426"/>
                      </w:tabs>
                      <w:snapToGrid w:val="0"/>
                      <w:spacing w:line="320" w:lineRule="exact"/>
                      <w:jc w:val="both"/>
                      <w:rPr>
                        <w:rFonts w:ascii="Times New Roman" w:hAnsi="Times New Roman" w:cs="Times New Roman"/>
                        <w:sz w:val="18"/>
                        <w:szCs w:val="18"/>
                      </w:rPr>
                    </w:pPr>
                    <w:r>
                      <w:rPr>
                        <w:rFonts w:ascii="Times New Roman" w:hAnsi="Arial Narrow" w:cs="Times New Roman"/>
                        <w:sz w:val="18"/>
                        <w:szCs w:val="18"/>
                      </w:rPr>
                      <w:t>合并范围内关联方</w:t>
                    </w:r>
                  </w:p>
                </w:tc>
                <w:tc>
                  <w:tcPr>
                    <w:tcW w:w="4963" w:type="dxa"/>
                    <w:vAlign w:val="center"/>
                  </w:tcPr>
                  <w:p>
                    <w:pPr>
                      <w:widowControl w:val="0"/>
                      <w:tabs>
                        <w:tab w:val="left" w:pos="196"/>
                        <w:tab w:val="left" w:pos="426"/>
                      </w:tabs>
                      <w:snapToGrid w:val="0"/>
                      <w:spacing w:line="320" w:lineRule="exact"/>
                      <w:jc w:val="both"/>
                      <w:rPr>
                        <w:rFonts w:ascii="Times New Roman" w:hAnsi="Times New Roman" w:cs="Times New Roman"/>
                        <w:sz w:val="18"/>
                        <w:szCs w:val="18"/>
                      </w:rPr>
                    </w:pPr>
                    <w:r>
                      <w:rPr>
                        <w:rFonts w:ascii="Times New Roman" w:hAnsi="Arial Narrow" w:cs="Times New Roman"/>
                        <w:sz w:val="18"/>
                        <w:szCs w:val="18"/>
                      </w:rPr>
                      <w:t>参考历史信用损失经验，结合当前状况以及对未来经济状况的预测，按账龄与整个存续期预期信用损失率对照表计提。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26" w:type="dxa"/>
                    <w:shd w:val="clear" w:color="auto" w:fill="auto"/>
                    <w:vAlign w:val="center"/>
                  </w:tcPr>
                  <w:p>
                    <w:pPr>
                      <w:widowControl w:val="0"/>
                      <w:tabs>
                        <w:tab w:val="left" w:pos="196"/>
                        <w:tab w:val="left" w:pos="426"/>
                      </w:tabs>
                      <w:snapToGrid w:val="0"/>
                      <w:spacing w:line="320" w:lineRule="exact"/>
                      <w:jc w:val="both"/>
                      <w:rPr>
                        <w:rFonts w:ascii="Times New Roman" w:hAnsi="Times New Roman" w:cs="Times New Roman"/>
                        <w:sz w:val="18"/>
                        <w:szCs w:val="18"/>
                      </w:rPr>
                    </w:pPr>
                    <w:r>
                      <w:rPr>
                        <w:rFonts w:ascii="Times New Roman" w:hAnsi="Arial Narrow" w:cs="Times New Roman"/>
                        <w:sz w:val="18"/>
                        <w:szCs w:val="18"/>
                      </w:rPr>
                      <w:t>账龄分析组合</w:t>
                    </w:r>
                  </w:p>
                </w:tc>
                <w:tc>
                  <w:tcPr>
                    <w:tcW w:w="1884" w:type="dxa"/>
                    <w:shd w:val="clear" w:color="auto" w:fill="auto"/>
                    <w:vAlign w:val="center"/>
                  </w:tcPr>
                  <w:p>
                    <w:pPr>
                      <w:widowControl w:val="0"/>
                      <w:tabs>
                        <w:tab w:val="left" w:pos="196"/>
                        <w:tab w:val="left" w:pos="426"/>
                      </w:tabs>
                      <w:snapToGrid w:val="0"/>
                      <w:spacing w:line="320" w:lineRule="exact"/>
                      <w:jc w:val="both"/>
                      <w:rPr>
                        <w:rFonts w:ascii="Times New Roman" w:hAnsi="Times New Roman" w:cs="Times New Roman"/>
                        <w:sz w:val="18"/>
                        <w:szCs w:val="18"/>
                      </w:rPr>
                    </w:pPr>
                    <w:r>
                      <w:rPr>
                        <w:rFonts w:ascii="Times New Roman" w:hAnsi="Arial Narrow" w:cs="Times New Roman"/>
                        <w:sz w:val="18"/>
                        <w:szCs w:val="18"/>
                      </w:rPr>
                      <w:t>非合并范围的的款项</w:t>
                    </w:r>
                  </w:p>
                </w:tc>
                <w:tc>
                  <w:tcPr>
                    <w:tcW w:w="4963" w:type="dxa"/>
                    <w:vAlign w:val="center"/>
                  </w:tcPr>
                  <w:p>
                    <w:pPr>
                      <w:widowControl w:val="0"/>
                      <w:tabs>
                        <w:tab w:val="left" w:pos="196"/>
                        <w:tab w:val="left" w:pos="426"/>
                      </w:tabs>
                      <w:snapToGrid w:val="0"/>
                      <w:spacing w:line="320" w:lineRule="exact"/>
                      <w:jc w:val="both"/>
                      <w:rPr>
                        <w:rFonts w:ascii="Times New Roman" w:hAnsi="Times New Roman" w:cs="Times New Roman"/>
                        <w:sz w:val="18"/>
                        <w:szCs w:val="18"/>
                      </w:rPr>
                    </w:pPr>
                    <w:r>
                      <w:rPr>
                        <w:rFonts w:ascii="Times New Roman" w:hAnsi="Arial Narrow" w:cs="Times New Roman"/>
                        <w:sz w:val="18"/>
                        <w:szCs w:val="18"/>
                      </w:rPr>
                      <w:t>参考历史信用损失经验，结合当前状况以及对未来经济状况的预测，按账龄与未来</w:t>
                    </w:r>
                    <w:r>
                      <w:rPr>
                        <w:rFonts w:ascii="Times New Roman" w:hAnsi="Times New Roman" w:cs="Times New Roman"/>
                        <w:sz w:val="18"/>
                        <w:szCs w:val="18"/>
                      </w:rPr>
                      <w:t>12</w:t>
                    </w:r>
                    <w:r>
                      <w:rPr>
                        <w:rFonts w:ascii="Times New Roman" w:hAnsi="Arial Narrow" w:cs="Times New Roman"/>
                        <w:sz w:val="18"/>
                        <w:szCs w:val="18"/>
                      </w:rPr>
                      <w:t>个月内或整个存续期预期信用损失率对照表计提。</w:t>
                    </w:r>
                  </w:p>
                </w:tc>
              </w:tr>
            </w:tbl>
            <w:p>
              <w:pPr>
                <w:rPr>
                  <w:szCs w:val="21"/>
                </w:rPr>
              </w:pPr>
            </w:p>
          </w:sdtContent>
        </w:sdt>
        <w:p>
          <w:pPr>
            <w:rPr>
              <w:szCs w:val="21"/>
            </w:rPr>
          </w:pPr>
        </w:p>
      </w:sdtContent>
    </w:sdt>
    <w:bookmarkEnd w:id="120"/>
    <w:sdt>
      <w:sdtPr>
        <w:rPr>
          <w:rFonts w:asciiTheme="minorHAnsi" w:hAnsiTheme="minorHAnsi" w:cstheme="minorBidi"/>
          <w:b w:val="0"/>
          <w:bCs w:val="0"/>
          <w:kern w:val="0"/>
          <w:szCs w:val="22"/>
        </w:rPr>
        <w:alias w:val="模块:存货"/>
        <w:tag w:val="_GBC_b0f90fdf6c7749dbb9bd3cde55d5c0c3"/>
        <w:id w:val="865724085"/>
        <w:lock w:val="sdtLocked"/>
        <w:placeholder>
          <w:docPart w:val="GBC22222222222222222222222222222"/>
        </w:placeholder>
      </w:sdtPr>
      <w:sdtEndPr>
        <w:rPr>
          <w:rFonts w:ascii="宋体" w:hAnsi="宋体" w:cs="Times New Roman"/>
          <w:b w:val="0"/>
          <w:bCs w:val="0"/>
          <w:kern w:val="0"/>
          <w:szCs w:val="21"/>
        </w:rPr>
      </w:sdtEndPr>
      <w:sdtContent>
        <w:p>
          <w:pPr>
            <w:pStyle w:val="4"/>
            <w:numPr>
              <w:ilvl w:val="0"/>
              <w:numId w:val="61"/>
            </w:numPr>
          </w:pPr>
          <w:r>
            <w:t>存货</w:t>
          </w:r>
        </w:p>
        <w:sdt>
          <w:sdtPr>
            <w:rPr>
              <w:rFonts w:hint="eastAsia"/>
              <w:szCs w:val="21"/>
            </w:rPr>
            <w:alias w:val="是否适用：存货_重要会计政策和估计[双击切换]"/>
            <w:tag w:val="_GBC_dcacbe0db27e4ea5b80fa4aefb3bdbac"/>
            <w:id w:val="865724083"/>
            <w:lock w:val="sdtLocked"/>
          </w:sdtPr>
          <w:sdtEndPr>
            <w:rPr>
              <w:rFonts w:hint="eastAsia"/>
              <w:szCs w:val="21"/>
            </w:rPr>
          </w:sdtEndPr>
          <w:sdtContent>
            <w:p>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
          <w:sdtPr>
            <w:rPr>
              <w:szCs w:val="21"/>
            </w:rPr>
            <w:alias w:val="存货的核算方法"/>
            <w:tag w:val="_GBC_553fb8cba06d4979b05ae3dabe788fa6"/>
            <w:id w:val="865724084"/>
            <w:lock w:val="sdtLocked"/>
          </w:sdtPr>
          <w:sdtEndPr>
            <w:rPr>
              <w:szCs w:val="21"/>
            </w:rPr>
          </w:sdtEndPr>
          <w:sdtContent>
            <w:p>
              <w:pPr>
                <w:spacing w:line="400" w:lineRule="exac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存货的分类</w:t>
              </w:r>
            </w:p>
            <w:p>
              <w:pPr>
                <w:spacing w:line="400" w:lineRule="exact"/>
                <w:ind w:firstLine="420" w:firstLineChars="200"/>
                <w:rPr>
                  <w:rFonts w:ascii="Times New Roman" w:hAnsi="Times New Roman" w:cs="Times New Roman"/>
                  <w:szCs w:val="21"/>
                </w:rPr>
              </w:pPr>
              <w:r>
                <w:rPr>
                  <w:rFonts w:ascii="Times New Roman" w:cs="Times New Roman"/>
                  <w:szCs w:val="21"/>
                </w:rPr>
                <w:t>存货是指本公司在日常活动中持有以备出售的产成品或商品、处在生产过程中的在产品、在生产过程或提供劳务过程中耗用的材料和物料等。主要包括原材料、周转材料、委托加工材料、在产品、自制半成品、产成品（库存商品）、开发成本等。</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存货的计价方法</w:t>
              </w:r>
            </w:p>
            <w:p>
              <w:pPr>
                <w:spacing w:line="400" w:lineRule="exact"/>
                <w:ind w:firstLine="420" w:firstLineChars="200"/>
                <w:rPr>
                  <w:rFonts w:ascii="Times New Roman" w:hAnsi="Times New Roman" w:cs="Times New Roman"/>
                  <w:szCs w:val="21"/>
                </w:rPr>
              </w:pPr>
              <w:r>
                <w:rPr>
                  <w:rFonts w:ascii="Times New Roman" w:cs="Times New Roman"/>
                  <w:szCs w:val="21"/>
                </w:rPr>
                <w:t>存货在取得时，按成本进行初始计量，包括采购成本、加工成本和其他成本。存货发出时按先进先出法月末一次加权平均法计价。</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存货可变现净值的确定依据及存货跌价准备的计提方法</w:t>
              </w:r>
            </w:p>
            <w:p>
              <w:pPr>
                <w:spacing w:line="400" w:lineRule="exact"/>
                <w:ind w:firstLine="420" w:firstLineChars="200"/>
                <w:rPr>
                  <w:rFonts w:ascii="Times New Roman" w:hAnsi="Times New Roman" w:cs="Times New Roman"/>
                  <w:szCs w:val="21"/>
                </w:rPr>
              </w:pPr>
              <w:r>
                <w:rPr>
                  <w:rFonts w:ascii="Times New Roman" w:cs="Times New Roman"/>
                  <w:szCs w:val="21"/>
                </w:rPr>
                <w:t>期末对存货进行全面清查后，按存货的成本与可变现净值孰低提取或调整存货跌价准备。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pPr>
                <w:spacing w:line="400" w:lineRule="exact"/>
                <w:ind w:firstLine="420" w:firstLineChars="200"/>
                <w:rPr>
                  <w:rFonts w:ascii="Times New Roman" w:hAnsi="Times New Roman" w:cs="Times New Roman"/>
                  <w:szCs w:val="21"/>
                </w:rPr>
              </w:pPr>
              <w:r>
                <w:rPr>
                  <w:rFonts w:ascii="Times New Roman" w:cs="Times New Roman"/>
                  <w:szCs w:val="21"/>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pPr>
                <w:spacing w:line="400" w:lineRule="exact"/>
                <w:ind w:firstLine="420" w:firstLineChars="200"/>
                <w:rPr>
                  <w:rFonts w:ascii="Times New Roman" w:hAnsi="Times New Roman" w:cs="Times New Roman"/>
                  <w:szCs w:val="21"/>
                </w:rPr>
              </w:pPr>
              <w:r>
                <w:rPr>
                  <w:rFonts w:ascii="Times New Roman" w:cs="Times New Roman"/>
                  <w:szCs w:val="21"/>
                </w:rPr>
                <w:t>以前减记存货价值的影响因素已经消失的，减记的金额予以恢复，并在原已计提的存货跌价准备金额内转回，转回的金额计入当期损益。</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存货的盘存制度</w:t>
              </w:r>
            </w:p>
            <w:p>
              <w:pPr>
                <w:spacing w:line="400" w:lineRule="exact"/>
                <w:ind w:firstLine="420" w:firstLineChars="200"/>
                <w:rPr>
                  <w:rFonts w:ascii="Times New Roman" w:hAnsi="Times New Roman" w:cs="Times New Roman"/>
                  <w:szCs w:val="21"/>
                </w:rPr>
              </w:pPr>
              <w:r>
                <w:rPr>
                  <w:rFonts w:ascii="Times New Roman" w:cs="Times New Roman"/>
                  <w:szCs w:val="21"/>
                </w:rPr>
                <w:t>存货的盘存采用永续盘存制。</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5.</w:t>
              </w:r>
              <w:r>
                <w:rPr>
                  <w:rFonts w:ascii="Times New Roman" w:cs="Times New Roman"/>
                  <w:szCs w:val="21"/>
                </w:rPr>
                <w:t>低值易耗品和包装物的摊销方法</w:t>
              </w:r>
            </w:p>
            <w:p>
              <w:pPr>
                <w:spacing w:line="400" w:lineRule="exact"/>
                <w:ind w:firstLine="420" w:firstLineChars="200"/>
                <w:rPr>
                  <w:szCs w:val="21"/>
                </w:rPr>
              </w:pPr>
              <w:r>
                <w:rPr>
                  <w:rFonts w:ascii="Times New Roman" w:cs="Times New Roman"/>
                  <w:szCs w:val="21"/>
                </w:rPr>
                <w:t>低值易耗品和包装物采用一次转销法摊销。</w:t>
              </w:r>
            </w:p>
          </w:sdtContent>
        </w:sdt>
        <w:p>
          <w:pPr>
            <w:rPr>
              <w:rFonts w:cs="Times New Roman"/>
              <w:szCs w:val="21"/>
            </w:rPr>
          </w:pPr>
        </w:p>
        <w:p>
          <w:pPr>
            <w:rPr>
              <w:rFonts w:cs="Times New Roman"/>
              <w:szCs w:val="21"/>
            </w:rPr>
          </w:pPr>
        </w:p>
      </w:sdtContent>
    </w:sdt>
    <w:sdt>
      <w:sdtPr>
        <w:rPr>
          <w:rFonts w:hint="eastAsia" w:ascii="宋体" w:hAnsi="宋体" w:cs="宋体"/>
          <w:b w:val="0"/>
          <w:bCs w:val="0"/>
          <w:kern w:val="0"/>
          <w:szCs w:val="21"/>
        </w:rPr>
        <w:alias w:val="模块:合同资产的确认方法和减值测试方法"/>
        <w:tag w:val="_SEC_9bd5a4d97fa44c929350119c9f058793"/>
        <w:id w:val="865724088"/>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61"/>
            </w:numPr>
            <w:rPr>
              <w:szCs w:val="21"/>
            </w:rPr>
          </w:pPr>
          <w:bookmarkStart w:id="121" w:name="_Hlk533667851"/>
          <w:r>
            <w:rPr>
              <w:rFonts w:hint="eastAsia"/>
              <w:szCs w:val="21"/>
            </w:rPr>
            <w:t>合同资产</w:t>
          </w:r>
        </w:p>
        <w:p>
          <w:pPr>
            <w:pStyle w:val="5"/>
            <w:numPr>
              <w:ilvl w:val="0"/>
              <w:numId w:val="65"/>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86572408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865724087"/>
            <w:lock w:val="sdtLocked"/>
            <w:placeholder>
              <w:docPart w:val="GBC22222222222222222222222222222"/>
            </w:placeholder>
          </w:sdtPr>
          <w:sdtEndPr>
            <w:rPr>
              <w:rFonts w:ascii="Times New Roman" w:hAnsi="Times New Roman" w:cs="Times New Roman"/>
              <w:szCs w:val="21"/>
            </w:rPr>
          </w:sdtEndPr>
          <w:sdtContent>
            <w:p>
              <w:pPr>
                <w:widowControl w:val="0"/>
                <w:autoSpaceDE w:val="0"/>
                <w:autoSpaceDN w:val="0"/>
                <w:adjustRightInd w:val="0"/>
                <w:spacing w:line="400" w:lineRule="exact"/>
                <w:ind w:firstLine="420" w:firstLineChars="200"/>
                <w:jc w:val="both"/>
                <w:rPr>
                  <w:rFonts w:ascii="Times New Roman" w:hAnsi="Times New Roman" w:cs="Times New Roman"/>
                  <w:color w:val="000000"/>
                  <w:szCs w:val="21"/>
                </w:rPr>
              </w:pPr>
              <w:r>
                <w:rPr>
                  <w:rFonts w:ascii="Times New Roman" w:cs="Times New Roman"/>
                  <w:color w:val="000000"/>
                  <w:szCs w:val="21"/>
                </w:rPr>
                <w:t>在本公司与客户的合同中，本公司有权就已向客户转让商品、提供的相关服务而收取合同价款，与此同时承担将商品或服务转移给客户的履约义务。当客户实际支付合同对价或在该对价到期应付之前，企业已经向客户转移了商品或服务，则应当将因已转让商品或服务而有权收取对价的权利列示为合同资产，在取得无条件收款权时确认为应收账款或长期应收款。</w:t>
              </w:r>
              <w:r>
                <w:rPr>
                  <w:rFonts w:ascii="Times New Roman" w:hAnsi="Times New Roman" w:cs="Times New Roman"/>
                  <w:color w:val="000000"/>
                  <w:szCs w:val="21"/>
                </w:rPr>
                <w:t xml:space="preserve"> </w:t>
              </w:r>
            </w:p>
            <w:p>
              <w:pPr>
                <w:widowControl w:val="0"/>
                <w:autoSpaceDE w:val="0"/>
                <w:autoSpaceDN w:val="0"/>
                <w:adjustRightInd w:val="0"/>
                <w:spacing w:line="400" w:lineRule="exact"/>
                <w:ind w:firstLine="420" w:firstLineChars="200"/>
                <w:jc w:val="both"/>
                <w:rPr>
                  <w:rFonts w:ascii="Times New Roman" w:hAnsi="Times New Roman" w:cs="Times New Roman"/>
                  <w:color w:val="000000"/>
                  <w:szCs w:val="21"/>
                </w:rPr>
              </w:pPr>
              <w:r>
                <w:rPr>
                  <w:rFonts w:ascii="Times New Roman" w:cs="Times New Roman"/>
                  <w:color w:val="000000"/>
                  <w:szCs w:val="21"/>
                </w:rPr>
                <w:t>在本公司与客户的合同中，本公司有权在尚未向客户转移商品或服务之前收取合同对价，与此同时将已收或应收客户对价而应向客户转移商品或服务的义务列示为合同负债。当本公司履行向客户转让商品或提供服务的义务时，合同负债确认为收入。</w:t>
              </w:r>
              <w:r>
                <w:rPr>
                  <w:rFonts w:ascii="Times New Roman" w:hAnsi="Times New Roman" w:cs="Times New Roman"/>
                  <w:color w:val="000000"/>
                  <w:szCs w:val="21"/>
                </w:rPr>
                <w:t xml:space="preserve"> </w:t>
              </w:r>
            </w:p>
            <w:p>
              <w:pPr>
                <w:widowControl w:val="0"/>
                <w:autoSpaceDE w:val="0"/>
                <w:autoSpaceDN w:val="0"/>
                <w:adjustRightInd w:val="0"/>
                <w:spacing w:line="400" w:lineRule="exact"/>
                <w:ind w:firstLine="420" w:firstLineChars="200"/>
                <w:jc w:val="both"/>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cs="Times New Roman"/>
                  <w:color w:val="000000"/>
                  <w:szCs w:val="21"/>
                </w:rPr>
                <w:t>本公司对于同一合同下的合同资产和合同负债以净额列示。</w:t>
              </w:r>
            </w:p>
            <w:p>
              <w:pPr>
                <w:spacing w:line="400" w:lineRule="exact"/>
                <w:rPr>
                  <w:rFonts w:ascii="Times New Roman" w:hAnsi="Times New Roman" w:cs="Times New Roman"/>
                  <w:szCs w:val="21"/>
                </w:rPr>
              </w:pPr>
            </w:p>
          </w:sdtContent>
        </w:sdt>
        <w:p>
          <w:pPr>
            <w:rPr>
              <w:szCs w:val="21"/>
            </w:rPr>
          </w:pPr>
        </w:p>
      </w:sdtContent>
    </w:sdt>
    <w:bookmarkEnd w:id="121"/>
    <w:sdt>
      <w:sdtPr>
        <w:rPr>
          <w:rFonts w:hint="eastAsia" w:ascii="宋体" w:hAnsi="宋体" w:eastAsia="宋体" w:cs="宋体"/>
          <w:b w:val="0"/>
          <w:bCs w:val="0"/>
          <w:kern w:val="0"/>
          <w:szCs w:val="21"/>
        </w:rPr>
        <w:alias w:val="模块:合同资产预期信用损失的确定方法及会计处理方法"/>
        <w:tag w:val="_SEC_360193ac6f414512ae2c1e2912c3ae6e"/>
        <w:id w:val="865724090"/>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0"/>
              <w:numId w:val="65"/>
            </w:numPr>
            <w:rPr>
              <w:szCs w:val="21"/>
            </w:rPr>
          </w:pPr>
          <w:bookmarkStart w:id="122" w:name="_Hlk533667866"/>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86572408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122"/>
    <w:sdt>
      <w:sdtPr>
        <w:rPr>
          <w:rFonts w:hint="eastAsia" w:ascii="宋体" w:hAnsi="宋体" w:cs="宋体"/>
          <w:b w:val="0"/>
          <w:bCs w:val="0"/>
          <w:kern w:val="0"/>
          <w:szCs w:val="21"/>
        </w:rPr>
        <w:alias w:val="模块:持有待售资产"/>
        <w:tag w:val="_GBC_a1a86a762feb43c3bed478ce8a19ae7c"/>
        <w:id w:val="865724092"/>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61"/>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865724091"/>
            <w:lock w:val="sdtLocked"/>
            <w:placeholder>
              <w:docPart w:val="GBC22222222222222222222222222222"/>
            </w:placeholder>
          </w:sdtPr>
          <w:sdtEndPr>
            <w:rPr>
              <w:rFonts w:hint="eastAsia"/>
              <w:szCs w:val="21"/>
            </w:rPr>
          </w:sdtEndPr>
          <w:sdtContent>
            <w:p>
              <w:pPr>
                <w:rPr>
                  <w:szCs w:val="21"/>
                </w:rPr>
              </w:pPr>
              <w:bookmarkStart w:id="123" w:name="_Hlk533151067"/>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123"/>
    <w:sdt>
      <w:sdtPr>
        <w:rPr>
          <w:rFonts w:hint="eastAsia" w:ascii="宋体" w:hAnsi="宋体" w:cs="宋体"/>
          <w:b w:val="0"/>
          <w:bCs w:val="0"/>
          <w:kern w:val="0"/>
          <w:szCs w:val="21"/>
        </w:rPr>
        <w:alias w:val="模块:债权投资"/>
        <w:tag w:val="_SEC_e844286f55704dad967ec5918d6d8015"/>
        <w:id w:val="865724094"/>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61"/>
            </w:numPr>
            <w:rPr>
              <w:szCs w:val="21"/>
            </w:rPr>
          </w:pPr>
          <w:bookmarkStart w:id="124" w:name="_Hlk533667896"/>
          <w:r>
            <w:rPr>
              <w:rFonts w:hint="eastAsia"/>
              <w:szCs w:val="21"/>
            </w:rPr>
            <w:t>债权投资</w:t>
          </w:r>
        </w:p>
        <w:p>
          <w:pPr>
            <w:pStyle w:val="5"/>
            <w:numPr>
              <w:ilvl w:val="0"/>
              <w:numId w:val="66"/>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86572409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124"/>
    <w:sdt>
      <w:sdtPr>
        <w:rPr>
          <w:rFonts w:hint="eastAsia" w:ascii="宋体" w:hAnsi="宋体" w:cs="宋体"/>
          <w:b w:val="0"/>
          <w:bCs w:val="0"/>
          <w:kern w:val="0"/>
          <w:szCs w:val="21"/>
        </w:rPr>
        <w:alias w:val="模块:其他债权投资"/>
        <w:tag w:val="_SEC_c45e287df635454da1fc932b5d7bc19c"/>
        <w:id w:val="865724096"/>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61"/>
            </w:numPr>
            <w:rPr>
              <w:szCs w:val="21"/>
            </w:rPr>
          </w:pPr>
          <w:bookmarkStart w:id="125" w:name="_Hlk533667949"/>
          <w:r>
            <w:rPr>
              <w:rFonts w:hint="eastAsia"/>
              <w:szCs w:val="21"/>
            </w:rPr>
            <w:t>其他债权投资</w:t>
          </w:r>
        </w:p>
        <w:p>
          <w:pPr>
            <w:pStyle w:val="5"/>
            <w:numPr>
              <w:ilvl w:val="0"/>
              <w:numId w:val="67"/>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86572409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25"/>
    <w:sdt>
      <w:sdtPr>
        <w:rPr>
          <w:rFonts w:hint="eastAsia" w:ascii="宋体" w:hAnsi="宋体" w:cs="宋体"/>
          <w:b w:val="0"/>
          <w:bCs w:val="0"/>
          <w:kern w:val="0"/>
          <w:szCs w:val="24"/>
        </w:rPr>
        <w:alias w:val="模块:长期应收款"/>
        <w:tag w:val="_SEC_90d4e338ecdf40dbbf3e9d454acdaa20"/>
        <w:id w:val="865724098"/>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61"/>
            </w:numPr>
          </w:pPr>
          <w:bookmarkStart w:id="126" w:name="_Hlk533667970"/>
          <w:r>
            <w:rPr>
              <w:rFonts w:hint="eastAsia"/>
            </w:rPr>
            <w:t>长期应收款</w:t>
          </w:r>
        </w:p>
        <w:p>
          <w:pPr>
            <w:pStyle w:val="5"/>
            <w:numPr>
              <w:ilvl w:val="0"/>
              <w:numId w:val="68"/>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86572409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26"/>
    <w:sdt>
      <w:sdtPr>
        <w:rPr>
          <w:rFonts w:asciiTheme="minorHAnsi" w:hAnsiTheme="minorHAnsi" w:cstheme="minorBidi"/>
          <w:b w:val="0"/>
          <w:bCs w:val="0"/>
          <w:kern w:val="0"/>
          <w:szCs w:val="22"/>
        </w:rPr>
        <w:alias w:val="模块:长期股权投资"/>
        <w:tag w:val="_GBC_d82c12cf13554acd90dfb7880244798c"/>
        <w:id w:val="865724101"/>
        <w:lock w:val="sdtLocked"/>
        <w:placeholder>
          <w:docPart w:val="GBC22222222222222222222222222222"/>
        </w:placeholder>
      </w:sdtPr>
      <w:sdtEndPr>
        <w:rPr>
          <w:rFonts w:ascii="宋体" w:hAnsi="宋体" w:cs="Times New Roman"/>
          <w:b w:val="0"/>
          <w:bCs w:val="0"/>
          <w:kern w:val="0"/>
          <w:szCs w:val="21"/>
        </w:rPr>
      </w:sdtEndPr>
      <w:sdtContent>
        <w:p>
          <w:pPr>
            <w:pStyle w:val="4"/>
            <w:numPr>
              <w:ilvl w:val="0"/>
              <w:numId w:val="61"/>
            </w:numPr>
          </w:pPr>
          <w:r>
            <w:t>长期股权投资</w:t>
          </w:r>
        </w:p>
        <w:sdt>
          <w:sdtPr>
            <w:rPr>
              <w:rFonts w:hint="eastAsia"/>
              <w:szCs w:val="21"/>
            </w:rPr>
            <w:alias w:val="是否适用：长期股权投资_重要会计政策和估计[双击切换]"/>
            <w:tag w:val="_GBC_990faa4da4e64a5389a573293ba4981b"/>
            <w:id w:val="865724099"/>
            <w:lock w:val="sdtLocked"/>
          </w:sdtPr>
          <w:sdtEndPr>
            <w:rPr>
              <w:rFonts w:hint="eastAsia"/>
              <w:szCs w:val="21"/>
            </w:rPr>
          </w:sdtEndPr>
          <w:sdtContent>
            <w:p>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
          <w:sdtPr>
            <w:rPr>
              <w:szCs w:val="21"/>
            </w:rPr>
            <w:alias w:val="长期股权投资的核算方法"/>
            <w:tag w:val="_GBC_3e77074cd50946b1bccdff9bc1c9556f"/>
            <w:id w:val="865724100"/>
            <w:lock w:val="sdtLocked"/>
          </w:sdtPr>
          <w:sdtEndPr>
            <w:rPr>
              <w:szCs w:val="21"/>
            </w:rPr>
          </w:sdtEndPr>
          <w:sdtContent>
            <w:p>
              <w:pPr>
                <w:spacing w:line="400" w:lineRule="exac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初始投资成本的确定</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）企业合并形成的长期股权投资，具体会计政策详见本附注四、（六）同一控制下和非同一控制下企业合并的会计处理方法。</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）其他方式取得的长期股权投资</w:t>
              </w:r>
            </w:p>
            <w:p>
              <w:pPr>
                <w:spacing w:line="400" w:lineRule="exact"/>
                <w:ind w:firstLine="420" w:firstLineChars="200"/>
                <w:rPr>
                  <w:rFonts w:ascii="Times New Roman" w:hAnsi="Times New Roman" w:cs="Times New Roman"/>
                  <w:szCs w:val="21"/>
                </w:rPr>
              </w:pPr>
              <w:r>
                <w:rPr>
                  <w:rFonts w:ascii="Times New Roman" w:cs="Times New Roman"/>
                  <w:szCs w:val="21"/>
                </w:rPr>
                <w:t>以支付现金方式取得的长期股权投资，按照实际支付的购买价款作为初始投资成本。初始投资成本包括与取得长期股权投资直接相关的费用、税金及其他必要支出。</w:t>
              </w:r>
            </w:p>
            <w:p>
              <w:pPr>
                <w:spacing w:line="400" w:lineRule="exact"/>
                <w:ind w:firstLine="420" w:firstLineChars="200"/>
                <w:rPr>
                  <w:rFonts w:ascii="Times New Roman" w:hAnsi="Times New Roman" w:cs="Times New Roman"/>
                  <w:szCs w:val="21"/>
                </w:rPr>
              </w:pPr>
              <w:r>
                <w:rPr>
                  <w:rFonts w:ascii="Times New Roman" w:cs="Times New Roman"/>
                  <w:szCs w:val="21"/>
                </w:rPr>
                <w:t>以发行权益性证券取得的长期股权投资，按照发行权益性证券的公允价值作为初始投资成本；发行或取得自身权益工具时发生的交易费用，可直接归属于权益性交易的从权益中扣减。</w:t>
              </w:r>
            </w:p>
            <w:p>
              <w:pPr>
                <w:spacing w:line="400" w:lineRule="exact"/>
                <w:ind w:firstLine="420" w:firstLineChars="200"/>
                <w:rPr>
                  <w:rFonts w:ascii="Times New Roman" w:hAnsi="Times New Roman" w:cs="Times New Roman"/>
                  <w:szCs w:val="21"/>
                </w:rPr>
              </w:pPr>
              <w:r>
                <w:rPr>
                  <w:rFonts w:ascii="Times New Roman" w:cs="Times New Roman"/>
                  <w:szCs w:val="21"/>
                </w:rPr>
                <w:t>在非货币性资产交换具备商业实质和换入资产或换出资产的公允价值能够可靠计量的前提下，非货币性资产交换换入的长期股权投资以换出资产的公允价值为基础确定其初始投资成本，除非有确凿证据表明换入资产的公允价值更加可靠；不满足上述前提的非货币性资产交换，以换出资产的账面价值和应支付的相关税费作为换入长期股权投资的初始投资成本。</w:t>
              </w:r>
            </w:p>
            <w:p>
              <w:pPr>
                <w:spacing w:line="400" w:lineRule="exact"/>
                <w:ind w:firstLine="420" w:firstLineChars="200"/>
                <w:rPr>
                  <w:rFonts w:ascii="Times New Roman" w:hAnsi="Times New Roman" w:cs="Times New Roman"/>
                  <w:szCs w:val="21"/>
                </w:rPr>
              </w:pPr>
              <w:r>
                <w:rPr>
                  <w:rFonts w:ascii="Times New Roman" w:cs="Times New Roman"/>
                  <w:szCs w:val="21"/>
                </w:rPr>
                <w:t>通过债务重组取得的长期股权投资，其初始投资成本按照公允价值为基础确定。</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后续计量及损益确认</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）成本法</w:t>
              </w:r>
            </w:p>
            <w:p>
              <w:pPr>
                <w:spacing w:line="400" w:lineRule="exact"/>
                <w:ind w:firstLine="420" w:firstLineChars="200"/>
                <w:rPr>
                  <w:rFonts w:ascii="Times New Roman" w:hAnsi="Times New Roman" w:cs="Times New Roman"/>
                  <w:szCs w:val="21"/>
                </w:rPr>
              </w:pPr>
              <w:r>
                <w:rPr>
                  <w:rFonts w:ascii="Times New Roman" w:cs="Times New Roman"/>
                  <w:szCs w:val="21"/>
                </w:rPr>
                <w:t>本公司能够对被投资单位实施控制的长期股权投资采用成本法核算，并按照初始投资成本计价，追加或收回投资调整长期股权投资的成本。</w:t>
              </w:r>
            </w:p>
            <w:p>
              <w:pPr>
                <w:spacing w:line="400" w:lineRule="exact"/>
                <w:ind w:firstLine="420" w:firstLineChars="200"/>
                <w:rPr>
                  <w:rFonts w:ascii="Times New Roman" w:hAnsi="Times New Roman" w:cs="Times New Roman"/>
                  <w:szCs w:val="21"/>
                </w:rPr>
              </w:pPr>
              <w:r>
                <w:rPr>
                  <w:rFonts w:ascii="Times New Roman" w:cs="Times New Roman"/>
                  <w:szCs w:val="21"/>
                </w:rPr>
                <w:t>除取得投资时实际支付的价款或对价中包含的已宣告但尚未发放的现金股利或利润外，本公司按照享有被投资单位宣告分派的现金股利或利润确认为当期投资收益。</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）权益法</w:t>
              </w:r>
            </w:p>
            <w:p>
              <w:pPr>
                <w:spacing w:line="400" w:lineRule="exact"/>
                <w:ind w:firstLine="420" w:firstLineChars="200"/>
                <w:rPr>
                  <w:rFonts w:ascii="Times New Roman" w:hAnsi="Times New Roman" w:cs="Times New Roman"/>
                  <w:szCs w:val="21"/>
                </w:rPr>
              </w:pPr>
              <w:r>
                <w:rPr>
                  <w:rFonts w:ascii="Times New Roman" w:cs="Times New Roman"/>
                  <w:szCs w:val="21"/>
                </w:rPr>
                <w:t>本公司对联营企业和合营企业的长期股权投资采用权益法核算；对于其中一部分通过风险投资机构、共同基金、信托公司或包括投连险基金在内的类似主体间接持有的联营企业的权益性投资，采用公允价值计量且其变动计入损益。</w:t>
              </w:r>
            </w:p>
            <w:p>
              <w:pPr>
                <w:spacing w:line="400" w:lineRule="exact"/>
                <w:ind w:firstLine="420" w:firstLineChars="200"/>
                <w:rPr>
                  <w:rFonts w:ascii="Times New Roman" w:hAnsi="Times New Roman" w:cs="Times New Roman"/>
                  <w:szCs w:val="21"/>
                </w:rPr>
              </w:pPr>
              <w:r>
                <w:rPr>
                  <w:rFonts w:ascii="Times New Roman" w:cs="Times New Roman"/>
                  <w:szCs w:val="21"/>
                </w:rPr>
                <w:t>长期股权投资的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pPr>
                <w:spacing w:line="400" w:lineRule="exact"/>
                <w:ind w:firstLine="420" w:firstLineChars="200"/>
                <w:rPr>
                  <w:rFonts w:ascii="Times New Roman" w:hAnsi="Times New Roman" w:cs="Times New Roman"/>
                  <w:szCs w:val="21"/>
                </w:rPr>
              </w:pPr>
              <w:r>
                <w:rPr>
                  <w:rFonts w:ascii="Times New Roman" w:cs="Times New Roman"/>
                  <w:szCs w:val="21"/>
                </w:rPr>
                <w:t>本公司取得长期股权投资后，按照应享有或应分担的被投资单位实现的净损益和其他综合收益的份额，分别确认投资收益和其他综合收益，同时调整长期股权投资的账面价值；并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pPr>
                <w:spacing w:line="400" w:lineRule="exact"/>
                <w:ind w:firstLine="420" w:firstLineChars="200"/>
                <w:rPr>
                  <w:rFonts w:ascii="Times New Roman" w:hAnsi="Times New Roman" w:cs="Times New Roman"/>
                  <w:szCs w:val="21"/>
                </w:rPr>
              </w:pPr>
              <w:r>
                <w:rPr>
                  <w:rFonts w:ascii="Times New Roman" w:cs="Times New Roman"/>
                  <w:szCs w:val="21"/>
                </w:rPr>
                <w:t>本公司在确认应享有被投资单位净损益的份额时，以取得投资时被投资单位各项可辨认资产等的公允价值为基础，对被投资单位的净利润进行调整后确认。本公司与联营企业、合营企业之间发生的未实现内部交易损益按照应享有的比例计算归属于本公司的部分予以抵销，在此基础上确认投资损益。</w:t>
              </w:r>
            </w:p>
            <w:p>
              <w:pPr>
                <w:spacing w:line="400" w:lineRule="exact"/>
                <w:ind w:firstLine="420" w:firstLineChars="200"/>
                <w:rPr>
                  <w:rFonts w:ascii="Times New Roman" w:hAnsi="Times New Roman" w:cs="Times New Roman"/>
                  <w:szCs w:val="21"/>
                </w:rPr>
              </w:pPr>
              <w:r>
                <w:rPr>
                  <w:rFonts w:ascii="Times New Roman" w:cs="Times New Roman"/>
                  <w:szCs w:val="21"/>
                </w:rPr>
                <w:t>本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pPr>
                <w:spacing w:line="400" w:lineRule="exact"/>
                <w:ind w:firstLine="420" w:firstLineChars="200"/>
                <w:rPr>
                  <w:rFonts w:ascii="Times New Roman" w:hAnsi="Times New Roman" w:cs="Times New Roman"/>
                  <w:szCs w:val="21"/>
                </w:rPr>
              </w:pPr>
              <w:r>
                <w:rPr>
                  <w:rFonts w:ascii="Times New Roman" w:cs="Times New Roman"/>
                  <w:szCs w:val="21"/>
                </w:rPr>
                <w:t>被投资单位以后期间实现盈利的，公司在扣除未确认的亏损分担额后，按与上述相反的顺序处理，减记已确认预计负债的账面余额、恢复其他实质上构成对被投资单位净投资的长期权益及长期股权投资的账面价值后，恢复确认投资收益。</w:t>
              </w:r>
            </w:p>
            <w:p>
              <w:pPr>
                <w:spacing w:line="400" w:lineRule="exact"/>
                <w:ind w:firstLine="420" w:firstLineChars="200"/>
                <w:rPr>
                  <w:rFonts w:ascii="Times New Roman" w:hAnsi="Times New Roman" w:cs="Times New Roman"/>
                  <w:szCs w:val="21"/>
                </w:rPr>
              </w:pPr>
              <w:r>
                <w:rPr>
                  <w:rFonts w:hint="eastAsia" w:ascii="Times New Roman" w:cs="Times New Roman"/>
                  <w:szCs w:val="21"/>
                </w:rPr>
                <w:t>3.</w:t>
              </w:r>
              <w:r>
                <w:rPr>
                  <w:rFonts w:ascii="Times New Roman" w:cs="Times New Roman"/>
                  <w:szCs w:val="21"/>
                </w:rPr>
                <w:t>长期股权投资核算方法的转换</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）公允价值计量转权益法核算</w:t>
              </w:r>
            </w:p>
            <w:p>
              <w:pPr>
                <w:spacing w:line="400" w:lineRule="exact"/>
                <w:ind w:firstLine="420" w:firstLineChars="200"/>
                <w:rPr>
                  <w:rFonts w:ascii="Times New Roman" w:hAnsi="Times New Roman" w:cs="Times New Roman"/>
                  <w:szCs w:val="21"/>
                </w:rPr>
              </w:pPr>
              <w:r>
                <w:rPr>
                  <w:rFonts w:ascii="Times New Roman" w:cs="Times New Roman"/>
                  <w:szCs w:val="21"/>
                </w:rPr>
                <w:t>本公司原持有的对被投资单位不具有控制、共同控制或重大影响的按金融工具确认和计量准则进行会计处理的权益性投资，因追加投资等原因能够对被投资单位施加重大影响或实施共同控制但不构成控制的，按照《企业会计准则第</w:t>
              </w:r>
              <w:r>
                <w:rPr>
                  <w:rFonts w:ascii="Times New Roman" w:hAnsi="Times New Roman" w:cs="Times New Roman"/>
                  <w:szCs w:val="21"/>
                </w:rPr>
                <w:t>22</w:t>
              </w:r>
              <w:r>
                <w:rPr>
                  <w:rFonts w:ascii="Times New Roman" w:cs="Times New Roman"/>
                  <w:szCs w:val="21"/>
                </w:rPr>
                <w:t>号</w:t>
              </w:r>
              <w:r>
                <w:rPr>
                  <w:rFonts w:ascii="Times New Roman" w:hAnsi="Times New Roman" w:cs="Times New Roman"/>
                  <w:szCs w:val="21"/>
                </w:rPr>
                <w:t>——</w:t>
              </w:r>
              <w:r>
                <w:rPr>
                  <w:rFonts w:ascii="Times New Roman" w:cs="Times New Roman"/>
                  <w:szCs w:val="21"/>
                </w:rPr>
                <w:t>金融工具确认和计量》确定的原持有的股权投资的公允价值加上新增投资成本之和，作为改按权益法核算的初始投资成本。</w:t>
              </w:r>
            </w:p>
            <w:p>
              <w:pPr>
                <w:spacing w:line="400" w:lineRule="exact"/>
                <w:ind w:firstLine="420" w:firstLineChars="200"/>
                <w:rPr>
                  <w:rFonts w:ascii="Times New Roman" w:hAnsi="Times New Roman" w:cs="Times New Roman"/>
                  <w:szCs w:val="21"/>
                </w:rPr>
              </w:pPr>
              <w:r>
                <w:rPr>
                  <w:rFonts w:ascii="Times New Roman" w:cs="Times New Roman"/>
                  <w:szCs w:val="21"/>
                </w:rPr>
                <w:t>原持有的股权投资分类为可供出售金融资产的，其公允价值与账面价值之间的差额，以及原计入其他综合收益的累计公允价值变动转入改按权益法核算的当期损益。</w:t>
              </w:r>
            </w:p>
            <w:p>
              <w:pPr>
                <w:spacing w:line="400" w:lineRule="exact"/>
                <w:ind w:firstLine="420" w:firstLineChars="200"/>
                <w:rPr>
                  <w:rFonts w:ascii="Times New Roman" w:hAnsi="Times New Roman" w:cs="Times New Roman"/>
                  <w:szCs w:val="21"/>
                </w:rPr>
              </w:pPr>
              <w:r>
                <w:rPr>
                  <w:rFonts w:ascii="Times New Roman" w:cs="Times New Roman"/>
                  <w:szCs w:val="21"/>
                </w:rPr>
                <w:t>按权益法核算的初始投资成本小于按照追加投资后全新的持股比例计算确定的应享有被投资单位在追加投资日可辨认净资产公允价值份额之间的差额，调整长期股权投资的账面价值，并计入当期营业外收入。</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）公允价值计量或权益法核算转成本法核算</w:t>
              </w:r>
            </w:p>
            <w:p>
              <w:pPr>
                <w:spacing w:line="400" w:lineRule="exact"/>
                <w:ind w:firstLine="420" w:firstLineChars="200"/>
                <w:rPr>
                  <w:rFonts w:ascii="Times New Roman" w:hAnsi="Times New Roman" w:cs="Times New Roman"/>
                  <w:szCs w:val="21"/>
                </w:rPr>
              </w:pPr>
              <w:r>
                <w:rPr>
                  <w:rFonts w:ascii="Times New Roman" w:cs="Times New Roman"/>
                  <w:szCs w:val="21"/>
                </w:rPr>
                <w:t>本公司原持有的对被投资单位不具有控制、共同控制或重大影响的按金融工具确认和计量准则进行会计处理的权益性投资，或原持有对联营企业、合营企业的长期股权投资，因追加投资等原因能够对非同一控制下的被投资单位实施控制的，在编制个别财务报表时，按照原持有的股权投资账面价值加上新增投资成本之和，作为改按成本法核算的初始投资成本。</w:t>
              </w:r>
            </w:p>
            <w:p>
              <w:pPr>
                <w:spacing w:line="400" w:lineRule="exact"/>
                <w:ind w:firstLine="420" w:firstLineChars="200"/>
                <w:rPr>
                  <w:rFonts w:ascii="Times New Roman" w:hAnsi="Times New Roman" w:cs="Times New Roman"/>
                  <w:szCs w:val="21"/>
                </w:rPr>
              </w:pPr>
              <w:r>
                <w:rPr>
                  <w:rFonts w:ascii="Times New Roman" w:cs="Times New Roman"/>
                  <w:szCs w:val="21"/>
                </w:rPr>
                <w:t>购买日之前持有的股权投资因采用权益法核算而确认的其他综合收益，在处置该项投资时采用与被投资单位直接处置相关资产或负债相同的基础进行会计处理。</w:t>
              </w:r>
            </w:p>
            <w:p>
              <w:pPr>
                <w:spacing w:line="400" w:lineRule="exact"/>
                <w:ind w:firstLine="420" w:firstLineChars="200"/>
                <w:rPr>
                  <w:rFonts w:ascii="Times New Roman" w:hAnsi="Times New Roman" w:cs="Times New Roman"/>
                  <w:szCs w:val="21"/>
                </w:rPr>
              </w:pPr>
              <w:r>
                <w:rPr>
                  <w:rFonts w:ascii="Times New Roman" w:cs="Times New Roman"/>
                  <w:szCs w:val="21"/>
                </w:rPr>
                <w:t>购买日之前持有的股权投资按照《企业会计准则第</w:t>
              </w:r>
              <w:r>
                <w:rPr>
                  <w:rFonts w:ascii="Times New Roman" w:hAnsi="Times New Roman" w:cs="Times New Roman"/>
                  <w:szCs w:val="21"/>
                </w:rPr>
                <w:t>22</w:t>
              </w:r>
              <w:r>
                <w:rPr>
                  <w:rFonts w:ascii="Times New Roman" w:cs="Times New Roman"/>
                  <w:szCs w:val="21"/>
                </w:rPr>
                <w:t>号</w:t>
              </w:r>
              <w:r>
                <w:rPr>
                  <w:rFonts w:ascii="Times New Roman" w:hAnsi="Times New Roman" w:cs="Times New Roman"/>
                  <w:szCs w:val="21"/>
                </w:rPr>
                <w:t>——</w:t>
              </w:r>
              <w:r>
                <w:rPr>
                  <w:rFonts w:ascii="Times New Roman" w:cs="Times New Roman"/>
                  <w:szCs w:val="21"/>
                </w:rPr>
                <w:t>金融工具确认和计量》的有关规定进行会计处理的，原计入其他综合收益的累计公允价值变动在改按成本法核算时转入当期损益。</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3</w:t>
              </w:r>
              <w:r>
                <w:rPr>
                  <w:rFonts w:ascii="Times New Roman" w:cs="Times New Roman"/>
                  <w:szCs w:val="21"/>
                </w:rPr>
                <w:t>）权益法核算转公允价值计量</w:t>
              </w:r>
            </w:p>
            <w:p>
              <w:pPr>
                <w:spacing w:line="400" w:lineRule="exact"/>
                <w:ind w:firstLine="420" w:firstLineChars="200"/>
                <w:rPr>
                  <w:rFonts w:ascii="Times New Roman" w:hAnsi="Times New Roman" w:cs="Times New Roman"/>
                  <w:szCs w:val="21"/>
                </w:rPr>
              </w:pPr>
              <w:r>
                <w:rPr>
                  <w:rFonts w:ascii="Times New Roman" w:cs="Times New Roman"/>
                  <w:szCs w:val="21"/>
                </w:rPr>
                <w:t>本公司因处置部分股权投资等原因丧失了对被投资单位的共同控制或重大影响的，处置后的剩余股权改按《企业会计准则第</w:t>
              </w:r>
              <w:r>
                <w:rPr>
                  <w:rFonts w:ascii="Times New Roman" w:hAnsi="Times New Roman" w:cs="Times New Roman"/>
                  <w:szCs w:val="21"/>
                </w:rPr>
                <w:t>22</w:t>
              </w:r>
              <w:r>
                <w:rPr>
                  <w:rFonts w:ascii="Times New Roman" w:cs="Times New Roman"/>
                  <w:szCs w:val="21"/>
                </w:rPr>
                <w:t>号</w:t>
              </w:r>
              <w:r>
                <w:rPr>
                  <w:rFonts w:ascii="Times New Roman" w:hAnsi="Times New Roman" w:cs="Times New Roman"/>
                  <w:szCs w:val="21"/>
                </w:rPr>
                <w:t>——</w:t>
              </w:r>
              <w:r>
                <w:rPr>
                  <w:rFonts w:ascii="Times New Roman" w:cs="Times New Roman"/>
                  <w:szCs w:val="21"/>
                </w:rPr>
                <w:t>金融工具确认和计量》核算，其在丧失共同控制或重大影响之日的公允价值与账面价值之间的差额计入当期损益。</w:t>
              </w:r>
            </w:p>
            <w:p>
              <w:pPr>
                <w:spacing w:line="400" w:lineRule="exact"/>
                <w:ind w:firstLine="420" w:firstLineChars="200"/>
                <w:rPr>
                  <w:rFonts w:ascii="Times New Roman" w:hAnsi="Times New Roman" w:cs="Times New Roman"/>
                  <w:szCs w:val="21"/>
                </w:rPr>
              </w:pPr>
              <w:r>
                <w:rPr>
                  <w:rFonts w:ascii="Times New Roman" w:cs="Times New Roman"/>
                  <w:szCs w:val="21"/>
                </w:rPr>
                <w:t>原股权投资因采用权益法核算而确认的其他综合收益，在终止采用权益法核算时采用与被投资单位直接处置相关资产或负债相同的基础进行会计处理。</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4</w:t>
              </w:r>
              <w:r>
                <w:rPr>
                  <w:rFonts w:ascii="Times New Roman" w:cs="Times New Roman"/>
                  <w:szCs w:val="21"/>
                </w:rPr>
                <w:t>）成本法转权益法</w:t>
              </w:r>
            </w:p>
            <w:p>
              <w:pPr>
                <w:spacing w:line="400" w:lineRule="exact"/>
                <w:ind w:firstLine="420" w:firstLineChars="200"/>
                <w:rPr>
                  <w:rFonts w:ascii="Times New Roman" w:hAnsi="Times New Roman" w:cs="Times New Roman"/>
                  <w:szCs w:val="21"/>
                </w:rPr>
              </w:pPr>
              <w:r>
                <w:rPr>
                  <w:rFonts w:ascii="Times New Roman" w:cs="Times New Roman"/>
                  <w:szCs w:val="21"/>
                </w:rPr>
                <w:t>本公司因处置部分权益性投资等原因丧失了对被投资单位的控制的，在编制个别财务报表时，处置后的剩余股权能够对被投资单位实施共同控制或施加重大影响的，改按权益法核算，并对该剩余股权视同自取得时即采用权益法核算进行调整。</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5</w:t>
              </w:r>
              <w:r>
                <w:rPr>
                  <w:rFonts w:ascii="Times New Roman" w:cs="Times New Roman"/>
                  <w:szCs w:val="21"/>
                </w:rPr>
                <w:t>）成本法转公允价值计量</w:t>
              </w:r>
            </w:p>
            <w:p>
              <w:pPr>
                <w:spacing w:line="400" w:lineRule="exact"/>
                <w:ind w:firstLine="420" w:firstLineChars="200"/>
                <w:rPr>
                  <w:rFonts w:ascii="Times New Roman" w:hAnsi="Times New Roman" w:cs="Times New Roman"/>
                  <w:szCs w:val="21"/>
                </w:rPr>
              </w:pPr>
              <w:r>
                <w:rPr>
                  <w:rFonts w:ascii="Times New Roman" w:cs="Times New Roman"/>
                  <w:szCs w:val="21"/>
                </w:rPr>
                <w:t>本公司因处置部分权益性投资等原因丧失了对被投资单位的控制的，在编制个别财务报表时，处置后的剩余股权不能对被投资单位实施共同控制或施加重大影响的，改按《企业会计准则第</w:t>
              </w:r>
              <w:r>
                <w:rPr>
                  <w:rFonts w:ascii="Times New Roman" w:hAnsi="Times New Roman" w:cs="Times New Roman"/>
                  <w:szCs w:val="21"/>
                </w:rPr>
                <w:t>22</w:t>
              </w:r>
              <w:r>
                <w:rPr>
                  <w:rFonts w:ascii="Times New Roman" w:cs="Times New Roman"/>
                  <w:szCs w:val="21"/>
                </w:rPr>
                <w:t>号</w:t>
              </w:r>
              <w:r>
                <w:rPr>
                  <w:rFonts w:ascii="Times New Roman" w:hAnsi="Times New Roman" w:cs="Times New Roman"/>
                  <w:szCs w:val="21"/>
                </w:rPr>
                <w:t>——</w:t>
              </w:r>
              <w:r>
                <w:rPr>
                  <w:rFonts w:ascii="Times New Roman" w:cs="Times New Roman"/>
                  <w:szCs w:val="21"/>
                </w:rPr>
                <w:t>金融工具确认和计量》的有关规定进行会计处理，其在丧失控制之日的公允价值与账面价值间的差额计入当期损益。</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长期股权投资的处置</w:t>
              </w:r>
            </w:p>
            <w:p>
              <w:pPr>
                <w:spacing w:line="400" w:lineRule="exact"/>
                <w:ind w:firstLine="420" w:firstLineChars="200"/>
                <w:rPr>
                  <w:rFonts w:ascii="Times New Roman" w:hAnsi="Times New Roman" w:cs="Times New Roman"/>
                  <w:szCs w:val="21"/>
                </w:rPr>
              </w:pPr>
              <w:r>
                <w:rPr>
                  <w:rFonts w:ascii="Times New Roman" w:cs="Times New Roman"/>
                  <w:szCs w:val="21"/>
                </w:rPr>
                <w:t>处置长期股权投资，其账面价值与实际取得价款之间的差额，应当计入当期损益。采用权益法核算的长期股权投资，在处置该项投资时，采用与被投资单位直接处置相关资产或负债相同的基础，按相应比例对原计入其他综合收益的部分进行会计处理。</w:t>
              </w:r>
            </w:p>
            <w:p>
              <w:pPr>
                <w:spacing w:line="400" w:lineRule="exact"/>
                <w:ind w:firstLine="420" w:firstLineChars="200"/>
                <w:rPr>
                  <w:rFonts w:ascii="Times New Roman" w:hAnsi="Times New Roman" w:cs="Times New Roman"/>
                  <w:szCs w:val="21"/>
                </w:rPr>
              </w:pPr>
              <w:r>
                <w:rPr>
                  <w:rFonts w:ascii="Times New Roman" w:cs="Times New Roman"/>
                  <w:szCs w:val="21"/>
                </w:rPr>
                <w:t>处置对子公司股权投资的各项交易的条款、条件以及经济影响符合以下一种或多种情况，将多次交易事项作为一揽子交易进行会计处理：</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）这些交易是同时或者在考虑了彼此影响的情况下订立的；</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）这些交易整体才能达成一项完整的商业结果；</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3</w:t>
              </w:r>
              <w:r>
                <w:rPr>
                  <w:rFonts w:ascii="Times New Roman" w:cs="Times New Roman"/>
                  <w:szCs w:val="21"/>
                </w:rPr>
                <w:t>）一项交易的发生取决于其他至少一项交易的发生；</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4</w:t>
              </w:r>
              <w:r>
                <w:rPr>
                  <w:rFonts w:ascii="Times New Roman" w:cs="Times New Roman"/>
                  <w:szCs w:val="21"/>
                </w:rPr>
                <w:t>）一项交易单独看是不经济的，但是和其他交易一并考虑时是经济的。</w:t>
              </w:r>
            </w:p>
            <w:p>
              <w:pPr>
                <w:spacing w:line="400" w:lineRule="exact"/>
                <w:ind w:firstLine="420" w:firstLineChars="200"/>
                <w:rPr>
                  <w:rFonts w:ascii="Times New Roman" w:hAnsi="Times New Roman" w:cs="Times New Roman"/>
                  <w:szCs w:val="21"/>
                </w:rPr>
              </w:pPr>
              <w:r>
                <w:rPr>
                  <w:rFonts w:ascii="Times New Roman" w:cs="Times New Roman"/>
                  <w:szCs w:val="21"/>
                </w:rPr>
                <w:t>因处置部分股权投资或其他原因丧失了对原有子公司控制权的，不属于一揽子交易的，区分个别财务报表和合并财务报表进行相关会计处理：</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在个别财务报表中，对于处置的股权，其账面价值与实际取得价款之间的差额计入当期损益。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w:t>
              </w:r>
              <w:r>
                <w:rPr>
                  <w:rFonts w:ascii="Times New Roman" w:hAnsi="Times New Roman" w:cs="Times New Roman"/>
                  <w:szCs w:val="21"/>
                </w:rPr>
                <w:t>22</w:t>
              </w:r>
              <w:r>
                <w:rPr>
                  <w:rFonts w:ascii="Times New Roman" w:cs="Times New Roman"/>
                  <w:szCs w:val="21"/>
                </w:rPr>
                <w:t>号</w:t>
              </w:r>
              <w:r>
                <w:rPr>
                  <w:rFonts w:ascii="Times New Roman" w:hAnsi="Times New Roman" w:cs="Times New Roman"/>
                  <w:szCs w:val="21"/>
                </w:rPr>
                <w:t>——</w:t>
              </w:r>
              <w:r>
                <w:rPr>
                  <w:rFonts w:ascii="Times New Roman" w:cs="Times New Roman"/>
                  <w:szCs w:val="21"/>
                </w:rPr>
                <w:t>金融工具确认和计量》的有关规定进行会计处理，其在丧失控制之日的公允价值与账面价值间的差额计入当期损益。</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在合并财务报表中，对于在丧失对子公司控制权以前的各项交易，处置价款与处置长期股权投资相应对享有子公司自购买日或合并日开始持续计算的净资产份额之间的差额，调整资本公积（股本溢价），资本公积不足冲减的，调整留存收益；在丧失对子公司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等，在丧失控制权时转为当期投资收益。</w:t>
              </w:r>
            </w:p>
            <w:p>
              <w:pPr>
                <w:spacing w:line="400" w:lineRule="exact"/>
                <w:ind w:firstLine="420" w:firstLineChars="200"/>
                <w:rPr>
                  <w:rFonts w:ascii="Times New Roman" w:hAnsi="Times New Roman" w:cs="Times New Roman"/>
                  <w:szCs w:val="21"/>
                </w:rPr>
              </w:pPr>
              <w:r>
                <w:rPr>
                  <w:rFonts w:ascii="Times New Roman" w:cs="Times New Roman"/>
                  <w:szCs w:val="21"/>
                </w:rPr>
                <w:t>处置对子公司股权投资直至丧失控制权的各项交易属于一揽子交易的，将各项交易作为一项处置子公司股权投资并丧失控制权的交易进行会计处理，区分个别财务报表和合并财务报表进行相关会计处理：</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）在个别财务报表中，在丧失控制权之前每一次处置价款与处置的股权对应的长期股权投资账面价值之间的差额，确认为其他综合收益，在丧失控制权时一并转入丧失控制权当期的损益。</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）在合并财务报表中，在丧失控制权之前每一次处置价款与处置投资对应的享有该子公司净资产份额的差额，确认为其他综合收益，在丧失控制权时一并转入丧失控制权当期的损益。</w:t>
              </w:r>
            </w:p>
            <w:p>
              <w:pPr>
                <w:spacing w:line="400" w:lineRule="exact"/>
                <w:ind w:firstLine="420" w:firstLineChars="200"/>
                <w:rPr>
                  <w:rFonts w:ascii="Times New Roman" w:hAnsi="Times New Roman" w:cs="Times New Roman"/>
                  <w:szCs w:val="21"/>
                </w:rPr>
              </w:pPr>
              <w:r>
                <w:rPr>
                  <w:rFonts w:ascii="Times New Roman" w:hAnsi="Times New Roman" w:cs="Times New Roman"/>
                  <w:szCs w:val="21"/>
                </w:rPr>
                <w:t>5.</w:t>
              </w:r>
              <w:r>
                <w:rPr>
                  <w:rFonts w:ascii="Times New Roman" w:cs="Times New Roman"/>
                  <w:szCs w:val="21"/>
                </w:rPr>
                <w:t>共同控制、重大影响的判断标准</w:t>
              </w:r>
            </w:p>
            <w:p>
              <w:pPr>
                <w:spacing w:line="400" w:lineRule="exact"/>
                <w:ind w:firstLine="420" w:firstLineChars="200"/>
                <w:rPr>
                  <w:rFonts w:ascii="Times New Roman" w:hAnsi="Times New Roman" w:cs="Times New Roman"/>
                  <w:szCs w:val="21"/>
                </w:rPr>
              </w:pPr>
              <w:r>
                <w:rPr>
                  <w:rFonts w:ascii="Times New Roman" w:cs="Times New Roman"/>
                  <w:szCs w:val="21"/>
                </w:rPr>
                <w:t>如果本公司按照相关约定与其他参与方集体控制某项安排，并且对该安排回报具有重大影响的活动决策，需要经过分享控制权的参与方一致同意时才存在，则视为本公司与其他参与方共同控制某项安排，该安排即属于合营安排。</w:t>
              </w:r>
            </w:p>
            <w:p>
              <w:pPr>
                <w:spacing w:line="400" w:lineRule="exact"/>
                <w:ind w:firstLine="420" w:firstLineChars="200"/>
                <w:rPr>
                  <w:rFonts w:ascii="Times New Roman" w:hAnsi="Times New Roman" w:cs="Times New Roman"/>
                  <w:szCs w:val="21"/>
                </w:rPr>
              </w:pPr>
              <w:r>
                <w:rPr>
                  <w:rFonts w:ascii="Times New Roman" w:cs="Times New Roman"/>
                  <w:szCs w:val="21"/>
                </w:rPr>
                <w:t>合营安排通过单独主体达成的，根据相关约定判断本公司对该单独主体的净资产享有权利时，将该单独主体作为合营企业，采用权益法核算。若根据相关约定判断本公司并非对该单独主体的净资产享有权利时，该单独主体作为共同经营，本公司确认与共同经营利益份额相关的项目，并按照相关企业会计准则的规定进行会计处理。</w:t>
              </w:r>
            </w:p>
            <w:p>
              <w:pPr>
                <w:spacing w:line="400" w:lineRule="exact"/>
                <w:ind w:firstLine="420" w:firstLineChars="200"/>
                <w:rPr>
                  <w:rFonts w:ascii="Times New Roman" w:hAnsi="Times New Roman" w:cs="Times New Roman"/>
                  <w:szCs w:val="21"/>
                </w:rPr>
              </w:pPr>
              <w:r>
                <w:rPr>
                  <w:rFonts w:ascii="Times New Roman" w:cs="Times New Roman"/>
                  <w:szCs w:val="21"/>
                </w:rPr>
                <w:t>重大影响，是指投资方对被投资单位的财务和经营政策有参与决策的权力，但并不能够控制或者与其他方一起共同控制这些政策的制定。本公司通过以下一种或多种情形，并综合考虑所有事实和情况后，判断对被投资单位具有重大影响：（</w:t>
              </w:r>
              <w:r>
                <w:rPr>
                  <w:rFonts w:ascii="Times New Roman" w:hAnsi="Times New Roman" w:cs="Times New Roman"/>
                  <w:szCs w:val="21"/>
                </w:rPr>
                <w:t>1</w:t>
              </w:r>
              <w:r>
                <w:rPr>
                  <w:rFonts w:ascii="Times New Roman" w:cs="Times New Roman"/>
                  <w:szCs w:val="21"/>
                </w:rPr>
                <w:t>）在被投资单位的董事会或类似权力机构中派有代表；（</w:t>
              </w:r>
              <w:r>
                <w:rPr>
                  <w:rFonts w:ascii="Times New Roman" w:hAnsi="Times New Roman" w:cs="Times New Roman"/>
                  <w:szCs w:val="21"/>
                </w:rPr>
                <w:t>2</w:t>
              </w:r>
              <w:r>
                <w:rPr>
                  <w:rFonts w:ascii="Times New Roman" w:cs="Times New Roman"/>
                  <w:szCs w:val="21"/>
                </w:rPr>
                <w:t>）参与被投资单位财务和经营政策制定过程；（</w:t>
              </w:r>
              <w:r>
                <w:rPr>
                  <w:rFonts w:ascii="Times New Roman" w:hAnsi="Times New Roman" w:cs="Times New Roman"/>
                  <w:szCs w:val="21"/>
                </w:rPr>
                <w:t>3</w:t>
              </w:r>
              <w:r>
                <w:rPr>
                  <w:rFonts w:ascii="Times New Roman" w:cs="Times New Roman"/>
                  <w:szCs w:val="21"/>
                </w:rPr>
                <w:t>）与被投资单位之间发生重要交易；（</w:t>
              </w:r>
              <w:r>
                <w:rPr>
                  <w:rFonts w:ascii="Times New Roman" w:hAnsi="Times New Roman" w:cs="Times New Roman"/>
                  <w:szCs w:val="21"/>
                </w:rPr>
                <w:t>4</w:t>
              </w:r>
              <w:r>
                <w:rPr>
                  <w:rFonts w:ascii="Times New Roman" w:cs="Times New Roman"/>
                  <w:szCs w:val="21"/>
                </w:rPr>
                <w:t>）向被投资单位派出管理人员；（</w:t>
              </w:r>
              <w:r>
                <w:rPr>
                  <w:rFonts w:ascii="Times New Roman" w:hAnsi="Times New Roman" w:cs="Times New Roman"/>
                  <w:szCs w:val="21"/>
                </w:rPr>
                <w:t>5</w:t>
              </w:r>
              <w:r>
                <w:rPr>
                  <w:rFonts w:ascii="Times New Roman" w:cs="Times New Roman"/>
                  <w:szCs w:val="21"/>
                </w:rPr>
                <w:t>）向被投资单位提供关键技术资料。</w:t>
              </w:r>
            </w:p>
            <w:p>
              <w:pPr>
                <w:rPr>
                  <w:szCs w:val="21"/>
                </w:rPr>
              </w:pPr>
            </w:p>
          </w:sdtContent>
        </w:sdt>
        <w:p>
          <w:pPr>
            <w:rPr>
              <w:szCs w:val="21"/>
            </w:rPr>
          </w:pPr>
        </w:p>
        <w:p>
          <w:pPr>
            <w:rPr>
              <w:szCs w:val="21"/>
            </w:rPr>
          </w:pPr>
        </w:p>
      </w:sdtContent>
    </w:sdt>
    <w:p>
      <w:pPr>
        <w:pStyle w:val="4"/>
        <w:numPr>
          <w:ilvl w:val="0"/>
          <w:numId w:val="61"/>
        </w:numPr>
      </w:pPr>
      <w:r>
        <w:t>投资性房地产</w:t>
      </w:r>
    </w:p>
    <w:sdt>
      <w:sdtPr>
        <w:rPr>
          <w:rFonts w:hint="eastAsia" w:ascii="宋体" w:hAnsi="宋体" w:eastAsia="宋体" w:cs="宋体"/>
          <w:b w:val="0"/>
          <w:bCs w:val="0"/>
          <w:kern w:val="0"/>
          <w:szCs w:val="24"/>
        </w:rPr>
        <w:alias w:val="选项模块:成本计量模式"/>
        <w:tag w:val="_GBC_20b1c487c1e348188269523d7d980194"/>
        <w:id w:val="865724103"/>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69"/>
            </w:numPr>
          </w:pPr>
          <w:r>
            <w:rPr>
              <w:rFonts w:hint="eastAsia" w:ascii="宋体" w:hAnsi="宋体" w:cs="宋体"/>
              <w:kern w:val="0"/>
              <w:szCs w:val="24"/>
            </w:rPr>
            <w:t>如果</w:t>
          </w:r>
          <w:r>
            <w:rPr>
              <w:rFonts w:hint="eastAsia"/>
            </w:rPr>
            <w:t>采用成本计量模式的：</w:t>
          </w:r>
        </w:p>
        <w:p>
          <w:pPr>
            <w:pStyle w:val="36"/>
            <w:spacing w:line="400" w:lineRule="exact"/>
            <w:ind w:firstLine="420" w:firstLineChars="200"/>
            <w:rPr>
              <w:rFonts w:ascii="Times New Roman" w:hAnsi="Times New Roman"/>
              <w:b w:val="0"/>
              <w:szCs w:val="21"/>
            </w:rPr>
          </w:pPr>
          <w:r>
            <w:rPr>
              <w:rFonts w:hint="eastAsia" w:ascii="宋体" w:hAnsi="宋体"/>
              <w:b w:val="0"/>
              <w:szCs w:val="21"/>
            </w:rPr>
            <w:t>折</w:t>
          </w:r>
          <w:r>
            <w:rPr>
              <w:rFonts w:ascii="Times New Roman" w:hAnsi="宋体"/>
              <w:b w:val="0"/>
              <w:szCs w:val="21"/>
            </w:rPr>
            <w:t>旧或摊销方法</w:t>
          </w:r>
        </w:p>
        <w:sdt>
          <w:sdtPr>
            <w:rPr>
              <w:rFonts w:ascii="Times New Roman" w:hAnsi="Times New Roman" w:cs="宋体"/>
              <w:kern w:val="0"/>
              <w:szCs w:val="24"/>
            </w:rPr>
            <w:alias w:val="采用成本计量模式的折旧或摊销方法"/>
            <w:tag w:val="_GBC_5b2898357289426780691d99ea19aa67"/>
            <w:id w:val="865724102"/>
            <w:lock w:val="sdtLocked"/>
            <w:placeholder>
              <w:docPart w:val="GBC22222222222222222222222222222"/>
            </w:placeholder>
          </w:sdtPr>
          <w:sdtEndPr>
            <w:rPr>
              <w:rFonts w:ascii="Times New Roman" w:hAnsi="Times New Roman" w:cs="宋体"/>
              <w:kern w:val="0"/>
              <w:szCs w:val="24"/>
            </w:rPr>
          </w:sdtEndPr>
          <w:sdtContent>
            <w:p>
              <w:pPr>
                <w:pStyle w:val="112"/>
                <w:widowControl w:val="0"/>
                <w:tabs>
                  <w:tab w:val="left" w:pos="196"/>
                  <w:tab w:val="left" w:pos="426"/>
                </w:tabs>
                <w:spacing w:line="400" w:lineRule="exact"/>
                <w:ind w:left="0" w:leftChars="0" w:firstLine="420" w:firstLineChars="200"/>
                <w:jc w:val="both"/>
                <w:rPr>
                  <w:rFonts w:ascii="Times New Roman" w:hAnsi="Times New Roman" w:eastAsiaTheme="minorEastAsia"/>
                </w:rPr>
              </w:pPr>
              <w:r>
                <w:rPr>
                  <w:rFonts w:ascii="Times New Roman" w:hAnsiTheme="minorEastAsia" w:eastAsiaTheme="minorEastAsia"/>
                </w:rPr>
                <w:t>投资性房地产是指为赚取租金或资本增值，或两者兼有而持有的房地产，包括已出租的土地使用权、持有并准备增值后转让的土地使用权、已出租的建筑物。此外，对于本公司持有以备经营出租的空置建筑物，若董事会作出书面决议，明确表示将其用于经营出租且持有意图短期内不再发生变化的，也作为投资性房地产列报。</w:t>
              </w:r>
            </w:p>
            <w:p>
              <w:pPr>
                <w:pStyle w:val="20"/>
                <w:tabs>
                  <w:tab w:val="left" w:pos="196"/>
                  <w:tab w:val="left" w:pos="426"/>
                </w:tabs>
                <w:adjustRightInd w:val="0"/>
                <w:snapToGrid w:val="0"/>
                <w:spacing w:line="400" w:lineRule="exact"/>
                <w:ind w:firstLine="420" w:firstLineChars="200"/>
                <w:rPr>
                  <w:rFonts w:ascii="Times New Roman" w:hAnsi="Times New Roman" w:eastAsiaTheme="minorEastAsia"/>
                  <w:szCs w:val="21"/>
                </w:rPr>
              </w:pPr>
              <w:r>
                <w:rPr>
                  <w:rFonts w:ascii="Times New Roman" w:hAnsiTheme="minorEastAsia" w:eastAsiaTheme="minorEastAsia"/>
                  <w:szCs w:val="21"/>
                </w:rPr>
                <w:t>本公司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pPr>
                <w:pStyle w:val="20"/>
                <w:tabs>
                  <w:tab w:val="left" w:pos="196"/>
                  <w:tab w:val="left" w:pos="426"/>
                </w:tabs>
                <w:adjustRightInd w:val="0"/>
                <w:snapToGrid w:val="0"/>
                <w:spacing w:line="400" w:lineRule="exact"/>
                <w:ind w:firstLine="420" w:firstLineChars="200"/>
                <w:rPr>
                  <w:rFonts w:ascii="Times New Roman" w:hAnsi="Times New Roman" w:eastAsiaTheme="minorEastAsia"/>
                  <w:szCs w:val="21"/>
                </w:rPr>
              </w:pPr>
              <w:r>
                <w:rPr>
                  <w:rFonts w:ascii="Times New Roman" w:hAnsiTheme="minorEastAsia" w:eastAsiaTheme="minorEastAsia"/>
                  <w:szCs w:val="21"/>
                </w:rPr>
                <w:t>本公司投资性房地产中出租的建筑物采用年限平均法计提折旧，具体核算政策与固定资产部分相同。投资性房地产中出租的土地使用权、持有并准备增值后转让的土地使用权采用直线法摊销，具体核算政策与无形资产部分相同。</w:t>
              </w:r>
            </w:p>
            <w:p>
              <w:pPr>
                <w:pStyle w:val="20"/>
                <w:tabs>
                  <w:tab w:val="left" w:pos="196"/>
                  <w:tab w:val="left" w:pos="426"/>
                </w:tabs>
                <w:adjustRightInd w:val="0"/>
                <w:snapToGrid w:val="0"/>
                <w:spacing w:line="400" w:lineRule="exact"/>
                <w:ind w:firstLine="420" w:firstLineChars="200"/>
                <w:rPr>
                  <w:rFonts w:ascii="Times New Roman" w:hAnsi="Times New Roman" w:eastAsiaTheme="minorEastAsia"/>
                  <w:szCs w:val="21"/>
                </w:rPr>
              </w:pPr>
              <w:r>
                <w:rPr>
                  <w:rFonts w:ascii="Times New Roman" w:hAnsiTheme="minorEastAsia" w:eastAsiaTheme="minorEastAsia"/>
                  <w:szCs w:val="21"/>
                </w:rPr>
                <w:t>投资性房地产的用途改变为自用时，自改变之日起，本公司将该投资性房地产转换为固定资产或无形资产。自用房地产的用途改变为赚取租金或资本增值时，自改变之日起，本公司将固定资产或无形资产转换为投资性房地产。发生转换时，以转换前的账面价值作为转换后的入账价值。</w:t>
              </w:r>
            </w:p>
            <w:p>
              <w:pPr>
                <w:spacing w:line="400" w:lineRule="exact"/>
                <w:ind w:firstLine="420" w:firstLineChars="200"/>
                <w:rPr>
                  <w:rFonts w:ascii="Times New Roman" w:hAnsi="Times New Roman" w:cs="Times New Roman"/>
                  <w:szCs w:val="21"/>
                </w:rPr>
              </w:pPr>
              <w:r>
                <w:rPr>
                  <w:rFonts w:ascii="Times New Roman" w:cs="Times New Roman" w:hAnsiTheme="minorEastAsia" w:eastAsiaTheme="minorEastAsia"/>
                  <w:szCs w:val="21"/>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p>
          <w:pPr>
            <w:rPr>
              <w:szCs w:val="21"/>
            </w:rPr>
          </w:pPr>
        </w:p>
      </w:sdtContent>
    </w:sdt>
    <w:p>
      <w:pPr>
        <w:pStyle w:val="4"/>
        <w:numPr>
          <w:ilvl w:val="0"/>
          <w:numId w:val="61"/>
        </w:numPr>
      </w:pPr>
      <w:r>
        <w:t>固定资产</w:t>
      </w:r>
    </w:p>
    <w:sdt>
      <w:sdtPr>
        <w:rPr>
          <w:rFonts w:ascii="宋体" w:hAnsi="宋体" w:eastAsia="宋体" w:cs="宋体"/>
          <w:b w:val="0"/>
          <w:bCs w:val="0"/>
          <w:kern w:val="0"/>
          <w:szCs w:val="24"/>
        </w:rPr>
        <w:alias w:val="模块:固定资产确认条件"/>
        <w:tag w:val="_GBC_662771796da549e1b2a02fb7d497f077"/>
        <w:id w:val="865724106"/>
        <w:lock w:val="sdtLocked"/>
        <w:placeholder>
          <w:docPart w:val="GBC22222222222222222222222222222"/>
        </w:placeholder>
      </w:sdtPr>
      <w:sdtEndPr>
        <w:rPr>
          <w:rFonts w:ascii="Times New Roman" w:hAnsi="Times New Roman" w:eastAsia="宋体" w:cs="宋体"/>
          <w:b w:val="0"/>
          <w:bCs w:val="0"/>
          <w:kern w:val="0"/>
          <w:szCs w:val="24"/>
        </w:rPr>
      </w:sdtEndPr>
      <w:sdtContent>
        <w:p>
          <w:pPr>
            <w:pStyle w:val="5"/>
            <w:numPr>
              <w:ilvl w:val="0"/>
              <w:numId w:val="70"/>
            </w:numPr>
          </w:pPr>
          <w:r>
            <w:rPr>
              <w:rFonts w:hint="eastAsia"/>
            </w:rPr>
            <w:t>确认条件</w:t>
          </w:r>
        </w:p>
        <w:sdt>
          <w:sdtPr>
            <w:alias w:val="是否适用：固定资产确认条件[双击切换]"/>
            <w:tag w:val="_GBC_4c768c6eca804bab9e4fc027185bcda6"/>
            <w:id w:val="865724104"/>
            <w:lock w:val="sdtLocked"/>
          </w:sdtPr>
          <w:sdtContent>
            <w:p>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bCs/>
              <w:szCs w:val="21"/>
            </w:rPr>
            <w:alias w:val="固定资产确认条件"/>
            <w:tag w:val="_GBC_3044d53470b143fa9477fa34b85d4ec5"/>
            <w:id w:val="865724105"/>
            <w:lock w:val="sdtLocked"/>
          </w:sdtPr>
          <w:sdtEndPr>
            <w:rPr>
              <w:rFonts w:ascii="Times New Roman" w:hAnsi="Times New Roman" w:cs="Times New Roman"/>
              <w:b/>
              <w:bCs/>
              <w:szCs w:val="21"/>
            </w:rPr>
          </w:sdtEndPr>
          <w:sdtContent>
            <w:p>
              <w:pPr>
                <w:spacing w:line="400" w:lineRule="exact"/>
                <w:ind w:firstLine="420" w:firstLineChars="200"/>
                <w:rPr>
                  <w:rFonts w:ascii="Times New Roman" w:hAnsi="Times New Roman" w:cs="Times New Roman"/>
                  <w:b/>
                  <w:bCs/>
                  <w:szCs w:val="21"/>
                </w:rPr>
              </w:pPr>
              <w:r>
                <w:rPr>
                  <w:rFonts w:ascii="Times New Roman" w:cs="Times New Roman"/>
                  <w:bCs/>
                  <w:szCs w:val="21"/>
                </w:rPr>
                <w:t>固定资产指为生产商品、提供劳务、出租或经营管理而持有，并且使用寿命超过一个会计年度的有形资产。固定资产在同时满足下列条件时予以确认：</w:t>
              </w:r>
            </w:p>
            <w:p>
              <w:pPr>
                <w:spacing w:line="400" w:lineRule="exact"/>
                <w:ind w:firstLine="420" w:firstLineChars="200"/>
                <w:rPr>
                  <w:rFonts w:ascii="Times New Roman" w:hAnsi="Times New Roman" w:cs="Times New Roman"/>
                  <w:b/>
                  <w:bCs/>
                  <w:szCs w:val="21"/>
                </w:rPr>
              </w:pPr>
              <w:r>
                <w:rPr>
                  <w:rFonts w:ascii="Times New Roman" w:cs="Times New Roman"/>
                  <w:bCs/>
                  <w:szCs w:val="21"/>
                </w:rPr>
                <w:t>（</w:t>
              </w:r>
              <w:r>
                <w:rPr>
                  <w:rFonts w:ascii="Times New Roman" w:hAnsi="Times New Roman" w:cs="Times New Roman"/>
                  <w:bCs/>
                  <w:szCs w:val="21"/>
                </w:rPr>
                <w:t>1</w:t>
              </w:r>
              <w:r>
                <w:rPr>
                  <w:rFonts w:ascii="Times New Roman" w:cs="Times New Roman"/>
                  <w:bCs/>
                  <w:szCs w:val="21"/>
                </w:rPr>
                <w:t>）与该固定资产有关的经济利益很可能流入企业；</w:t>
              </w:r>
            </w:p>
            <w:p>
              <w:pPr>
                <w:spacing w:line="400" w:lineRule="exact"/>
                <w:ind w:firstLine="420" w:firstLineChars="200"/>
                <w:rPr>
                  <w:rFonts w:ascii="Times New Roman" w:hAnsi="Times New Roman" w:cs="Times New Roman"/>
                  <w:b/>
                  <w:bCs/>
                  <w:szCs w:val="21"/>
                </w:rPr>
              </w:pPr>
              <w:r>
                <w:rPr>
                  <w:rFonts w:ascii="Times New Roman" w:cs="Times New Roman"/>
                  <w:bCs/>
                  <w:szCs w:val="21"/>
                </w:rPr>
                <w:t>（</w:t>
              </w:r>
              <w:r>
                <w:rPr>
                  <w:rFonts w:ascii="Times New Roman" w:hAnsi="Times New Roman" w:cs="Times New Roman"/>
                  <w:bCs/>
                  <w:szCs w:val="21"/>
                </w:rPr>
                <w:t>2</w:t>
              </w:r>
              <w:r>
                <w:rPr>
                  <w:rFonts w:ascii="Times New Roman" w:cs="Times New Roman"/>
                  <w:bCs/>
                  <w:szCs w:val="21"/>
                </w:rPr>
                <w:t>）该固定资产的成本能够可靠地计量。</w:t>
              </w:r>
            </w:p>
            <w:p>
              <w:pPr>
                <w:spacing w:line="400" w:lineRule="exact"/>
                <w:ind w:firstLine="420" w:firstLineChars="200"/>
                <w:rPr>
                  <w:rFonts w:ascii="Times New Roman" w:hAnsi="Times New Roman" w:cs="Times New Roman"/>
                  <w:b/>
                  <w:bCs/>
                  <w:szCs w:val="21"/>
                </w:rPr>
              </w:pPr>
              <w:r>
                <w:rPr>
                  <w:rFonts w:ascii="Times New Roman" w:hAnsi="Times New Roman" w:cs="Times New Roman"/>
                  <w:bCs/>
                  <w:szCs w:val="21"/>
                </w:rPr>
                <w:t>2.</w:t>
              </w:r>
              <w:r>
                <w:rPr>
                  <w:rFonts w:ascii="Times New Roman" w:cs="Times New Roman"/>
                  <w:bCs/>
                  <w:szCs w:val="21"/>
                </w:rPr>
                <w:t>固定资产初始计量</w:t>
              </w:r>
            </w:p>
            <w:p>
              <w:pPr>
                <w:spacing w:line="400" w:lineRule="exact"/>
                <w:ind w:firstLine="420" w:firstLineChars="200"/>
                <w:rPr>
                  <w:rFonts w:ascii="Times New Roman" w:hAnsi="Times New Roman" w:cs="Times New Roman"/>
                  <w:b/>
                  <w:bCs/>
                  <w:szCs w:val="21"/>
                </w:rPr>
              </w:pPr>
              <w:r>
                <w:rPr>
                  <w:rFonts w:ascii="Times New Roman" w:cs="Times New Roman"/>
                  <w:bCs/>
                  <w:szCs w:val="21"/>
                </w:rPr>
                <w:t>本公司固定资产按成本进行初始计量。</w:t>
              </w:r>
            </w:p>
            <w:p>
              <w:pPr>
                <w:spacing w:line="400" w:lineRule="exact"/>
                <w:ind w:firstLine="420" w:firstLineChars="200"/>
                <w:rPr>
                  <w:rFonts w:ascii="Times New Roman" w:hAnsi="Times New Roman" w:cs="Times New Roman"/>
                  <w:b/>
                  <w:bCs/>
                  <w:szCs w:val="21"/>
                </w:rPr>
              </w:pPr>
              <w:r>
                <w:rPr>
                  <w:rFonts w:ascii="Times New Roman" w:cs="Times New Roman"/>
                  <w:bCs/>
                  <w:szCs w:val="21"/>
                </w:rPr>
                <w:t>（</w:t>
              </w:r>
              <w:r>
                <w:rPr>
                  <w:rFonts w:ascii="Times New Roman" w:hAnsi="Times New Roman" w:cs="Times New Roman"/>
                  <w:bCs/>
                  <w:szCs w:val="21"/>
                </w:rPr>
                <w:t>1</w:t>
              </w:r>
              <w:r>
                <w:rPr>
                  <w:rFonts w:ascii="Times New Roman" w:cs="Times New Roman"/>
                  <w:bCs/>
                  <w:szCs w:val="21"/>
                </w:rPr>
                <w:t>）外购的固定资产的成本包括买价、进口关税等相关税费，以及为使固定资产达到预定可使用状态前所发生的可直接归属于该资产的其他支出。</w:t>
              </w:r>
            </w:p>
            <w:p>
              <w:pPr>
                <w:spacing w:line="400" w:lineRule="exact"/>
                <w:ind w:firstLine="420" w:firstLineChars="200"/>
                <w:rPr>
                  <w:rFonts w:ascii="Times New Roman" w:hAnsi="Times New Roman" w:cs="Times New Roman"/>
                  <w:b/>
                  <w:bCs/>
                  <w:szCs w:val="21"/>
                </w:rPr>
              </w:pPr>
              <w:r>
                <w:rPr>
                  <w:rFonts w:ascii="Times New Roman" w:cs="Times New Roman"/>
                  <w:bCs/>
                  <w:szCs w:val="21"/>
                </w:rPr>
                <w:t>（</w:t>
              </w:r>
              <w:r>
                <w:rPr>
                  <w:rFonts w:ascii="Times New Roman" w:hAnsi="Times New Roman" w:cs="Times New Roman"/>
                  <w:bCs/>
                  <w:szCs w:val="21"/>
                </w:rPr>
                <w:t>2</w:t>
              </w:r>
              <w:r>
                <w:rPr>
                  <w:rFonts w:ascii="Times New Roman" w:cs="Times New Roman"/>
                  <w:bCs/>
                  <w:szCs w:val="21"/>
                </w:rPr>
                <w:t>）自行建造固定资产的成本，由建造该项资产达到预定可使用状态前所发生的必要支出构成。</w:t>
              </w:r>
            </w:p>
            <w:p>
              <w:pPr>
                <w:spacing w:line="400" w:lineRule="exact"/>
                <w:ind w:firstLine="420" w:firstLineChars="200"/>
                <w:rPr>
                  <w:rFonts w:ascii="Times New Roman" w:hAnsi="Times New Roman" w:cs="Times New Roman"/>
                  <w:b/>
                  <w:bCs/>
                  <w:szCs w:val="21"/>
                </w:rPr>
              </w:pPr>
              <w:r>
                <w:rPr>
                  <w:rFonts w:ascii="Times New Roman" w:cs="Times New Roman"/>
                  <w:bCs/>
                  <w:szCs w:val="21"/>
                </w:rPr>
                <w:t>（</w:t>
              </w:r>
              <w:r>
                <w:rPr>
                  <w:rFonts w:ascii="Times New Roman" w:hAnsi="Times New Roman" w:cs="Times New Roman"/>
                  <w:bCs/>
                  <w:szCs w:val="21"/>
                </w:rPr>
                <w:t>3</w:t>
              </w:r>
              <w:r>
                <w:rPr>
                  <w:rFonts w:ascii="Times New Roman" w:cs="Times New Roman"/>
                  <w:bCs/>
                  <w:szCs w:val="21"/>
                </w:rPr>
                <w:t>）投资者投入的固定资产，按投资合同或协议约定的价值作为入账价值，但合同或协议约定价值不公允的按公允价值入账。</w:t>
              </w:r>
            </w:p>
            <w:p>
              <w:pPr>
                <w:spacing w:line="400" w:lineRule="exact"/>
                <w:ind w:firstLine="420" w:firstLineChars="200"/>
                <w:rPr>
                  <w:rFonts w:ascii="Times New Roman" w:hAnsi="Times New Roman" w:cs="Times New Roman"/>
                  <w:b/>
                  <w:bCs/>
                  <w:szCs w:val="21"/>
                </w:rPr>
              </w:pPr>
              <w:r>
                <w:rPr>
                  <w:rFonts w:ascii="Times New Roman" w:cs="Times New Roman"/>
                  <w:bCs/>
                  <w:szCs w:val="21"/>
                </w:rPr>
                <w:t>（</w:t>
              </w:r>
              <w:r>
                <w:rPr>
                  <w:rFonts w:ascii="Times New Roman" w:hAnsi="Times New Roman" w:cs="Times New Roman"/>
                  <w:bCs/>
                  <w:szCs w:val="21"/>
                </w:rPr>
                <w:t>4</w:t>
              </w:r>
              <w:r>
                <w:rPr>
                  <w:rFonts w:ascii="Times New Roman" w:cs="Times New Roman"/>
                  <w:bCs/>
                  <w:szCs w:val="21"/>
                </w:rPr>
                <w:t>）购买固定资产的价款超过正常信用条件延期支付，实质上具有融资性质的，固定资产的成本以购买价款的现值为基础确定。实际支付的价款与购买价款的现值之间的差额，除应予资本化的以外，在信用期间内计入当期损益。</w:t>
              </w:r>
            </w:p>
          </w:sdtContent>
        </w:sdt>
      </w:sdtContent>
    </w:sdt>
    <w:p>
      <w:pPr>
        <w:rPr>
          <w:szCs w:val="21"/>
        </w:rPr>
      </w:pPr>
    </w:p>
    <w:sdt>
      <w:sdtPr>
        <w:rPr>
          <w:rFonts w:eastAsia="宋体" w:asciiTheme="minorHAnsi" w:hAnsiTheme="minorHAnsi" w:cstheme="minorBidi"/>
          <w:b w:val="0"/>
          <w:bCs w:val="0"/>
          <w:kern w:val="0"/>
          <w:szCs w:val="22"/>
        </w:rPr>
        <w:alias w:val="模块:固定资产折旧方法"/>
        <w:tag w:val="_GBC_7c749a57d4094b3386978c34c3487e2a"/>
        <w:id w:val="865724117"/>
        <w:lock w:val="sdtLocked"/>
        <w:placeholder>
          <w:docPart w:val="GBC22222222222222222222222222222"/>
        </w:placeholder>
      </w:sdtPr>
      <w:sdtEndPr>
        <w:rPr>
          <w:rFonts w:cs="Times New Roman" w:asciiTheme="minorEastAsia" w:hAnsiTheme="minorEastAsia" w:eastAsiaTheme="minorEastAsia"/>
          <w:b/>
          <w:bCs/>
          <w:kern w:val="2"/>
          <w:szCs w:val="28"/>
        </w:rPr>
      </w:sdtEndPr>
      <w:sdtContent>
        <w:p>
          <w:pPr>
            <w:pStyle w:val="5"/>
            <w:numPr>
              <w:ilvl w:val="0"/>
              <w:numId w:val="70"/>
            </w:numPr>
          </w:pPr>
          <w:r>
            <w:t>折旧方法</w:t>
          </w:r>
        </w:p>
        <w:sdt>
          <w:sdtPr>
            <w:alias w:val="是否适用：固定资产折旧方法[双击切换]"/>
            <w:tag w:val="_GBC_f89f129fe73045168ebdc30031da9fdd"/>
            <w:id w:val="865724107"/>
            <w:lock w:val="sdtLocked"/>
          </w:sdtPr>
          <w:sdtContent>
            <w:p>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832"/>
            <w:gridCol w:w="1833"/>
            <w:gridCol w:w="1833"/>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93b748ee97a4a8bae6f8263364d91d5"/>
                <w:id w:val="865724108"/>
                <w:lock w:val="sdtLocked"/>
              </w:sdtPr>
              <w:sdtEndPr>
                <w:rPr>
                  <w:rFonts w:ascii="Times New Roman" w:hAnsi="Times New Roman" w:cs="Times New Roman"/>
                </w:rPr>
              </w:sdtEndPr>
              <w:sdtContent>
                <w:tc>
                  <w:tcPr>
                    <w:tcW w:w="949" w:type="pct"/>
                    <w:vAlign w:val="center"/>
                  </w:tcPr>
                  <w:p>
                    <w:pPr>
                      <w:jc w:val="center"/>
                      <w:rPr>
                        <w:rFonts w:ascii="Times New Roman" w:hAnsi="Times New Roman" w:cs="Times New Roman"/>
                        <w:szCs w:val="21"/>
                      </w:rPr>
                    </w:pPr>
                    <w:r>
                      <w:rPr>
                        <w:rFonts w:ascii="Times New Roman" w:cs="Times New Roman"/>
                        <w:szCs w:val="21"/>
                      </w:rPr>
                      <w:t>类别</w:t>
                    </w:r>
                  </w:p>
                </w:tc>
              </w:sdtContent>
            </w:sdt>
            <w:sdt>
              <w:sdtPr>
                <w:rPr>
                  <w:rFonts w:ascii="Times New Roman" w:hAnsi="Times New Roman" w:cs="Times New Roman"/>
                </w:rPr>
                <w:tag w:val="_PLD_8eb75a8ba4fb45a3be1c35e2609526fb"/>
                <w:id w:val="865724109"/>
                <w:lock w:val="sdtLocked"/>
              </w:sdtPr>
              <w:sdtEndPr>
                <w:rPr>
                  <w:rFonts w:ascii="Times New Roman" w:hAnsi="Times New Roman" w:cs="Times New Roman"/>
                </w:rPr>
              </w:sdtEndPr>
              <w:sdtContent>
                <w:tc>
                  <w:tcPr>
                    <w:tcW w:w="1012" w:type="pct"/>
                    <w:vAlign w:val="center"/>
                  </w:tcPr>
                  <w:p>
                    <w:pPr>
                      <w:jc w:val="center"/>
                      <w:rPr>
                        <w:rFonts w:ascii="Times New Roman" w:hAnsi="Times New Roman" w:cs="Times New Roman"/>
                        <w:szCs w:val="21"/>
                      </w:rPr>
                    </w:pPr>
                    <w:r>
                      <w:rPr>
                        <w:rFonts w:ascii="Times New Roman" w:cs="Times New Roman"/>
                        <w:szCs w:val="21"/>
                      </w:rPr>
                      <w:t>折旧方法</w:t>
                    </w:r>
                  </w:p>
                </w:tc>
              </w:sdtContent>
            </w:sdt>
            <w:sdt>
              <w:sdtPr>
                <w:rPr>
                  <w:rFonts w:ascii="Times New Roman" w:hAnsi="Times New Roman" w:cs="Times New Roman"/>
                </w:rPr>
                <w:tag w:val="_PLD_288e4cb255e44ed98e0c53f336ac01e0"/>
                <w:id w:val="865724110"/>
                <w:lock w:val="sdtLocked"/>
              </w:sdtPr>
              <w:sdtEndPr>
                <w:rPr>
                  <w:rFonts w:ascii="Times New Roman" w:hAnsi="Times New Roman" w:cs="Times New Roman"/>
                </w:rPr>
              </w:sdtEndPr>
              <w:sdtContent>
                <w:tc>
                  <w:tcPr>
                    <w:tcW w:w="1013" w:type="pct"/>
                    <w:vAlign w:val="center"/>
                  </w:tcPr>
                  <w:p>
                    <w:pPr>
                      <w:jc w:val="center"/>
                      <w:rPr>
                        <w:rFonts w:ascii="Times New Roman" w:hAnsi="Times New Roman" w:cs="Times New Roman"/>
                        <w:szCs w:val="21"/>
                      </w:rPr>
                    </w:pPr>
                    <w:r>
                      <w:rPr>
                        <w:rFonts w:ascii="Times New Roman" w:cs="Times New Roman"/>
                        <w:szCs w:val="21"/>
                      </w:rPr>
                      <w:t>折旧年限（年）</w:t>
                    </w:r>
                  </w:p>
                </w:tc>
              </w:sdtContent>
            </w:sdt>
            <w:sdt>
              <w:sdtPr>
                <w:rPr>
                  <w:rFonts w:ascii="Times New Roman" w:hAnsi="Times New Roman" w:cs="Times New Roman"/>
                </w:rPr>
                <w:tag w:val="_PLD_b978331f5a784568b426597e450ebc7a"/>
                <w:id w:val="865724111"/>
                <w:lock w:val="sdtLocked"/>
              </w:sdtPr>
              <w:sdtEndPr>
                <w:rPr>
                  <w:rFonts w:ascii="Times New Roman" w:hAnsi="Times New Roman" w:cs="Times New Roman"/>
                </w:rPr>
              </w:sdtEndPr>
              <w:sdtContent>
                <w:tc>
                  <w:tcPr>
                    <w:tcW w:w="1013" w:type="pct"/>
                    <w:vAlign w:val="center"/>
                  </w:tcPr>
                  <w:p>
                    <w:pPr>
                      <w:jc w:val="center"/>
                      <w:rPr>
                        <w:rFonts w:ascii="Times New Roman" w:hAnsi="Times New Roman" w:cs="Times New Roman"/>
                        <w:szCs w:val="21"/>
                      </w:rPr>
                    </w:pPr>
                    <w:r>
                      <w:rPr>
                        <w:rFonts w:ascii="Times New Roman" w:cs="Times New Roman"/>
                        <w:szCs w:val="21"/>
                      </w:rPr>
                      <w:t>残值率</w:t>
                    </w:r>
                  </w:p>
                </w:tc>
              </w:sdtContent>
            </w:sdt>
            <w:sdt>
              <w:sdtPr>
                <w:rPr>
                  <w:rFonts w:ascii="Times New Roman" w:hAnsi="Times New Roman" w:cs="Times New Roman"/>
                </w:rPr>
                <w:tag w:val="_PLD_02921e2cbb3b427bb4fe2aba2949e56a"/>
                <w:id w:val="865724112"/>
                <w:lock w:val="sdtLocked"/>
              </w:sdtPr>
              <w:sdtEndPr>
                <w:rPr>
                  <w:rFonts w:ascii="Times New Roman" w:hAnsi="Times New Roman" w:cs="Times New Roman"/>
                </w:rPr>
              </w:sdtEndPr>
              <w:sdtContent>
                <w:tc>
                  <w:tcPr>
                    <w:tcW w:w="1013" w:type="pct"/>
                    <w:vAlign w:val="center"/>
                  </w:tcPr>
                  <w:p>
                    <w:pPr>
                      <w:jc w:val="center"/>
                      <w:rPr>
                        <w:rFonts w:ascii="Times New Roman" w:hAnsi="Times New Roman" w:cs="Times New Roman"/>
                        <w:szCs w:val="21"/>
                      </w:rPr>
                    </w:pPr>
                    <w:r>
                      <w:rPr>
                        <w:rFonts w:ascii="Times New Roman" w:cs="Times New Roman"/>
                        <w:szCs w:val="21"/>
                      </w:rPr>
                      <w:t>年折旧率</w:t>
                    </w:r>
                  </w:p>
                </w:tc>
              </w:sdtContent>
            </w:sdt>
          </w:tr>
          <w:sdt>
            <w:sdtPr>
              <w:rPr>
                <w:rFonts w:ascii="Times New Roman" w:hAnsi="Times New Roman" w:cs="Times New Roman"/>
                <w:kern w:val="2"/>
                <w:szCs w:val="21"/>
              </w:rPr>
              <w:alias w:val="其他固定资产计价、折旧、减值方法"/>
              <w:tag w:val="_GBC_f1ad6125c5d74d2a98f593d2ba574474"/>
              <w:id w:val="865724113"/>
              <w:lock w:val="sdtLocked"/>
            </w:sdtPr>
            <w:sdtEndPr>
              <w:rPr>
                <w:rFonts w:ascii="Times New Roman" w:hAnsi="Times New Roman" w:cs="Times New Roman"/>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cs="Times New Roman"/>
                        <w:szCs w:val="21"/>
                      </w:rPr>
                    </w:pPr>
                    <w:r>
                      <w:rPr>
                        <w:rFonts w:ascii="Times New Roman" w:cs="Times New Roman"/>
                        <w:szCs w:val="21"/>
                      </w:rPr>
                      <w:t>房屋及建筑物</w:t>
                    </w:r>
                  </w:p>
                </w:tc>
                <w:tc>
                  <w:tcPr>
                    <w:tcW w:w="1012" w:type="pct"/>
                    <w:vAlign w:val="center"/>
                  </w:tcPr>
                  <w:p>
                    <w:pPr>
                      <w:jc w:val="center"/>
                      <w:rPr>
                        <w:rFonts w:ascii="Times New Roman" w:hAnsi="Times New Roman" w:cs="Times New Roman"/>
                        <w:szCs w:val="21"/>
                      </w:rPr>
                    </w:pPr>
                    <w:r>
                      <w:rPr>
                        <w:rFonts w:ascii="Times New Roman" w:cs="Times New Roman"/>
                        <w:szCs w:val="21"/>
                      </w:rPr>
                      <w:t>直线法</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30-45</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3-5</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2.11-3.23</w:t>
                    </w:r>
                  </w:p>
                </w:tc>
              </w:tr>
            </w:sdtContent>
          </w:sdt>
          <w:sdt>
            <w:sdtPr>
              <w:rPr>
                <w:rFonts w:ascii="Times New Roman" w:hAnsi="Times New Roman" w:cs="Times New Roman"/>
                <w:kern w:val="2"/>
                <w:szCs w:val="21"/>
              </w:rPr>
              <w:alias w:val="其他固定资产计价、折旧、减值方法"/>
              <w:tag w:val="_GBC_f1ad6125c5d74d2a98f593d2ba574474"/>
              <w:id w:val="865724114"/>
              <w:lock w:val="sdtLocked"/>
            </w:sdtPr>
            <w:sdtEndPr>
              <w:rPr>
                <w:rFonts w:ascii="Times New Roman" w:hAnsi="Times New Roman" w:cs="Times New Roman"/>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cs="Times New Roman"/>
                        <w:szCs w:val="21"/>
                      </w:rPr>
                    </w:pPr>
                    <w:r>
                      <w:rPr>
                        <w:rFonts w:ascii="Times New Roman" w:cs="Times New Roman"/>
                        <w:szCs w:val="21"/>
                      </w:rPr>
                      <w:t>机器设备</w:t>
                    </w:r>
                  </w:p>
                </w:tc>
                <w:tc>
                  <w:tcPr>
                    <w:tcW w:w="1012" w:type="pct"/>
                    <w:vAlign w:val="center"/>
                  </w:tcPr>
                  <w:p>
                    <w:pPr>
                      <w:jc w:val="center"/>
                      <w:rPr>
                        <w:rFonts w:ascii="Times New Roman" w:hAnsi="Times New Roman" w:cs="Times New Roman"/>
                        <w:szCs w:val="21"/>
                      </w:rPr>
                    </w:pPr>
                    <w:r>
                      <w:rPr>
                        <w:rFonts w:ascii="Times New Roman" w:cs="Times New Roman"/>
                        <w:szCs w:val="21"/>
                      </w:rPr>
                      <w:t>直线法</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4-14</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3-5</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6.79-24.25</w:t>
                    </w:r>
                  </w:p>
                </w:tc>
              </w:tr>
            </w:sdtContent>
          </w:sdt>
          <w:sdt>
            <w:sdtPr>
              <w:rPr>
                <w:rFonts w:ascii="Times New Roman" w:hAnsi="Times New Roman" w:cs="Times New Roman"/>
                <w:kern w:val="2"/>
                <w:szCs w:val="21"/>
              </w:rPr>
              <w:alias w:val="其他固定资产计价、折旧、减值方法"/>
              <w:tag w:val="_GBC_f1ad6125c5d74d2a98f593d2ba574474"/>
              <w:id w:val="865724115"/>
              <w:lock w:val="sdtLocked"/>
            </w:sdtPr>
            <w:sdtEndPr>
              <w:rPr>
                <w:rFonts w:ascii="Times New Roman" w:hAnsi="Times New Roman" w:cs="Times New Roman"/>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cs="Times New Roman"/>
                        <w:szCs w:val="21"/>
                      </w:rPr>
                    </w:pPr>
                    <w:r>
                      <w:rPr>
                        <w:rFonts w:ascii="Times New Roman" w:cs="Times New Roman"/>
                        <w:szCs w:val="21"/>
                      </w:rPr>
                      <w:t>运输设备</w:t>
                    </w:r>
                  </w:p>
                </w:tc>
                <w:tc>
                  <w:tcPr>
                    <w:tcW w:w="1012" w:type="pct"/>
                    <w:vAlign w:val="center"/>
                  </w:tcPr>
                  <w:p>
                    <w:pPr>
                      <w:jc w:val="center"/>
                      <w:rPr>
                        <w:rFonts w:ascii="Times New Roman" w:hAnsi="Times New Roman" w:cs="Times New Roman"/>
                        <w:szCs w:val="21"/>
                      </w:rPr>
                    </w:pPr>
                    <w:r>
                      <w:rPr>
                        <w:rFonts w:ascii="Times New Roman" w:cs="Times New Roman"/>
                        <w:szCs w:val="21"/>
                      </w:rPr>
                      <w:t>直线法</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5-12</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3-5</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7.92-19.40</w:t>
                    </w:r>
                  </w:p>
                </w:tc>
              </w:tr>
            </w:sdtContent>
          </w:sdt>
          <w:sdt>
            <w:sdtPr>
              <w:rPr>
                <w:rFonts w:ascii="Times New Roman" w:hAnsi="Times New Roman" w:cs="Times New Roman"/>
                <w:kern w:val="2"/>
                <w:szCs w:val="21"/>
              </w:rPr>
              <w:alias w:val="其他固定资产计价、折旧、减值方法"/>
              <w:tag w:val="_GBC_f1ad6125c5d74d2a98f593d2ba574474"/>
              <w:id w:val="865724116"/>
              <w:lock w:val="sdtLocked"/>
            </w:sdtPr>
            <w:sdtEndPr>
              <w:rPr>
                <w:rFonts w:ascii="Times New Roman" w:hAnsi="Times New Roman" w:cs="Times New Roman"/>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pPr>
                      <w:jc w:val="center"/>
                      <w:rPr>
                        <w:rFonts w:ascii="Times New Roman" w:hAnsi="Times New Roman" w:cs="Times New Roman"/>
                        <w:szCs w:val="21"/>
                      </w:rPr>
                    </w:pPr>
                    <w:r>
                      <w:rPr>
                        <w:rFonts w:ascii="Times New Roman" w:cs="Times New Roman"/>
                        <w:szCs w:val="21"/>
                      </w:rPr>
                      <w:t>其他设备</w:t>
                    </w:r>
                  </w:p>
                </w:tc>
                <w:tc>
                  <w:tcPr>
                    <w:tcW w:w="1012" w:type="pct"/>
                    <w:vAlign w:val="center"/>
                  </w:tcPr>
                  <w:p>
                    <w:pPr>
                      <w:jc w:val="center"/>
                      <w:rPr>
                        <w:rFonts w:ascii="Times New Roman" w:hAnsi="Times New Roman" w:cs="Times New Roman"/>
                        <w:szCs w:val="21"/>
                      </w:rPr>
                    </w:pPr>
                    <w:r>
                      <w:rPr>
                        <w:rFonts w:ascii="Times New Roman" w:cs="Times New Roman"/>
                        <w:szCs w:val="21"/>
                      </w:rPr>
                      <w:t>直线法</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5-10</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3-5</w:t>
                    </w:r>
                  </w:p>
                </w:tc>
                <w:tc>
                  <w:tcPr>
                    <w:tcW w:w="1013" w:type="pct"/>
                    <w:vAlign w:val="center"/>
                  </w:tcPr>
                  <w:p>
                    <w:pPr>
                      <w:jc w:val="center"/>
                      <w:rPr>
                        <w:rFonts w:ascii="Times New Roman" w:hAnsi="Times New Roman" w:cs="Times New Roman"/>
                        <w:szCs w:val="21"/>
                      </w:rPr>
                    </w:pPr>
                    <w:r>
                      <w:rPr>
                        <w:rFonts w:ascii="Times New Roman" w:hAnsi="Times New Roman" w:cs="Times New Roman"/>
                        <w:szCs w:val="21"/>
                      </w:rPr>
                      <w:t>9.50-19.40</w:t>
                    </w:r>
                  </w:p>
                </w:tc>
              </w:tr>
            </w:sdtContent>
          </w:sdt>
        </w:tbl>
        <w:p>
          <w:pPr>
            <w:spacing w:line="400" w:lineRule="exact"/>
            <w:ind w:firstLine="420" w:firstLineChars="200"/>
            <w:rPr>
              <w:rFonts w:ascii="Times New Roman" w:cs="Times New Roman"/>
              <w:bCs/>
              <w:szCs w:val="21"/>
            </w:rPr>
          </w:pPr>
          <w:r>
            <w:rPr>
              <w:rFonts w:hint="eastAsia" w:ascii="Times New Roman" w:cs="Times New Roman"/>
              <w:bCs/>
              <w:szCs w:val="21"/>
            </w:rPr>
            <w:t>固定资产折旧按其入账价值减去预计净残值后在预计使用寿命内计提。对计提了减值准备的固定资产，则在未来期间按扣除减值准备后的账面价值及依据尚可使用年限确定折旧额；已提足折旧仍继续使用的固定资产不计提折旧。</w:t>
          </w:r>
        </w:p>
        <w:p>
          <w:pPr>
            <w:spacing w:line="400" w:lineRule="exact"/>
            <w:ind w:firstLine="420" w:firstLineChars="200"/>
            <w:rPr>
              <w:rFonts w:ascii="Times New Roman" w:cs="Times New Roman"/>
              <w:bCs/>
              <w:szCs w:val="21"/>
            </w:rPr>
          </w:pPr>
          <w:r>
            <w:rPr>
              <w:rFonts w:hint="eastAsia" w:ascii="Times New Roman" w:cs="Times New Roman"/>
              <w:bCs/>
              <w:szCs w:val="21"/>
            </w:rPr>
            <w:t xml:space="preserve">本公司根据固定资产的性质和使用情况，确定固定资产的使用寿命和预计净残值。并在年度终了，对固定资产的使用寿命、预计净残值和折旧方法进行复核，如与原先估计数存在差异的，进行相应的调整。  </w:t>
          </w:r>
        </w:p>
        <w:p>
          <w:pPr>
            <w:pStyle w:val="5"/>
          </w:pPr>
        </w:p>
      </w:sdtContent>
    </w:sdt>
    <w:sdt>
      <w:sdtPr>
        <w:rPr>
          <w:rFonts w:eastAsia="宋体" w:cs="宋体" w:asciiTheme="minorHAnsi" w:hAnsiTheme="minorHAnsi"/>
          <w:b w:val="0"/>
          <w:bCs w:val="0"/>
          <w:kern w:val="0"/>
          <w:szCs w:val="22"/>
        </w:rPr>
        <w:alias w:val="模块:固定资产计价和折旧方法及减值准备的计提方法"/>
        <w:tag w:val="_GBC_a1560089c32f441f92e145c3cdc25289"/>
        <w:id w:val="865724120"/>
        <w:lock w:val="sdtLocked"/>
        <w:placeholder>
          <w:docPart w:val="GBC22222222222222222222222222222"/>
        </w:placeholder>
      </w:sdtPr>
      <w:sdtEndPr>
        <w:rPr>
          <w:rFonts w:hint="eastAsia" w:ascii="Times New Roman" w:hAnsi="Times New Roman" w:eastAsia="宋体" w:cs="Times New Roman"/>
          <w:b w:val="0"/>
          <w:bCs w:val="0"/>
          <w:kern w:val="2"/>
          <w:szCs w:val="24"/>
        </w:rPr>
      </w:sdtEndPr>
      <w:sdtContent>
        <w:p>
          <w:pPr>
            <w:pStyle w:val="5"/>
            <w:numPr>
              <w:ilvl w:val="0"/>
              <w:numId w:val="70"/>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86572411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pPr>
        </w:p>
      </w:sdtContent>
    </w:sdt>
    <w:sdt>
      <w:sdtPr>
        <w:rPr>
          <w:rFonts w:ascii="宋体" w:hAnsi="宋体" w:cs="宋体"/>
          <w:b w:val="0"/>
          <w:bCs w:val="0"/>
          <w:kern w:val="0"/>
          <w:szCs w:val="24"/>
        </w:rPr>
        <w:alias w:val="模块:在建工程会计处理方法"/>
        <w:tag w:val="_GBC_3eb5f960df3e47f0a4bf3af0bc67ca96"/>
        <w:id w:val="865724123"/>
        <w:lock w:val="sdtLocked"/>
        <w:placeholder>
          <w:docPart w:val="GBC22222222222222222222222222222"/>
        </w:placeholder>
      </w:sdtPr>
      <w:sdtEndPr>
        <w:rPr>
          <w:rFonts w:ascii="Times New Roman" w:hAnsi="Times New Roman" w:cs="Times New Roman"/>
          <w:b w:val="0"/>
          <w:bCs w:val="0"/>
          <w:kern w:val="0"/>
          <w:szCs w:val="21"/>
        </w:rPr>
      </w:sdtEndPr>
      <w:sdtContent>
        <w:p>
          <w:pPr>
            <w:pStyle w:val="4"/>
            <w:numPr>
              <w:ilvl w:val="0"/>
              <w:numId w:val="61"/>
            </w:numPr>
          </w:pPr>
          <w:r>
            <w:t>在建工程</w:t>
          </w:r>
        </w:p>
        <w:sdt>
          <w:sdtPr>
            <w:rPr>
              <w:rFonts w:hint="eastAsia"/>
              <w:szCs w:val="21"/>
            </w:rPr>
            <w:alias w:val="是否适用：在建工程_重要会计政策和估计[双击切换]"/>
            <w:tag w:val="_GBC_00730441e5ea4f57b3cd3ff1ecc5c1bd"/>
            <w:id w:val="865724121"/>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865724122"/>
            <w:lock w:val="sdtLocked"/>
            <w:placeholder>
              <w:docPart w:val="GBC22222222222222222222222222222"/>
            </w:placeholder>
          </w:sdtPr>
          <w:sdtEndPr>
            <w:rPr>
              <w:rFonts w:hint="default" w:ascii="Times New Roman" w:hAnsi="Times New Roman" w:cs="Times New Roman"/>
              <w:szCs w:val="21"/>
            </w:rPr>
          </w:sdtEndPr>
          <w:sdtContent>
            <w:p>
              <w:pPr>
                <w:pStyle w:val="109"/>
                <w:widowControl w:val="0"/>
                <w:spacing w:line="480" w:lineRule="exact"/>
                <w:ind w:left="0" w:leftChars="0" w:firstLine="556"/>
                <w:rPr>
                  <w:rFonts w:ascii="Times New Roman" w:hAnsi="Times New Roman" w:cs="Times New Roman"/>
                  <w:b/>
                  <w:color w:val="000000"/>
                  <w:szCs w:val="21"/>
                </w:rPr>
              </w:pPr>
              <w:r>
                <w:rPr>
                  <w:rFonts w:ascii="Times New Roman" w:hAnsi="Times New Roman" w:cs="Times New Roman"/>
                  <w:b/>
                  <w:color w:val="000000"/>
                  <w:szCs w:val="21"/>
                </w:rPr>
                <w:t>1.</w:t>
              </w:r>
              <w:r>
                <w:rPr>
                  <w:rFonts w:ascii="Times New Roman" w:cs="Times New Roman"/>
                  <w:b/>
                  <w:color w:val="000000"/>
                  <w:szCs w:val="21"/>
                </w:rPr>
                <w:t>在建工程初始计量</w:t>
              </w:r>
            </w:p>
            <w:p>
              <w:pPr>
                <w:pStyle w:val="111"/>
                <w:widowControl w:val="0"/>
                <w:tabs>
                  <w:tab w:val="left" w:pos="196"/>
                  <w:tab w:val="left" w:pos="426"/>
                  <w:tab w:val="left" w:pos="630"/>
                </w:tabs>
                <w:spacing w:afterLines="0" w:line="400" w:lineRule="exact"/>
                <w:ind w:firstLine="420"/>
                <w:jc w:val="both"/>
                <w:rPr>
                  <w:rFonts w:eastAsiaTheme="minorEastAsia"/>
                  <w:szCs w:val="21"/>
                </w:rPr>
              </w:pPr>
              <w:r>
                <w:rPr>
                  <w:rFonts w:hAnsiTheme="minorEastAsia" w:eastAsiaTheme="minorEastAsia"/>
                  <w:szCs w:val="21"/>
                </w:rPr>
                <w:t>本公司自行建造的在建工程按实际成本计价，实际成本由建造该项资产达到预定可使用状态前所发生的必要支出构成，包括工程用物资成本、人工成本、交纳的相关税费、应予资本化的借款费用以及应分摊的间接费用等。</w:t>
              </w:r>
            </w:p>
            <w:p>
              <w:pPr>
                <w:pStyle w:val="109"/>
                <w:widowControl w:val="0"/>
                <w:spacing w:line="480" w:lineRule="exact"/>
                <w:ind w:left="0" w:leftChars="0" w:firstLine="556"/>
                <w:rPr>
                  <w:rFonts w:ascii="Times New Roman" w:hAnsi="Times New Roman" w:cs="Times New Roman"/>
                  <w:b/>
                  <w:color w:val="000000"/>
                  <w:szCs w:val="21"/>
                </w:rPr>
              </w:pPr>
              <w:r>
                <w:rPr>
                  <w:rFonts w:ascii="Times New Roman" w:hAnsi="Times New Roman" w:cs="Times New Roman"/>
                  <w:b/>
                  <w:color w:val="000000"/>
                  <w:szCs w:val="21"/>
                </w:rPr>
                <w:t>2.</w:t>
              </w:r>
              <w:r>
                <w:rPr>
                  <w:rFonts w:ascii="Times New Roman" w:cs="Times New Roman"/>
                  <w:b/>
                  <w:color w:val="000000"/>
                  <w:szCs w:val="21"/>
                </w:rPr>
                <w:t>在建工程结转为固定资产的标准和时点</w:t>
              </w:r>
            </w:p>
            <w:p>
              <w:pPr>
                <w:spacing w:line="400" w:lineRule="exact"/>
                <w:ind w:firstLine="420" w:firstLineChars="200"/>
                <w:rPr>
                  <w:rFonts w:ascii="Times New Roman" w:hAnsi="Times New Roman" w:cs="Times New Roman"/>
                  <w:szCs w:val="21"/>
                </w:rPr>
              </w:pPr>
              <w:r>
                <w:rPr>
                  <w:rFonts w:ascii="Times New Roman" w:cs="Times New Roman" w:hAnsiTheme="minorEastAsia" w:eastAsiaTheme="minorEastAsia"/>
                  <w:szCs w:val="21"/>
                </w:rPr>
                <w:t>在建工程项目按建造该项资产达到预定可使用状态前所发生的全部支出，作为固定资产的入账价值。所建造的在建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sdtContent>
    </w:sdt>
    <w:p>
      <w:pPr>
        <w:rPr>
          <w:rFonts w:ascii="Times New Roman" w:hAnsi="Times New Roman" w:cs="Times New Roman"/>
          <w:szCs w:val="21"/>
        </w:rPr>
      </w:pPr>
    </w:p>
    <w:sdt>
      <w:sdtPr>
        <w:rPr>
          <w:rFonts w:ascii="Times New Roman" w:hAnsi="Times New Roman" w:cs="宋体"/>
          <w:b w:val="0"/>
          <w:bCs w:val="0"/>
          <w:kern w:val="0"/>
          <w:szCs w:val="21"/>
        </w:rPr>
        <w:alias w:val="模块:借款费用会计处理方法"/>
        <w:tag w:val="_GBC_e3e4d07ea08d4589a9293563ea655b42"/>
        <w:id w:val="865724126"/>
        <w:lock w:val="sdtLocked"/>
        <w:placeholder>
          <w:docPart w:val="GBC22222222222222222222222222222"/>
        </w:placeholder>
      </w:sdtPr>
      <w:sdtEndPr>
        <w:rPr>
          <w:rFonts w:ascii="Times New Roman" w:hAnsi="Times New Roman" w:cs="宋体"/>
          <w:b w:val="0"/>
          <w:bCs w:val="0"/>
          <w:kern w:val="2"/>
          <w:szCs w:val="21"/>
        </w:rPr>
      </w:sdtEndPr>
      <w:sdtContent>
        <w:p>
          <w:pPr>
            <w:pStyle w:val="4"/>
            <w:numPr>
              <w:ilvl w:val="0"/>
              <w:numId w:val="61"/>
            </w:numPr>
            <w:rPr>
              <w:rFonts w:ascii="Times New Roman" w:hAnsi="Times New Roman"/>
              <w:szCs w:val="21"/>
            </w:rPr>
          </w:pPr>
          <w:r>
            <w:rPr>
              <w:rFonts w:ascii="Times New Roman"/>
              <w:szCs w:val="21"/>
            </w:rPr>
            <w:t>借款费用</w:t>
          </w:r>
        </w:p>
        <w:sdt>
          <w:sdtPr>
            <w:rPr>
              <w:rFonts w:ascii="Times New Roman" w:hAnsi="Times New Roman" w:cs="Times New Roman"/>
              <w:szCs w:val="21"/>
            </w:rPr>
            <w:alias w:val="是否适用：借款费用_重要会计政策和估计[双击切换]"/>
            <w:tag w:val="_GBC_84ea3b60fd54474487b81f25f176d989"/>
            <w:id w:val="865724124"/>
            <w:lock w:val="sdtLocked"/>
          </w:sdtPr>
          <w:sdtEndPr>
            <w:rPr>
              <w:rFonts w:ascii="Times New Roman" w:hAnsi="Times New Roman" w:cs="Times New Roman"/>
              <w:szCs w:val="21"/>
            </w:rPr>
          </w:sdtEndPr>
          <w:sdtContent>
            <w:p>
              <w:pPr>
                <w:rPr>
                  <w:rFonts w:ascii="Times New Roman" w:hAnsi="Times New Roman" w:cs="Times New Roman"/>
                  <w:szCs w:val="21"/>
                </w:rPr>
              </w:pPr>
              <w:r>
                <w:rPr>
                  <w:rFonts w:cs="Times New Roman" w:asciiTheme="minorEastAsia" w:hAnsiTheme="minorEastAsia" w:eastAsiaTheme="minorEastAsia"/>
                  <w:szCs w:val="21"/>
                </w:rPr>
                <w:fldChar w:fldCharType="begin"/>
              </w:r>
              <w:r>
                <w:rPr>
                  <w:rFonts w:cs="Times New Roman" w:asciiTheme="minorEastAsia" w:hAnsiTheme="minorEastAsia" w:eastAsiaTheme="minorEastAsia"/>
                  <w:szCs w:val="21"/>
                </w:rPr>
                <w:instrText xml:space="preserve"> MACROBUTTON SnrToggleCheckbox √适用  </w:instrText>
              </w:r>
              <w:r>
                <w:rPr>
                  <w:rFonts w:cs="Times New Roman" w:asciiTheme="minorEastAsia" w:hAnsiTheme="minorEastAsia" w:eastAsiaTheme="minorEastAsia"/>
                  <w:szCs w:val="21"/>
                </w:rPr>
                <w:fldChar w:fldCharType="end"/>
              </w:r>
              <w:r>
                <w:rPr>
                  <w:rFonts w:cs="Times New Roman" w:asciiTheme="minorEastAsia" w:hAnsiTheme="minorEastAsia" w:eastAsiaTheme="minorEastAsia"/>
                  <w:szCs w:val="21"/>
                </w:rPr>
                <w:fldChar w:fldCharType="begin"/>
              </w:r>
              <w:r>
                <w:rPr>
                  <w:rFonts w:cs="Times New Roman" w:asciiTheme="minorEastAsia" w:hAnsiTheme="minorEastAsia" w:eastAsiaTheme="minorEastAsia"/>
                  <w:szCs w:val="21"/>
                </w:rPr>
                <w:instrText xml:space="preserve">MACROBUTTON  SnrToggleCheckbox □不适用 </w:instrText>
              </w:r>
              <w:r>
                <w:rPr>
                  <w:rFonts w:cs="Times New Roman" w:asciiTheme="minorEastAsia" w:hAnsiTheme="minorEastAsia" w:eastAsiaTheme="minorEastAsia"/>
                  <w:szCs w:val="21"/>
                </w:rPr>
                <w:fldChar w:fldCharType="end"/>
              </w:r>
            </w:p>
          </w:sdtContent>
        </w:sdt>
        <w:sdt>
          <w:sdtPr>
            <w:rPr>
              <w:rFonts w:ascii="Times New Roman" w:hAnsi="Times New Roman" w:cs="Times New Roman"/>
              <w:szCs w:val="21"/>
            </w:rPr>
            <w:alias w:val="借款费用的会计处理方法"/>
            <w:tag w:val="_GBC_2101c32d32c64f39a8b8fcd2b72dbb0a"/>
            <w:id w:val="865724125"/>
            <w:lock w:val="sdtLocked"/>
          </w:sdtPr>
          <w:sdtEndPr>
            <w:rPr>
              <w:rFonts w:ascii="Times New Roman" w:hAnsi="Times New Roman" w:cs="Times New Roman"/>
              <w:szCs w:val="21"/>
            </w:rPr>
          </w:sdtEndPr>
          <w:sdtContent>
            <w:p>
              <w:pPr>
                <w:spacing w:line="400" w:lineRule="exact"/>
                <w:ind w:firstLine="420" w:firstLineChars="200"/>
                <w:rPr>
                  <w:rFonts w:ascii="Times New Roman" w:hAnsi="Times New Roman" w:cs="Times New Roman"/>
                  <w:kern w:val="2"/>
                  <w:szCs w:val="21"/>
                </w:rPr>
              </w:pPr>
              <w:r>
                <w:rPr>
                  <w:rFonts w:ascii="Times New Roman" w:hAnsi="Times New Roman" w:cs="Times New Roman"/>
                  <w:szCs w:val="21"/>
                </w:rPr>
                <w:t>1.</w:t>
              </w:r>
              <w:r>
                <w:rPr>
                  <w:rFonts w:ascii="Times New Roman" w:cs="Times New Roman"/>
                  <w:szCs w:val="21"/>
                </w:rPr>
                <w:t>借款费用资本化的确认原则</w:t>
              </w:r>
            </w:p>
            <w:p>
              <w:pPr>
                <w:spacing w:line="400" w:lineRule="exact"/>
                <w:ind w:firstLine="420" w:firstLineChars="200"/>
                <w:rPr>
                  <w:rFonts w:ascii="Times New Roman" w:hAnsi="Times New Roman" w:cs="Times New Roman"/>
                  <w:kern w:val="2"/>
                  <w:szCs w:val="21"/>
                </w:rPr>
              </w:pPr>
              <w:r>
                <w:rPr>
                  <w:rFonts w:ascii="Times New Roman" w:cs="Times New Roman"/>
                  <w:szCs w:val="21"/>
                </w:rPr>
                <w:t>本公司发生的借款费用，可直接归属于符合资本化条件的资产的购建或者生产的，予以资本化，计入相关资产成本；其他借款费用，在发生时根据其发生额确认为费用，计入当期损益。</w:t>
              </w:r>
            </w:p>
            <w:p>
              <w:pPr>
                <w:spacing w:line="400" w:lineRule="exact"/>
                <w:ind w:firstLine="420" w:firstLineChars="200"/>
                <w:rPr>
                  <w:rFonts w:ascii="Times New Roman" w:hAnsi="Times New Roman" w:cs="Times New Roman"/>
                  <w:kern w:val="2"/>
                  <w:szCs w:val="21"/>
                </w:rPr>
              </w:pPr>
              <w:r>
                <w:rPr>
                  <w:rFonts w:ascii="Times New Roman" w:cs="Times New Roman"/>
                  <w:szCs w:val="21"/>
                </w:rPr>
                <w:t>符合资本化条件的资产，是指需要经过相当长时间的购建或者生产活动才能达到预定可使用或者可销售状态的固定资产、投资性房地产和存货等资产。</w:t>
              </w:r>
            </w:p>
            <w:p>
              <w:pPr>
                <w:spacing w:line="400" w:lineRule="exact"/>
                <w:ind w:firstLine="420" w:firstLineChars="200"/>
                <w:rPr>
                  <w:rFonts w:ascii="Times New Roman" w:hAnsi="Times New Roman" w:cs="Times New Roman"/>
                  <w:kern w:val="2"/>
                  <w:szCs w:val="21"/>
                </w:rPr>
              </w:pPr>
              <w:r>
                <w:rPr>
                  <w:rFonts w:ascii="Times New Roman" w:cs="Times New Roman"/>
                  <w:szCs w:val="21"/>
                </w:rPr>
                <w:t>借款费用同时满足下列条件时开始资本化：</w:t>
              </w:r>
            </w:p>
            <w:p>
              <w:pPr>
                <w:spacing w:line="400" w:lineRule="exact"/>
                <w:ind w:firstLine="420" w:firstLineChars="200"/>
                <w:rPr>
                  <w:rFonts w:ascii="Times New Roman" w:hAnsi="Times New Roman" w:cs="Times New Roman"/>
                  <w:kern w:val="2"/>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）资产支出已经发生，资产支出包括为购建或者生产符合资本化条件的资产而以支付现金、转移非现金资产或者承担带息债务形式发生的支出；</w:t>
              </w:r>
            </w:p>
            <w:p>
              <w:pPr>
                <w:spacing w:line="400" w:lineRule="exact"/>
                <w:ind w:firstLine="420" w:firstLineChars="200"/>
                <w:rPr>
                  <w:rFonts w:ascii="Times New Roman" w:hAnsi="Times New Roman" w:cs="Times New Roman"/>
                  <w:kern w:val="2"/>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）借款费用已经发生；</w:t>
              </w:r>
            </w:p>
            <w:p>
              <w:pPr>
                <w:spacing w:line="400" w:lineRule="exact"/>
                <w:ind w:firstLine="420" w:firstLineChars="200"/>
                <w:rPr>
                  <w:rFonts w:ascii="Times New Roman" w:hAnsi="Times New Roman" w:cs="Times New Roman"/>
                  <w:kern w:val="2"/>
                  <w:szCs w:val="21"/>
                </w:rPr>
              </w:pPr>
              <w:r>
                <w:rPr>
                  <w:rFonts w:ascii="Times New Roman" w:cs="Times New Roman"/>
                  <w:szCs w:val="21"/>
                </w:rPr>
                <w:t>（</w:t>
              </w:r>
              <w:r>
                <w:rPr>
                  <w:rFonts w:ascii="Times New Roman" w:hAnsi="Times New Roman" w:cs="Times New Roman"/>
                  <w:szCs w:val="21"/>
                </w:rPr>
                <w:t>3</w:t>
              </w:r>
              <w:r>
                <w:rPr>
                  <w:rFonts w:ascii="Times New Roman" w:cs="Times New Roman"/>
                  <w:szCs w:val="21"/>
                </w:rPr>
                <w:t>）为使资产达到预定可使用或者可销售状态所必要的购建或者生产活动已经开始。</w:t>
              </w:r>
            </w:p>
            <w:p>
              <w:pPr>
                <w:spacing w:line="400" w:lineRule="exact"/>
                <w:ind w:firstLine="420" w:firstLineChars="200"/>
                <w:rPr>
                  <w:rFonts w:ascii="Times New Roman" w:hAnsi="Times New Roman" w:cs="Times New Roman"/>
                  <w:kern w:val="2"/>
                  <w:szCs w:val="21"/>
                </w:rPr>
              </w:pPr>
              <w:r>
                <w:rPr>
                  <w:rFonts w:ascii="Times New Roman" w:hAnsi="Times New Roman" w:cs="Times New Roman"/>
                  <w:szCs w:val="21"/>
                </w:rPr>
                <w:t>2.</w:t>
              </w:r>
              <w:r>
                <w:rPr>
                  <w:rFonts w:ascii="Times New Roman" w:cs="Times New Roman"/>
                  <w:szCs w:val="21"/>
                </w:rPr>
                <w:t>借款费用资本化期间</w:t>
              </w:r>
            </w:p>
            <w:p>
              <w:pPr>
                <w:spacing w:line="400" w:lineRule="exact"/>
                <w:ind w:firstLine="420" w:firstLineChars="200"/>
                <w:rPr>
                  <w:rFonts w:ascii="Times New Roman" w:hAnsi="Times New Roman" w:cs="Times New Roman"/>
                  <w:kern w:val="2"/>
                  <w:szCs w:val="21"/>
                </w:rPr>
              </w:pPr>
              <w:r>
                <w:rPr>
                  <w:rFonts w:ascii="Times New Roman" w:cs="Times New Roman"/>
                  <w:szCs w:val="21"/>
                </w:rPr>
                <w:t>资本化期间，指从借款费用开始资本化时点到停止资本化时点的期间，借款费用暂停资本化的期间不包括在内。</w:t>
              </w:r>
            </w:p>
            <w:p>
              <w:pPr>
                <w:spacing w:line="400" w:lineRule="exact"/>
                <w:ind w:firstLine="420" w:firstLineChars="200"/>
                <w:rPr>
                  <w:rFonts w:ascii="Times New Roman" w:hAnsi="Times New Roman" w:cs="Times New Roman"/>
                  <w:kern w:val="2"/>
                  <w:szCs w:val="21"/>
                </w:rPr>
              </w:pPr>
              <w:r>
                <w:rPr>
                  <w:rFonts w:ascii="Times New Roman" w:cs="Times New Roman"/>
                  <w:szCs w:val="21"/>
                </w:rPr>
                <w:t>当购建或者生产符合资本化条件的资产达到预定可使用或者可销售状态时，借款费用停止资本化。</w:t>
              </w:r>
            </w:p>
            <w:p>
              <w:pPr>
                <w:spacing w:line="400" w:lineRule="exact"/>
                <w:ind w:firstLine="420" w:firstLineChars="200"/>
                <w:rPr>
                  <w:rFonts w:ascii="Times New Roman" w:hAnsi="Times New Roman" w:cs="Times New Roman"/>
                  <w:kern w:val="2"/>
                  <w:szCs w:val="21"/>
                </w:rPr>
              </w:pPr>
              <w:r>
                <w:rPr>
                  <w:rFonts w:ascii="Times New Roman" w:cs="Times New Roman"/>
                  <w:szCs w:val="21"/>
                </w:rPr>
                <w:t>当购建或者生产符合资本化条件的资产中部分项目分别完工且可单独使用时，该部分资产借款费用停止资本化。</w:t>
              </w:r>
            </w:p>
            <w:p>
              <w:pPr>
                <w:spacing w:line="400" w:lineRule="exact"/>
                <w:ind w:firstLine="420" w:firstLineChars="200"/>
                <w:rPr>
                  <w:rFonts w:ascii="Times New Roman" w:hAnsi="Times New Roman" w:cs="Times New Roman"/>
                  <w:kern w:val="2"/>
                  <w:szCs w:val="21"/>
                </w:rPr>
              </w:pPr>
              <w:r>
                <w:rPr>
                  <w:rFonts w:ascii="Times New Roman" w:cs="Times New Roman"/>
                  <w:szCs w:val="21"/>
                </w:rPr>
                <w:t>购建或者生产的资产的各部分分别完工，但必须等到整体完工后才可使用或可对外销售的，在该资产整体完工时停止借款费用资本化。</w:t>
              </w:r>
            </w:p>
            <w:p>
              <w:pPr>
                <w:spacing w:line="400" w:lineRule="exact"/>
                <w:ind w:firstLine="420" w:firstLineChars="200"/>
                <w:rPr>
                  <w:rFonts w:ascii="Times New Roman" w:hAnsi="Times New Roman" w:cs="Times New Roman"/>
                  <w:kern w:val="2"/>
                  <w:szCs w:val="21"/>
                </w:rPr>
              </w:pPr>
              <w:r>
                <w:rPr>
                  <w:rFonts w:ascii="Times New Roman" w:hAnsi="Times New Roman" w:cs="Times New Roman"/>
                  <w:szCs w:val="21"/>
                </w:rPr>
                <w:t>3.</w:t>
              </w:r>
              <w:r>
                <w:rPr>
                  <w:rFonts w:ascii="Times New Roman" w:cs="Times New Roman"/>
                  <w:szCs w:val="21"/>
                </w:rPr>
                <w:t>暂停资本化期间</w:t>
              </w:r>
            </w:p>
            <w:p>
              <w:pPr>
                <w:spacing w:line="400" w:lineRule="exact"/>
                <w:ind w:firstLine="420" w:firstLineChars="200"/>
                <w:rPr>
                  <w:rFonts w:ascii="Times New Roman" w:hAnsi="Times New Roman" w:cs="Times New Roman"/>
                  <w:kern w:val="2"/>
                  <w:szCs w:val="21"/>
                </w:rPr>
              </w:pPr>
              <w:r>
                <w:rPr>
                  <w:rFonts w:ascii="Times New Roman" w:cs="Times New Roman"/>
                  <w:szCs w:val="21"/>
                </w:rPr>
                <w:t>符合资本化条件的资产在购建或生产过程中发生的非正常中断、且中断时间连续超过</w:t>
              </w:r>
              <w:r>
                <w:rPr>
                  <w:rFonts w:ascii="Times New Roman" w:hAnsi="Times New Roman" w:cs="Times New Roman"/>
                  <w:szCs w:val="21"/>
                </w:rPr>
                <w:t>3</w:t>
              </w:r>
              <w:r>
                <w:rPr>
                  <w:rFonts w:ascii="Times New Roman" w:cs="Times New Roman"/>
                  <w:szCs w:val="21"/>
                </w:rPr>
                <w:t>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pPr>
                <w:spacing w:line="400" w:lineRule="exact"/>
                <w:ind w:firstLine="420" w:firstLineChars="200"/>
                <w:rPr>
                  <w:rFonts w:ascii="Times New Roman" w:hAnsi="Times New Roman" w:cs="Times New Roman"/>
                  <w:kern w:val="2"/>
                  <w:szCs w:val="21"/>
                </w:rPr>
              </w:pPr>
              <w:r>
                <w:rPr>
                  <w:rFonts w:ascii="Times New Roman" w:hAnsi="Times New Roman" w:cs="Times New Roman"/>
                  <w:szCs w:val="21"/>
                </w:rPr>
                <w:t>4.</w:t>
              </w:r>
              <w:r>
                <w:rPr>
                  <w:rFonts w:ascii="Times New Roman" w:cs="Times New Roman"/>
                  <w:szCs w:val="21"/>
                </w:rPr>
                <w:t>借款费用资本化金额的计算方法</w:t>
              </w:r>
            </w:p>
            <w:p>
              <w:pPr>
                <w:spacing w:line="400" w:lineRule="exact"/>
                <w:ind w:firstLine="420" w:firstLineChars="200"/>
                <w:rPr>
                  <w:rFonts w:ascii="Times New Roman" w:hAnsi="Times New Roman" w:cs="Times New Roman"/>
                  <w:kern w:val="2"/>
                  <w:szCs w:val="21"/>
                </w:rPr>
              </w:pPr>
              <w:r>
                <w:rPr>
                  <w:rFonts w:ascii="Times New Roman" w:cs="Times New Roman"/>
                  <w:szCs w:val="21"/>
                </w:rPr>
                <w:t>专门借款的利息费用（扣除尚未动用的借款资金存入银行取得的利息收入或者进行暂时性投资取得的投资收益）及其辅助费用在所购建或者生产的符合资本化条件的资产达到预定可使用或者可销售状态前，予以资本化。</w:t>
              </w:r>
            </w:p>
            <w:p>
              <w:pPr>
                <w:spacing w:line="400" w:lineRule="exact"/>
                <w:ind w:firstLine="420" w:firstLineChars="200"/>
                <w:rPr>
                  <w:rFonts w:ascii="Times New Roman" w:hAnsi="Times New Roman" w:cs="Times New Roman"/>
                  <w:kern w:val="2"/>
                  <w:szCs w:val="21"/>
                </w:rPr>
              </w:pPr>
              <w:r>
                <w:rPr>
                  <w:rFonts w:ascii="Times New Roman" w:cs="Times New Roman"/>
                  <w:szCs w:val="21"/>
                </w:rPr>
                <w:t>根据累计资产支出超过专门借款部分的资产支出加权平均数乘以所占用一般借款的资本化率，计算确定一般借款应予资本化的利息金额。资本化率根据一般借款加权平均利率计算确定。</w:t>
              </w:r>
            </w:p>
            <w:p>
              <w:pPr>
                <w:spacing w:line="400" w:lineRule="exact"/>
                <w:ind w:firstLine="420" w:firstLineChars="200"/>
                <w:rPr>
                  <w:rFonts w:ascii="Times New Roman" w:hAnsi="Times New Roman" w:cs="Times New Roman"/>
                  <w:kern w:val="2"/>
                  <w:szCs w:val="21"/>
                </w:rPr>
              </w:pPr>
              <w:r>
                <w:rPr>
                  <w:rFonts w:ascii="Times New Roman" w:cs="Times New Roman"/>
                  <w:szCs w:val="21"/>
                </w:rPr>
                <w:t>借款存在折价或者溢价的，按照实际利率法确定每一会计期间应摊销的折价或者溢价金额，调整每期利息金额。</w:t>
              </w:r>
            </w:p>
          </w:sdtContent>
        </w:sdt>
        <w:p>
          <w:pPr>
            <w:spacing w:line="400" w:lineRule="exact"/>
            <w:ind w:firstLine="420" w:firstLineChars="200"/>
            <w:rPr>
              <w:rFonts w:ascii="Times New Roman" w:hAnsi="Times New Roman" w:cs="Times New Roman"/>
              <w:kern w:val="2"/>
              <w:szCs w:val="21"/>
            </w:rPr>
          </w:pPr>
        </w:p>
      </w:sdtContent>
    </w:sdt>
    <w:p>
      <w:pPr>
        <w:spacing w:line="400" w:lineRule="exact"/>
        <w:ind w:firstLine="420" w:firstLineChars="200"/>
        <w:rPr>
          <w:szCs w:val="21"/>
        </w:rPr>
      </w:pPr>
    </w:p>
    <w:sdt>
      <w:sdtPr>
        <w:rPr>
          <w:rFonts w:cs="宋体" w:asciiTheme="minorHAnsi" w:hAnsiTheme="minorHAnsi"/>
          <w:b w:val="0"/>
          <w:bCs w:val="0"/>
          <w:kern w:val="0"/>
          <w:szCs w:val="22"/>
        </w:rPr>
        <w:alias w:val="模块:生物资产会计处理方法"/>
        <w:tag w:val="_GBC_0b83f813710f436286429917c8c39567"/>
        <w:id w:val="865724128"/>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61"/>
            </w:numPr>
          </w:pPr>
          <w:r>
            <w:t>生物资产</w:t>
          </w:r>
        </w:p>
        <w:sdt>
          <w:sdtPr>
            <w:rPr>
              <w:rFonts w:hint="eastAsia"/>
              <w:szCs w:val="21"/>
            </w:rPr>
            <w:alias w:val="是否适用：生物资产_重要会计政策和估计[双击切换]"/>
            <w:tag w:val="_GBC_f511e8d0a6dc417eb1d10eeecb5b05a5"/>
            <w:id w:val="865724127"/>
            <w:lock w:val="sdtLocked"/>
            <w:placeholder>
              <w:docPart w:val="GBC22222222222222222222222222222"/>
            </w:placeholder>
          </w:sdtPr>
          <w:sdtEndPr>
            <w:rPr>
              <w:rFonts w:hint="eastAsia"/>
              <w:szCs w:val="21"/>
            </w:rPr>
          </w:sdtEndPr>
          <w:sdtContent>
            <w:p>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cs="宋体" w:asciiTheme="minorHAnsi" w:hAnsiTheme="minorHAnsi"/>
          <w:b w:val="0"/>
          <w:bCs w:val="0"/>
          <w:kern w:val="0"/>
          <w:szCs w:val="22"/>
        </w:rPr>
        <w:alias w:val="模块:油气资产会计处理方法"/>
        <w:tag w:val="_GBC_ed738d1d51d04aad8efd3fb3e88bf021"/>
        <w:id w:val="865724130"/>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61"/>
            </w:numPr>
          </w:pPr>
          <w:r>
            <w:t>油气资产</w:t>
          </w:r>
        </w:p>
        <w:sdt>
          <w:sdtPr>
            <w:rPr>
              <w:rFonts w:hint="eastAsia"/>
              <w:szCs w:val="21"/>
            </w:rPr>
            <w:alias w:val="是否适用：油气资产_重要会计政策和估计[双击切换]"/>
            <w:tag w:val="_GBC_fb60dd1d8d2346fb9b2e461875c070c9"/>
            <w:id w:val="865724129"/>
            <w:lock w:val="sdtLocked"/>
            <w:placeholder>
              <w:docPart w:val="GBC22222222222222222222222222222"/>
            </w:placeholder>
          </w:sdtPr>
          <w:sdtEndPr>
            <w:rPr>
              <w:rFonts w:hint="eastAsia"/>
              <w:szCs w:val="21"/>
            </w:rPr>
          </w:sdtEndPr>
          <w:sdtContent>
            <w:p>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ascii="宋体" w:hAnsi="宋体" w:cs="宋体"/>
          <w:b w:val="0"/>
          <w:bCs w:val="0"/>
          <w:kern w:val="0"/>
          <w:szCs w:val="21"/>
        </w:rPr>
        <w:alias w:val="模块:使用权资产"/>
        <w:tag w:val="_SEC_c609e6522cb94604b2ba3e771a8bd22e"/>
        <w:id w:val="865724133"/>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61"/>
            </w:numPr>
            <w:rPr>
              <w:szCs w:val="21"/>
            </w:rPr>
          </w:pPr>
          <w:bookmarkStart w:id="127" w:name="_Hlk24378536"/>
          <w:r>
            <w:rPr>
              <w:rFonts w:hint="eastAsia"/>
              <w:szCs w:val="21"/>
            </w:rPr>
            <w:t>使用权资产</w:t>
          </w:r>
        </w:p>
        <w:sdt>
          <w:sdtPr>
            <w:rPr>
              <w:szCs w:val="21"/>
            </w:rPr>
            <w:alias w:val="是否适用：使用权资产_重要会计政策和估计[双击切换]"/>
            <w:tag w:val="_GBC_d5fa1c5f8f2e496ba11642eb8ee9d382"/>
            <w:id w:val="86572413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127"/>
    <w:sdt>
      <w:sdtPr>
        <w:rPr>
          <w:rFonts w:cs="宋体" w:asciiTheme="minorHAnsi" w:hAnsiTheme="minorHAnsi"/>
          <w:b w:val="0"/>
          <w:bCs w:val="0"/>
          <w:kern w:val="0"/>
          <w:szCs w:val="22"/>
        </w:rPr>
        <w:alias w:val="模块:无形资产会计处理方法"/>
        <w:tag w:val="_GBC_0a8b293ff9e94173b2e385f4ef2a8c89"/>
        <w:id w:val="865724138"/>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61"/>
            </w:numPr>
          </w:pPr>
          <w:r>
            <w:t>无形资产</w:t>
          </w:r>
        </w:p>
        <w:p>
          <w:pPr>
            <w:pStyle w:val="5"/>
            <w:numPr>
              <w:ilvl w:val="3"/>
              <w:numId w:val="71"/>
            </w:numPr>
            <w:ind w:left="426" w:hanging="426"/>
          </w:pPr>
          <w:r>
            <w:rPr>
              <w:rFonts w:hint="eastAsia"/>
            </w:rPr>
            <w:t>计价方法、使用寿命、减值测试</w:t>
          </w:r>
        </w:p>
        <w:sdt>
          <w:sdtPr>
            <w:alias w:val="是否适用：无形资产计价方法、使用寿命、减值测试[双击切换]"/>
            <w:tag w:val="_GBC_40df8c87b47d48bbbf73a71cc533a892"/>
            <w:id w:val="865724134"/>
            <w:lock w:val="sdtLocked"/>
          </w:sdtPr>
          <w:sdtContent>
            <w:p>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szCs w:val="21"/>
            </w:rPr>
            <w:alias w:val="无形资产计价方法、使用寿命、减值测试"/>
            <w:tag w:val="_GBC_a9e64b18f452482eb6674ec605618dcc"/>
            <w:id w:val="865724135"/>
            <w:lock w:val="sdtLocked"/>
          </w:sdtPr>
          <w:sdtEndPr>
            <w:rPr>
              <w:rFonts w:ascii="Times New Roman" w:hAnsi="Times New Roman" w:cs="Times New Roman"/>
              <w:szCs w:val="21"/>
            </w:rPr>
          </w:sdtEndPr>
          <w:sdtContent>
            <w:p>
              <w:pPr>
                <w:spacing w:line="400" w:lineRule="exact"/>
                <w:ind w:firstLine="420" w:firstLineChars="200"/>
                <w:rPr>
                  <w:rFonts w:ascii="Times New Roman" w:hAnsi="Times New Roman" w:cs="Times New Roman"/>
                </w:rPr>
              </w:pPr>
              <w:r>
                <w:rPr>
                  <w:rFonts w:ascii="Times New Roman" w:cs="Times New Roman"/>
                </w:rPr>
                <w:t>无形资产是指本公司拥有或者控制的没有实物形态的可辨认非货币性资产，包括土地使用权、专利权、非专利技术等。</w:t>
              </w:r>
            </w:p>
            <w:p>
              <w:pPr>
                <w:spacing w:line="400" w:lineRule="exact"/>
                <w:ind w:firstLine="420" w:firstLineChars="200"/>
                <w:rPr>
                  <w:rFonts w:ascii="Times New Roman" w:hAnsi="Times New Roman" w:cs="Times New Roman"/>
                </w:rPr>
              </w:pPr>
              <w:r>
                <w:rPr>
                  <w:rFonts w:ascii="Times New Roman" w:hAnsi="Times New Roman" w:cs="Times New Roman"/>
                </w:rPr>
                <w:t>1.</w:t>
              </w:r>
              <w:r>
                <w:rPr>
                  <w:rFonts w:ascii="Times New Roman" w:cs="Times New Roman"/>
                </w:rPr>
                <w:t>无形资产的初始计量</w:t>
              </w:r>
            </w:p>
            <w:p>
              <w:pPr>
                <w:spacing w:line="400" w:lineRule="exact"/>
                <w:ind w:firstLine="420" w:firstLineChars="200"/>
                <w:rPr>
                  <w:rFonts w:ascii="Times New Roman" w:hAnsi="Times New Roman" w:cs="Times New Roman"/>
                </w:rPr>
              </w:pPr>
              <w:r>
                <w:rPr>
                  <w:rFonts w:ascii="Times New Roman" w:cs="Times New Roman"/>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pPr>
                <w:spacing w:line="400" w:lineRule="exact"/>
                <w:ind w:firstLine="420" w:firstLineChars="200"/>
                <w:rPr>
                  <w:rFonts w:ascii="Times New Roman" w:hAnsi="Times New Roman" w:cs="Times New Roman"/>
                </w:rPr>
              </w:pPr>
              <w:r>
                <w:rPr>
                  <w:rFonts w:ascii="Times New Roman" w:cs="Times New Roman"/>
                </w:rPr>
                <w:t>债务重组取得债务人用以抵债的无形资产，以该无形资产的公允价值为基础确定其入账价值，并将重组债务的账面价值与该用以抵债的无形资产公允价值之间的差额，计入当期损益。</w:t>
              </w:r>
            </w:p>
            <w:p>
              <w:pPr>
                <w:spacing w:line="400" w:lineRule="exact"/>
                <w:ind w:firstLine="420" w:firstLineChars="200"/>
                <w:rPr>
                  <w:rFonts w:ascii="Times New Roman" w:hAnsi="Times New Roman" w:cs="Times New Roman"/>
                </w:rPr>
              </w:pPr>
              <w:r>
                <w:rPr>
                  <w:rFonts w:ascii="Times New Roman" w:cs="Times New Roman"/>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pPr>
                <w:spacing w:line="400" w:lineRule="exact"/>
                <w:ind w:firstLine="420" w:firstLineChars="200"/>
                <w:rPr>
                  <w:rFonts w:ascii="Times New Roman" w:hAnsi="Times New Roman" w:cs="Times New Roman"/>
                </w:rPr>
              </w:pPr>
              <w:r>
                <w:rPr>
                  <w:rFonts w:ascii="Times New Roman" w:cs="Times New Roman"/>
                </w:rPr>
                <w:t>以同一控制下的企业吸收合并方式取得的无形资产按被合并方的账面价值确定其入账价值；以非同一控制下的企业吸收合并方式取得的无形资产按公允价值确定其入账价值。</w:t>
              </w:r>
            </w:p>
            <w:p>
              <w:pPr>
                <w:spacing w:line="400" w:lineRule="exact"/>
                <w:ind w:firstLine="420" w:firstLineChars="200"/>
                <w:rPr>
                  <w:rFonts w:ascii="Times New Roman" w:hAnsi="Times New Roman" w:cs="Times New Roman"/>
                </w:rPr>
              </w:pPr>
              <w:r>
                <w:rPr>
                  <w:rFonts w:ascii="Times New Roman" w:cs="Times New Roman"/>
                </w:rPr>
                <w:t>内部自行开发的无形资产，其成本包括：开发该无形资产时耗用的材料、劳务成本、注册费、在开发过程中使用的其他专利权和特许权的摊销以及满足资本化条件的利息费用，以及为使该无形资产达到预定用途前所发生的其他直接费用。</w:t>
              </w:r>
            </w:p>
            <w:p>
              <w:pPr>
                <w:spacing w:line="400" w:lineRule="exact"/>
                <w:ind w:firstLine="420" w:firstLineChars="200"/>
                <w:rPr>
                  <w:rFonts w:ascii="Times New Roman" w:hAnsi="Times New Roman" w:cs="Times New Roman"/>
                </w:rPr>
              </w:pPr>
              <w:r>
                <w:rPr>
                  <w:rFonts w:ascii="Times New Roman" w:hAnsi="Times New Roman" w:cs="Times New Roman"/>
                </w:rPr>
                <w:t>2.</w:t>
              </w:r>
              <w:r>
                <w:rPr>
                  <w:rFonts w:ascii="Times New Roman" w:cs="Times New Roman"/>
                </w:rPr>
                <w:t>无形资产的后续计量</w:t>
              </w:r>
            </w:p>
            <w:p>
              <w:pPr>
                <w:spacing w:line="400" w:lineRule="exact"/>
                <w:ind w:firstLine="420" w:firstLineChars="200"/>
                <w:rPr>
                  <w:rFonts w:ascii="Times New Roman" w:hAnsi="Times New Roman" w:cs="Times New Roman"/>
                </w:rPr>
              </w:pPr>
              <w:r>
                <w:rPr>
                  <w:rFonts w:ascii="Times New Roman" w:cs="Times New Roman"/>
                </w:rPr>
                <w:t>本公司在取得无形资产时分析判断其使用寿命，划分为使用寿命有限和使用寿命不确定的无形资产。</w:t>
              </w:r>
            </w:p>
            <w:p>
              <w:pPr>
                <w:spacing w:line="400" w:lineRule="exact"/>
                <w:ind w:firstLine="420" w:firstLineChars="200"/>
                <w:rPr>
                  <w:rFonts w:ascii="Times New Roman" w:hAnsi="Times New Roman" w:cs="Times New Roman"/>
                </w:rPr>
              </w:pPr>
              <w:r>
                <w:rPr>
                  <w:rFonts w:ascii="Times New Roman" w:cs="Times New Roman"/>
                </w:rPr>
                <w:t>使用寿命有限的无形资产</w:t>
              </w:r>
            </w:p>
            <w:p>
              <w:pPr>
                <w:spacing w:line="400" w:lineRule="exact"/>
                <w:ind w:firstLine="420" w:firstLineChars="200"/>
                <w:rPr>
                  <w:rFonts w:ascii="Times New Roman" w:hAnsi="Times New Roman" w:cs="Times New Roman"/>
                </w:rPr>
              </w:pPr>
              <w:r>
                <w:rPr>
                  <w:rFonts w:ascii="Times New Roman" w:cs="Times New Roman"/>
                </w:rPr>
                <w:t>对于使用寿命有限的无形资产，在为企业带来经济利益的期限内按直线法摊销。</w:t>
              </w:r>
            </w:p>
            <w:p>
              <w:pPr>
                <w:spacing w:line="400" w:lineRule="exact"/>
                <w:ind w:firstLine="420" w:firstLineChars="200"/>
                <w:rPr>
                  <w:rFonts w:ascii="Times New Roman" w:hAnsi="Times New Roman" w:cs="Times New Roman"/>
                </w:rPr>
              </w:pPr>
              <w:r>
                <w:rPr>
                  <w:rFonts w:ascii="Times New Roman" w:cs="Times New Roman"/>
                </w:rPr>
                <w:t>每期末，对使用寿命有限的无形资产的使用寿命及摊销方法进行复核，如与原先估计数存在差异的，进行相应的调整。</w:t>
              </w:r>
            </w:p>
            <w:p>
              <w:pPr>
                <w:spacing w:line="400" w:lineRule="exact"/>
                <w:ind w:firstLine="420" w:firstLineChars="200"/>
                <w:rPr>
                  <w:rFonts w:ascii="Times New Roman" w:hAnsi="Times New Roman" w:cs="Times New Roman"/>
                </w:rPr>
              </w:pPr>
              <w:r>
                <w:rPr>
                  <w:rFonts w:ascii="Times New Roman" w:cs="Times New Roman"/>
                </w:rPr>
                <w:t>经复核，本期期末无形资产的使用寿命及摊销方法与以前估计未有不同。</w:t>
              </w:r>
            </w:p>
            <w:p>
              <w:pPr>
                <w:spacing w:line="400" w:lineRule="exact"/>
                <w:ind w:firstLine="420" w:firstLineChars="200"/>
                <w:rPr>
                  <w:rFonts w:ascii="Times New Roman" w:hAnsi="Times New Roman" w:cs="Times New Roman"/>
                </w:rPr>
              </w:pPr>
              <w:r>
                <w:rPr>
                  <w:rFonts w:ascii="Times New Roman" w:cs="Times New Roman"/>
                </w:rPr>
                <w:t>使用寿命不确定的无形资产</w:t>
              </w:r>
            </w:p>
            <w:p>
              <w:pPr>
                <w:spacing w:line="400" w:lineRule="exact"/>
                <w:ind w:firstLine="420" w:firstLineChars="200"/>
                <w:rPr>
                  <w:rFonts w:ascii="Times New Roman" w:hAnsi="Times New Roman" w:cs="Times New Roman"/>
                </w:rPr>
              </w:pPr>
              <w:r>
                <w:rPr>
                  <w:rFonts w:ascii="Times New Roman" w:cs="Times New Roman"/>
                </w:rPr>
                <w:t>无法预见无形资产为企业带来经济利益期限的，视为使用寿命不确定的无形资产。使用寿命不确定的无形资产如下：</w:t>
              </w:r>
            </w:p>
            <w:tbl>
              <w:tblPr>
                <w:tblStyle w:val="10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108" w:type="dxa"/>
                </w:tblCellMar>
              </w:tblPr>
              <w:tblGrid>
                <w:gridCol w:w="2312"/>
                <w:gridCol w:w="621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344" w:hRule="atLeast"/>
                  <w:tblHeader/>
                  <w:jc w:val="center"/>
                </w:trPr>
                <w:tc>
                  <w:tcPr>
                    <w:tcW w:w="2312" w:type="dxa"/>
                    <w:shd w:val="clear" w:color="auto" w:fill="auto"/>
                    <w:vAlign w:val="center"/>
                  </w:tcPr>
                  <w:p>
                    <w:pPr>
                      <w:rPr>
                        <w:sz w:val="18"/>
                        <w:szCs w:val="18"/>
                      </w:rPr>
                    </w:pPr>
                    <w:r>
                      <w:rPr>
                        <w:sz w:val="18"/>
                        <w:szCs w:val="18"/>
                      </w:rPr>
                      <w:t>项目</w:t>
                    </w:r>
                  </w:p>
                </w:tc>
                <w:tc>
                  <w:tcPr>
                    <w:tcW w:w="6216" w:type="dxa"/>
                    <w:shd w:val="clear" w:color="auto" w:fill="auto"/>
                    <w:vAlign w:val="center"/>
                  </w:tcPr>
                  <w:p>
                    <w:pPr>
                      <w:rPr>
                        <w:sz w:val="18"/>
                        <w:szCs w:val="18"/>
                      </w:rPr>
                    </w:pPr>
                    <w:r>
                      <w:rPr>
                        <w:sz w:val="18"/>
                        <w:szCs w:val="18"/>
                      </w:rPr>
                      <w:t>使用寿命不确定的依据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108" w:type="dxa"/>
                  </w:tblCellMar>
                </w:tblPrEx>
                <w:trPr>
                  <w:trHeight w:val="344" w:hRule="atLeast"/>
                  <w:jc w:val="center"/>
                </w:trPr>
                <w:tc>
                  <w:tcPr>
                    <w:tcW w:w="2312" w:type="dxa"/>
                    <w:shd w:val="clear" w:color="auto" w:fill="auto"/>
                    <w:vAlign w:val="center"/>
                  </w:tcPr>
                  <w:p>
                    <w:pPr>
                      <w:rPr>
                        <w:sz w:val="18"/>
                        <w:szCs w:val="18"/>
                      </w:rPr>
                    </w:pPr>
                    <w:r>
                      <w:rPr>
                        <w:sz w:val="18"/>
                        <w:szCs w:val="18"/>
                      </w:rPr>
                      <w:t>药品生产技术及相应权利</w:t>
                    </w:r>
                  </w:p>
                </w:tc>
                <w:tc>
                  <w:tcPr>
                    <w:tcW w:w="6216" w:type="dxa"/>
                    <w:shd w:val="clear" w:color="auto" w:fill="auto"/>
                    <w:vAlign w:val="center"/>
                  </w:tcPr>
                  <w:p>
                    <w:pPr>
                      <w:rPr>
                        <w:sz w:val="18"/>
                        <w:szCs w:val="18"/>
                      </w:rPr>
                    </w:pPr>
                    <w:r>
                      <w:rPr>
                        <w:sz w:val="18"/>
                        <w:szCs w:val="18"/>
                      </w:rPr>
                      <w:t>子公司广西两面针亿康药业股份有限公司成立时，前股东以药品生产技术及相应权利出资。根据药品管理法实施条例、药品注册管理办法等法规规定，药品批准文号的有效期为5年，有效期届满，需要继续使用的应当在期满前6个月，申请换发有关证件。因此相关的药品生产技术（药品生产批号）为本公司带来末来经济利益的期限从目前情况看无法可靠估计。</w:t>
                    </w:r>
                  </w:p>
                </w:tc>
              </w:tr>
            </w:tbl>
            <w:p>
              <w:pPr>
                <w:spacing w:line="400" w:lineRule="exact"/>
                <w:ind w:firstLine="420" w:firstLineChars="200"/>
                <w:rPr>
                  <w:rFonts w:ascii="Times New Roman" w:hAnsi="Times New Roman" w:cs="Times New Roman"/>
                </w:rPr>
              </w:pPr>
              <w:r>
                <w:rPr>
                  <w:rFonts w:ascii="Times New Roman" w:cs="Times New Roman"/>
                </w:rPr>
                <w:t>对于使用寿命不确定的无形资产，在持有期间内不摊销，每期末对无形资产的寿命进行复核。如果期末重新复核后仍为不确定的，在每个会计期间继续进行减值测试。经复核，该类无形资产的使用寿命仍为不确定。</w:t>
              </w:r>
            </w:p>
            <w:p>
              <w:pPr>
                <w:spacing w:line="400" w:lineRule="exact"/>
                <w:ind w:firstLine="420" w:firstLineChars="200"/>
                <w:rPr>
                  <w:rFonts w:ascii="Times New Roman" w:hAnsi="Times New Roman" w:cs="Times New Roman"/>
                </w:rPr>
              </w:pPr>
              <w:r>
                <w:rPr>
                  <w:rFonts w:ascii="Times New Roman" w:hAnsi="Times New Roman" w:cs="Times New Roman"/>
                </w:rPr>
                <w:t>3.</w:t>
              </w:r>
              <w:r>
                <w:rPr>
                  <w:rFonts w:ascii="Times New Roman" w:cs="Times New Roman"/>
                </w:rPr>
                <w:t>划分公司内部研究开发项目的研究阶段和开发阶段具体标准</w:t>
              </w:r>
            </w:p>
            <w:p>
              <w:pPr>
                <w:spacing w:line="400" w:lineRule="exact"/>
                <w:ind w:firstLine="420" w:firstLineChars="200"/>
                <w:rPr>
                  <w:rFonts w:ascii="Times New Roman" w:hAnsi="Times New Roman" w:cs="Times New Roman"/>
                </w:rPr>
              </w:pPr>
              <w:r>
                <w:rPr>
                  <w:rFonts w:ascii="Times New Roman" w:cs="Times New Roman"/>
                </w:rPr>
                <w:t>研究阶段：为获取并理解新的科学或技术知识等而进行的独创性的有计划调查、研究活动的阶段。</w:t>
              </w:r>
            </w:p>
            <w:p>
              <w:pPr>
                <w:spacing w:line="400" w:lineRule="exact"/>
                <w:ind w:firstLine="420" w:firstLineChars="200"/>
                <w:rPr>
                  <w:rFonts w:ascii="Times New Roman" w:hAnsi="Times New Roman" w:cs="Times New Roman"/>
                </w:rPr>
              </w:pPr>
              <w:r>
                <w:rPr>
                  <w:rFonts w:ascii="Times New Roman" w:cs="Times New Roman"/>
                </w:rPr>
                <w:t>开发阶段：在进行商业性生产或使用前，将研究成果或其他知识应用于某项计划或设计，以生产出新的或具有实质性改进的材料、装置、产品等活动的阶段。</w:t>
              </w:r>
            </w:p>
            <w:p>
              <w:pPr>
                <w:spacing w:line="400" w:lineRule="exact"/>
                <w:ind w:firstLine="420" w:firstLineChars="200"/>
                <w:rPr>
                  <w:rFonts w:ascii="Times New Roman" w:hAnsi="Times New Roman" w:cs="Times New Roman"/>
                </w:rPr>
              </w:pPr>
              <w:r>
                <w:rPr>
                  <w:rFonts w:ascii="Times New Roman" w:cs="Times New Roman"/>
                </w:rPr>
                <w:t>内部研究开发项目研究阶段的支出，在发生时计入当期损益。</w:t>
              </w:r>
            </w:p>
            <w:p>
              <w:pPr>
                <w:spacing w:line="400" w:lineRule="exact"/>
                <w:ind w:firstLine="420" w:firstLineChars="200"/>
                <w:rPr>
                  <w:rFonts w:ascii="Times New Roman" w:hAnsi="Times New Roman" w:cs="Times New Roman"/>
                </w:rPr>
              </w:pPr>
              <w:r>
                <w:rPr>
                  <w:rFonts w:ascii="Times New Roman" w:hAnsi="Times New Roman" w:cs="Times New Roman"/>
                </w:rPr>
                <w:t>4.</w:t>
              </w:r>
              <w:r>
                <w:rPr>
                  <w:rFonts w:ascii="Times New Roman" w:cs="Times New Roman"/>
                </w:rPr>
                <w:t>开发阶段支出符合资本化的具体标准</w:t>
              </w:r>
            </w:p>
            <w:p>
              <w:pPr>
                <w:spacing w:line="400" w:lineRule="exact"/>
                <w:ind w:firstLine="420" w:firstLineChars="200"/>
                <w:rPr>
                  <w:rFonts w:ascii="Times New Roman" w:hAnsi="Times New Roman" w:cs="Times New Roman"/>
                </w:rPr>
              </w:pPr>
              <w:r>
                <w:rPr>
                  <w:rFonts w:ascii="Times New Roman" w:cs="Times New Roman"/>
                </w:rPr>
                <w:t>内部研究开发项目开发阶段的支出，同时满足下列条件时确认为无形资产：</w:t>
              </w:r>
            </w:p>
            <w:p>
              <w:pPr>
                <w:spacing w:line="400" w:lineRule="exact"/>
                <w:ind w:firstLine="420" w:firstLineChars="200"/>
                <w:rPr>
                  <w:rFonts w:ascii="Times New Roman" w:hAnsi="Times New Roman" w:cs="Times New Roman"/>
                </w:rPr>
              </w:pPr>
              <w:r>
                <w:rPr>
                  <w:rFonts w:ascii="Times New Roman" w:cs="Times New Roman"/>
                </w:rPr>
                <w:t>（</w:t>
              </w:r>
              <w:r>
                <w:rPr>
                  <w:rFonts w:ascii="Times New Roman" w:hAnsi="Times New Roman" w:cs="Times New Roman"/>
                </w:rPr>
                <w:t>1</w:t>
              </w:r>
              <w:r>
                <w:rPr>
                  <w:rFonts w:ascii="Times New Roman" w:cs="Times New Roman"/>
                </w:rPr>
                <w:t>）完成该无形资产以使其能够使用或出售在技术上具有可行性；</w:t>
              </w:r>
            </w:p>
            <w:p>
              <w:pPr>
                <w:spacing w:line="400" w:lineRule="exact"/>
                <w:ind w:firstLine="420" w:firstLineChars="200"/>
                <w:rPr>
                  <w:rFonts w:ascii="Times New Roman" w:hAnsi="Times New Roman" w:cs="Times New Roman"/>
                </w:rPr>
              </w:pPr>
              <w:r>
                <w:rPr>
                  <w:rFonts w:ascii="Times New Roman" w:cs="Times New Roman"/>
                </w:rPr>
                <w:t>（</w:t>
              </w:r>
              <w:r>
                <w:rPr>
                  <w:rFonts w:ascii="Times New Roman" w:hAnsi="Times New Roman" w:cs="Times New Roman"/>
                </w:rPr>
                <w:t>2</w:t>
              </w:r>
              <w:r>
                <w:rPr>
                  <w:rFonts w:ascii="Times New Roman" w:cs="Times New Roman"/>
                </w:rPr>
                <w:t>）具有完成该无形资产并使用或出售的意图；</w:t>
              </w:r>
            </w:p>
            <w:p>
              <w:pPr>
                <w:spacing w:line="400" w:lineRule="exact"/>
                <w:ind w:firstLine="420" w:firstLineChars="200"/>
                <w:rPr>
                  <w:rFonts w:ascii="Times New Roman" w:hAnsi="Times New Roman" w:cs="Times New Roman"/>
                </w:rPr>
              </w:pPr>
              <w:r>
                <w:rPr>
                  <w:rFonts w:ascii="Times New Roman" w:cs="Times New Roman"/>
                </w:rPr>
                <w:t>（</w:t>
              </w:r>
              <w:r>
                <w:rPr>
                  <w:rFonts w:ascii="Times New Roman" w:hAnsi="Times New Roman" w:cs="Times New Roman"/>
                </w:rPr>
                <w:t>3</w:t>
              </w:r>
              <w:r>
                <w:rPr>
                  <w:rFonts w:ascii="Times New Roman" w:cs="Times New Roman"/>
                </w:rPr>
                <w:t>）无形资产产生经济利益的方式，包括能够证明运用该无形资产生产的产品存在市场或无形资产自身存在市场，无形资产将在内部使用的，能够证明其有用性；</w:t>
              </w:r>
            </w:p>
            <w:p>
              <w:pPr>
                <w:spacing w:line="400" w:lineRule="exact"/>
                <w:ind w:firstLine="420" w:firstLineChars="200"/>
                <w:rPr>
                  <w:rFonts w:ascii="Times New Roman" w:hAnsi="Times New Roman" w:cs="Times New Roman"/>
                </w:rPr>
              </w:pPr>
              <w:r>
                <w:rPr>
                  <w:rFonts w:ascii="Times New Roman" w:cs="Times New Roman"/>
                </w:rPr>
                <w:t>（</w:t>
              </w:r>
              <w:r>
                <w:rPr>
                  <w:rFonts w:ascii="Times New Roman" w:hAnsi="Times New Roman" w:cs="Times New Roman"/>
                </w:rPr>
                <w:t>4</w:t>
              </w:r>
              <w:r>
                <w:rPr>
                  <w:rFonts w:ascii="Times New Roman" w:cs="Times New Roman"/>
                </w:rPr>
                <w:t>）有足够的技术、财务资源和其他资源支持，以完成该无形资产的开发，并有能力使用或出售该无形资产；</w:t>
              </w:r>
            </w:p>
            <w:p>
              <w:pPr>
                <w:spacing w:line="400" w:lineRule="exact"/>
                <w:ind w:firstLine="420" w:firstLineChars="200"/>
                <w:rPr>
                  <w:rFonts w:ascii="Times New Roman" w:hAnsi="Times New Roman" w:cs="Times New Roman"/>
                </w:rPr>
              </w:pPr>
              <w:r>
                <w:rPr>
                  <w:rFonts w:ascii="Times New Roman" w:cs="Times New Roman"/>
                </w:rPr>
                <w:t>（</w:t>
              </w:r>
              <w:r>
                <w:rPr>
                  <w:rFonts w:ascii="Times New Roman" w:hAnsi="Times New Roman" w:cs="Times New Roman"/>
                </w:rPr>
                <w:t>5</w:t>
              </w:r>
              <w:r>
                <w:rPr>
                  <w:rFonts w:ascii="Times New Roman" w:cs="Times New Roman"/>
                </w:rPr>
                <w:t>）归属于该无形资产开发阶段的支出能够可靠地计量。</w:t>
              </w:r>
            </w:p>
            <w:p>
              <w:pPr>
                <w:spacing w:line="400" w:lineRule="exact"/>
                <w:ind w:firstLine="420" w:firstLineChars="200"/>
                <w:rPr>
                  <w:rFonts w:ascii="Times New Roman" w:hAnsi="Times New Roman" w:cs="Times New Roman"/>
                </w:rPr>
              </w:pPr>
              <w:r>
                <w:rPr>
                  <w:rFonts w:ascii="Times New Roman" w:cs="Times New Roman"/>
                </w:rPr>
                <w:t>不满足上述条件的开发阶段的支出，于发生时计入当期损益。以前期间已计入损益的开发支出不在以后期间重新确认为资产。已资本化的开发阶段的支出在资产负债表上列示为开发支出，自该项目达到预定用途之日起转为无形资产。</w:t>
              </w:r>
            </w:p>
          </w:sdtContent>
        </w:sdt>
        <w:p>
          <w:pPr>
            <w:spacing w:line="400" w:lineRule="exact"/>
            <w:ind w:firstLine="420" w:firstLineChars="200"/>
            <w:rPr>
              <w:rFonts w:ascii="Times New Roman" w:hAnsi="Times New Roman" w:cs="Times New Roman"/>
              <w:szCs w:val="21"/>
            </w:rPr>
          </w:pPr>
        </w:p>
        <w:p>
          <w:pPr>
            <w:pStyle w:val="5"/>
            <w:numPr>
              <w:ilvl w:val="3"/>
              <w:numId w:val="71"/>
            </w:numPr>
            <w:ind w:left="426" w:hanging="426"/>
          </w:pPr>
          <w:r>
            <w:rPr>
              <w:rFonts w:hint="eastAsia"/>
            </w:rPr>
            <w:t>内部研究开发支出会计政策</w:t>
          </w:r>
        </w:p>
        <w:sdt>
          <w:sdtPr>
            <w:alias w:val="是否适用：无形资产内部研究开发支出会计政策[双击切换]"/>
            <w:tag w:val="_GBC_8f6b939ea36a42808f60b7c024994f2b"/>
            <w:id w:val="865724136"/>
            <w:lock w:val="sdtLocked"/>
          </w:sdtPr>
          <w:sdtContent>
            <w:p>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rPr>
              <w:szCs w:val="21"/>
            </w:rPr>
          </w:pPr>
        </w:p>
      </w:sdtContent>
    </w:sdt>
    <w:p/>
    <w:sdt>
      <w:sdtPr>
        <w:rPr>
          <w:rFonts w:hint="eastAsia" w:ascii="宋体" w:hAnsi="宋体" w:cs="宋体"/>
          <w:b w:val="0"/>
          <w:bCs w:val="0"/>
          <w:kern w:val="0"/>
          <w:szCs w:val="21"/>
        </w:rPr>
        <w:alias w:val="模块:非金融长期资产减值"/>
        <w:tag w:val="_GBC_da2f3f0531094e5e9dcd987c45223bec"/>
        <w:id w:val="865724141"/>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61"/>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86572413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cs="宋体"/>
              <w:kern w:val="0"/>
              <w:szCs w:val="24"/>
            </w:rPr>
            <w:alias w:val="非金融长期资产减值测试方法及会计处理方法"/>
            <w:tag w:val="_GBC_0a065c1269a846f6923598a2c1fc4269"/>
            <w:id w:val="865724140"/>
            <w:lock w:val="sdtLocked"/>
            <w:placeholder>
              <w:docPart w:val="GBC22222222222222222222222222222"/>
            </w:placeholder>
          </w:sdtPr>
          <w:sdtEndPr>
            <w:rPr>
              <w:rFonts w:hint="eastAsia" w:cs="宋体"/>
              <w:kern w:val="0"/>
              <w:szCs w:val="24"/>
            </w:rPr>
          </w:sdtEndPr>
          <w:sdtContent>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在资产负债表日判断长期资产是否存在可能发生减值的迹象。如果长期资产存在减值迹象的，以单项资产为基础估计其可收回金额；难以对单项资产的可收回金额进行估计的，以该资产所属的资产组为基础确定资产组的可收回金额。</w:t>
              </w:r>
            </w:p>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资产可收回金额的估计，根据其公允价值减去处置费用后的净额与资产预计未来现金流量的现值两者之间较高者确定。</w:t>
              </w:r>
            </w:p>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可收回金额的计量结果表明，长期资产的可收回金额低于其账面价值的，将长期资产的账面价值减记至可收回金额，减记的金额确认为资产减值损失，计入当期损益，同时计提相应的资产减值准备。资产减值损失一经确认，在以后会计期间不得转回。</w:t>
              </w:r>
            </w:p>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资产减值损失确认后，减值资产的折旧或者摊销费用在未来期间作相应调整，以使该资产在剩余使用寿命内，系统地分摊调整后的资产账面价值（扣除预计净残值）。</w:t>
              </w:r>
            </w:p>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因企业合并所形成的商誉和使用寿命不确定的无形资产，无论是否存在减值迹象，每年都进行减值测试。</w:t>
              </w:r>
            </w:p>
            <w:p>
              <w:pPr>
                <w:pStyle w:val="113"/>
                <w:widowControl w:val="0"/>
                <w:tabs>
                  <w:tab w:val="left" w:pos="196"/>
                  <w:tab w:val="left" w:pos="426"/>
                </w:tabs>
                <w:spacing w:line="400" w:lineRule="exact"/>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在对商誉进行减值测试时，将商誉的账面价值分摊至预期从企业合并的协同效应中受益的资产组或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p>
            <w:p>
              <w:pPr>
                <w:rPr>
                  <w:szCs w:val="21"/>
                </w:rPr>
              </w:pPr>
            </w:p>
          </w:sdtContent>
        </w:sdt>
        <w:p>
          <w:pPr>
            <w:rPr>
              <w:szCs w:val="21"/>
            </w:rPr>
          </w:pPr>
        </w:p>
      </w:sdtContent>
    </w:sdt>
    <w:sdt>
      <w:sdtPr>
        <w:rPr>
          <w:rFonts w:cs="宋体" w:asciiTheme="minorHAnsi" w:hAnsiTheme="minorHAnsi"/>
          <w:b w:val="0"/>
          <w:bCs w:val="0"/>
          <w:kern w:val="0"/>
          <w:szCs w:val="22"/>
        </w:rPr>
        <w:alias w:val="模块:长期待摊费用会计处理方法"/>
        <w:tag w:val="_GBC_fffe6f948ebb468ba812d16acce5c0b9"/>
        <w:id w:val="865724144"/>
        <w:lock w:val="sdtLocked"/>
        <w:placeholder>
          <w:docPart w:val="GBC22222222222222222222222222222"/>
        </w:placeholder>
      </w:sdtPr>
      <w:sdtEndPr>
        <w:rPr>
          <w:rFonts w:hint="eastAsia" w:ascii="宋体" w:hAnsi="宋体" w:cs="Times New Roman"/>
          <w:b w:val="0"/>
          <w:bCs w:val="0"/>
          <w:kern w:val="2"/>
          <w:szCs w:val="21"/>
        </w:rPr>
      </w:sdtEndPr>
      <w:sdtContent>
        <w:p>
          <w:pPr>
            <w:pStyle w:val="4"/>
            <w:numPr>
              <w:ilvl w:val="0"/>
              <w:numId w:val="61"/>
            </w:numPr>
          </w:pPr>
          <w:r>
            <w:t>长期待摊费用</w:t>
          </w:r>
        </w:p>
        <w:sdt>
          <w:sdtPr>
            <w:rPr>
              <w:rFonts w:hint="eastAsia"/>
              <w:szCs w:val="21"/>
            </w:rPr>
            <w:alias w:val="是否适用：长期待摊费用_重要会计政策和估计[双击切换]"/>
            <w:tag w:val="_GBC_5f2bbee5e66644d489f8d74ae8f96539"/>
            <w:id w:val="86572414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cs="宋体"/>
              <w:kern w:val="0"/>
              <w:szCs w:val="24"/>
            </w:rPr>
            <w:alias w:val="开办费、长期待摊费用摊销方法"/>
            <w:tag w:val="_GBC_a0e2b7a5a9454eaea97ca201421d7dde"/>
            <w:id w:val="865724143"/>
            <w:lock w:val="sdtLocked"/>
            <w:placeholder>
              <w:docPart w:val="GBC22222222222222222222222222222"/>
            </w:placeholder>
          </w:sdtPr>
          <w:sdtEndPr>
            <w:rPr>
              <w:rFonts w:hint="eastAsia" w:cs="Times New Roman"/>
              <w:kern w:val="2"/>
              <w:szCs w:val="21"/>
            </w:rPr>
          </w:sdtEndPr>
          <w:sdtContent>
            <w:p>
              <w:pPr>
                <w:pStyle w:val="113"/>
                <w:widowControl w:val="0"/>
                <w:tabs>
                  <w:tab w:val="left" w:pos="196"/>
                  <w:tab w:val="left" w:pos="426"/>
                </w:tabs>
                <w:spacing w:line="400" w:lineRule="exact"/>
                <w:ind w:left="0" w:leftChars="0" w:firstLine="420" w:firstLineChars="200"/>
                <w:jc w:val="both"/>
              </w:pPr>
              <w:r>
                <w:rPr>
                  <w:rFonts w:asciiTheme="minorEastAsia" w:hAnsiTheme="minorEastAsia" w:eastAsiaTheme="minorEastAsia"/>
                </w:rPr>
                <w:t>长期待摊费用</w:t>
              </w:r>
              <w:r>
                <w:rPr>
                  <w:rFonts w:hint="eastAsia" w:asciiTheme="minorEastAsia" w:hAnsiTheme="minorEastAsia" w:eastAsiaTheme="minorEastAsia"/>
                </w:rPr>
                <w:t>，是指本公司已经发生但应由本期和以后各期负担的分摊期限在1年以上的各项费用。</w:t>
              </w:r>
              <w:r>
                <w:rPr>
                  <w:rFonts w:asciiTheme="minorEastAsia" w:hAnsiTheme="minorEastAsia" w:eastAsiaTheme="minorEastAsia"/>
                </w:rPr>
                <w:t>长期待摊费用在受益期内</w:t>
              </w:r>
              <w:r>
                <w:rPr>
                  <w:rFonts w:hint="eastAsia" w:asciiTheme="minorEastAsia" w:hAnsiTheme="minorEastAsia" w:eastAsiaTheme="minorEastAsia"/>
                </w:rPr>
                <w:t>按直线法分期</w:t>
              </w:r>
              <w:r>
                <w:rPr>
                  <w:rFonts w:asciiTheme="minorEastAsia" w:hAnsiTheme="minorEastAsia" w:eastAsiaTheme="minorEastAsia"/>
                </w:rPr>
                <w:t>摊销</w:t>
              </w:r>
              <w:r>
                <w:rPr>
                  <w:rFonts w:hint="eastAsia" w:asciiTheme="minorEastAsia" w:hAnsiTheme="minorEastAsia" w:eastAsiaTheme="minorEastAsia"/>
                </w:rPr>
                <w:t>。若长期待摊的费用项目不能使以后会计期间受益，则将尚未摊销的该项目的摊余价值全部转入当期损益。</w:t>
              </w:r>
            </w:p>
          </w:sdtContent>
        </w:sdt>
      </w:sdtContent>
    </w:sdt>
    <w:p>
      <w:pPr>
        <w:spacing w:line="400" w:lineRule="exact"/>
        <w:rPr>
          <w:szCs w:val="21"/>
        </w:rPr>
      </w:pPr>
    </w:p>
    <w:sdt>
      <w:sdtPr>
        <w:rPr>
          <w:rFonts w:hint="eastAsia" w:ascii="宋体" w:hAnsi="宋体" w:cs="宋体"/>
          <w:b w:val="0"/>
          <w:bCs w:val="0"/>
          <w:kern w:val="0"/>
          <w:szCs w:val="21"/>
        </w:rPr>
        <w:alias w:val="模块:合同负债"/>
        <w:tag w:val="_SEC_cf70b80a8aab43fe9ea65f35584a808d"/>
        <w:id w:val="865724147"/>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61"/>
            </w:numPr>
            <w:rPr>
              <w:szCs w:val="21"/>
            </w:rPr>
          </w:pPr>
          <w:bookmarkStart w:id="128" w:name="_Hlk533668008"/>
          <w:r>
            <w:rPr>
              <w:rFonts w:hint="eastAsia"/>
              <w:szCs w:val="21"/>
            </w:rPr>
            <w:t>合同负债</w:t>
          </w:r>
        </w:p>
        <w:p>
          <w:pPr>
            <w:pStyle w:val="5"/>
            <w:numPr>
              <w:ilvl w:val="3"/>
              <w:numId w:val="72"/>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86572414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eastAsia="宋体" w:cs="宋体"/>
              <w:sz w:val="21"/>
              <w:szCs w:val="21"/>
            </w:rPr>
            <w:alias w:val="合同负债的确定方法、摊销方法和减值测试方法"/>
            <w:tag w:val="_GBC_0555b9144f6c494282d03f175d2fa19d"/>
            <w:id w:val="865724146"/>
            <w:lock w:val="sdtLocked"/>
            <w:placeholder>
              <w:docPart w:val="GBC22222222222222222222222222222"/>
            </w:placeholder>
          </w:sdtPr>
          <w:sdtEndPr>
            <w:rPr>
              <w:rFonts w:ascii="宋体" w:hAnsi="宋体" w:eastAsia="宋体" w:cs="宋体"/>
              <w:sz w:val="21"/>
              <w:szCs w:val="21"/>
            </w:rPr>
          </w:sdtEndPr>
          <w:sdtContent>
            <w:p>
              <w:pPr>
                <w:pStyle w:val="119"/>
                <w:spacing w:line="360" w:lineRule="exact"/>
                <w:ind w:firstLine="420" w:firstLineChars="200"/>
                <w:rPr>
                  <w:rFonts w:ascii="Calibri" w:hAnsi="Calibri" w:eastAsia="宋体"/>
                  <w:kern w:val="2"/>
                  <w:sz w:val="21"/>
                  <w:szCs w:val="22"/>
                </w:rPr>
              </w:pPr>
              <w:r>
                <w:rPr>
                  <w:rFonts w:hint="eastAsia" w:ascii="Times New Roman" w:hAnsi="宋体" w:eastAsia="宋体" w:cs="宋体"/>
                  <w:sz w:val="21"/>
                  <w:szCs w:val="21"/>
                </w:rPr>
                <w:t>合同负债是指已收或应收客户对价而应向客户转让商品或服务的义务，如企业在转让承诺的商品或服务之前已收取的款项。</w:t>
              </w:r>
            </w:p>
            <w:p>
              <w:pPr>
                <w:rPr>
                  <w:szCs w:val="21"/>
                </w:rPr>
              </w:pPr>
            </w:p>
          </w:sdtContent>
        </w:sdt>
        <w:p>
          <w:pPr>
            <w:rPr>
              <w:szCs w:val="21"/>
            </w:rPr>
          </w:pPr>
        </w:p>
      </w:sdtContent>
    </w:sdt>
    <w:bookmarkEnd w:id="128"/>
    <w:sdt>
      <w:sdtPr>
        <w:rPr>
          <w:rFonts w:hint="eastAsia" w:asciiTheme="minorHAnsi" w:hAnsiTheme="minorHAnsi" w:cstheme="minorBidi"/>
          <w:b w:val="0"/>
          <w:bCs w:val="0"/>
          <w:kern w:val="0"/>
          <w:szCs w:val="22"/>
        </w:rPr>
        <w:alias w:val="模块:职工薪酬"/>
        <w:tag w:val="_GBC_8ec8855eb4d5447ab785e4bd4b0b73aa"/>
        <w:id w:val="865724156"/>
        <w:lock w:val="sdtLocked"/>
        <w:placeholder>
          <w:docPart w:val="GBC22222222222222222222222222222"/>
        </w:placeholder>
      </w:sdtPr>
      <w:sdtEndPr>
        <w:rPr>
          <w:rFonts w:hint="eastAsia" w:ascii="宋体" w:hAnsi="宋体" w:cs="Times New Roman"/>
          <w:b w:val="0"/>
          <w:bCs w:val="0"/>
          <w:kern w:val="0"/>
          <w:szCs w:val="21"/>
        </w:rPr>
      </w:sdtEndPr>
      <w:sdtContent>
        <w:p>
          <w:pPr>
            <w:pStyle w:val="4"/>
            <w:numPr>
              <w:ilvl w:val="0"/>
              <w:numId w:val="61"/>
            </w:numPr>
          </w:pPr>
          <w:r>
            <w:rPr>
              <w:rFonts w:hint="eastAsia"/>
            </w:rPr>
            <w:t>职工薪酬</w:t>
          </w:r>
        </w:p>
        <w:p>
          <w:pPr>
            <w:pStyle w:val="5"/>
            <w:numPr>
              <w:ilvl w:val="3"/>
              <w:numId w:val="73"/>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86572414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kern w:val="0"/>
              <w:szCs w:val="24"/>
            </w:rPr>
            <w:alias w:val="短期薪酬的会计处理方法"/>
            <w:tag w:val="_GBC_8fdf44b194ac45fb945d36b9896df796"/>
            <w:id w:val="865724149"/>
            <w:lock w:val="sdtLocked"/>
            <w:placeholder>
              <w:docPart w:val="GBC22222222222222222222222222222"/>
            </w:placeholder>
          </w:sdtPr>
          <w:sdtEndPr>
            <w:rPr>
              <w:rFonts w:cs="宋体"/>
              <w:kern w:val="0"/>
              <w:szCs w:val="24"/>
            </w:rPr>
          </w:sdtEndPr>
          <w:sdtContent>
            <w:p>
              <w:pPr>
                <w:pStyle w:val="112"/>
                <w:widowControl w:val="0"/>
                <w:tabs>
                  <w:tab w:val="left" w:pos="196"/>
                  <w:tab w:val="left" w:pos="426"/>
                </w:tabs>
                <w:spacing w:line="480" w:lineRule="exact"/>
                <w:ind w:left="0" w:leftChars="0" w:firstLine="42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职工薪酬，是指本公司为获得职工提供的服务或解除劳动关系而给予的各种形式的报酬或补偿。职工薪酬包括短期薪酬、离职后福利、辞退福利和其他长期职工福利。</w:t>
              </w:r>
            </w:p>
            <w:p>
              <w:pPr>
                <w:pStyle w:val="109"/>
                <w:widowControl w:val="0"/>
                <w:spacing w:line="480" w:lineRule="exact"/>
                <w:ind w:firstLine="556"/>
                <w:rPr>
                  <w:b/>
                  <w:color w:val="000000"/>
                  <w:sz w:val="24"/>
                </w:rPr>
              </w:pPr>
              <w:r>
                <w:rPr>
                  <w:rFonts w:hint="eastAsia"/>
                  <w:b/>
                  <w:color w:val="000000"/>
                  <w:sz w:val="24"/>
                </w:rPr>
                <w:t>1.短期薪酬</w:t>
              </w:r>
            </w:p>
            <w:p>
              <w:pPr>
                <w:widowControl w:val="0"/>
                <w:snapToGrid w:val="0"/>
                <w:spacing w:line="480" w:lineRule="exact"/>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短期薪酬是指本公司在职工提供相关服务的年度报告期间结束后十二个月内需要全部予以支付的职工薪酬，离职后福利和辞退福利除外。本公司在职工提供服务的会计期间，将应付的短期薪酬确认为负债，并根据职工提供服务的受益对象计入相关资产成本和费用。</w:t>
              </w:r>
            </w:p>
            <w:p>
              <w:pPr>
                <w:rPr>
                  <w:szCs w:val="21"/>
                </w:rPr>
              </w:pPr>
            </w:p>
          </w:sdtContent>
        </w:sdt>
        <w:p>
          <w:pPr>
            <w:rPr>
              <w:szCs w:val="21"/>
            </w:rPr>
          </w:pPr>
        </w:p>
        <w:p>
          <w:pPr>
            <w:pStyle w:val="5"/>
            <w:numPr>
              <w:ilvl w:val="3"/>
              <w:numId w:val="73"/>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86572415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865724151"/>
            <w:lock w:val="sdtLocked"/>
            <w:placeholder>
              <w:docPart w:val="GBC22222222222222222222222222222"/>
            </w:placeholder>
          </w:sdtPr>
          <w:sdtEndPr>
            <w:rPr>
              <w:szCs w:val="21"/>
            </w:rPr>
          </w:sdtEndPr>
          <w:sdtContent>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离职后福利是指本公司为获得职工提供的服务而在职工退休或与企业解除劳动关系后，提供的各种形式的报酬和福利，短期薪酬和辞退福利除外。</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本公司的离职后福利计划分类为设定提存计划和设定受益计划。</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离职后福利设定提存计划主要为参加由各地劳动及社会保障机构组织实施的社会基本养老保险、失业保险等。在职工为本公司提供服务的会计期间，将根据设定提存计划计算的应缴存金额确认为负债，并计入当期损益或相关资产成本。</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离职后福利设定受益计划主要为内退人员支付的工资、社保、过节费等。对于设定受益计划中承担的义务，在资产负债表日由独立精算师使用预期累计福利单位法进行精算，将设定受益计划产生的福利义务归属于职工提供服务的期间，并计入当期损益或相关资产成本，其中：除非其他会计准则要求或允许职工福利成本计入资产成本，设定受益计划服务成本和设定受益计划净负债或净资产的利息净额在发生当期计入当期损益；重新计量设定受益计划净负债或净资产所产生的变动在发生当期计入其他综合收益，且在后续会计期间不允许转回至损益。</w:t>
              </w:r>
            </w:p>
            <w:p>
              <w:pPr>
                <w:rPr>
                  <w:szCs w:val="21"/>
                </w:rPr>
              </w:pPr>
            </w:p>
          </w:sdtContent>
        </w:sdt>
        <w:p>
          <w:pPr>
            <w:rPr>
              <w:szCs w:val="21"/>
            </w:rPr>
          </w:pPr>
        </w:p>
        <w:p>
          <w:pPr>
            <w:pStyle w:val="5"/>
            <w:numPr>
              <w:ilvl w:val="3"/>
              <w:numId w:val="73"/>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86572415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865724153"/>
            <w:lock w:val="sdtLocked"/>
            <w:placeholder>
              <w:docPart w:val="GBC22222222222222222222222222222"/>
            </w:placeholder>
          </w:sdtPr>
          <w:sdtEndPr>
            <w:rPr>
              <w:szCs w:val="21"/>
            </w:rPr>
          </w:sdtEndPr>
          <w:sdtContent>
            <w:p>
              <w:pPr>
                <w:pStyle w:val="109"/>
                <w:widowControl w:val="0"/>
                <w:spacing w:line="400" w:lineRule="exact"/>
                <w:ind w:left="0" w:leftChars="0" w:firstLine="420" w:firstLineChars="200"/>
                <w:rPr>
                  <w:szCs w:val="21"/>
                </w:rPr>
              </w:pPr>
              <w:r>
                <w:rPr>
                  <w:rFonts w:hint="eastAsia" w:asciiTheme="minorEastAsia" w:hAnsiTheme="minorEastAsia" w:eastAsiaTheme="minorEastAsia"/>
                  <w:szCs w:val="21"/>
                </w:rPr>
                <w:t>辞退福利是指本公司在职工劳动合同到期之前解除与职工的劳动关系，或者为鼓励职工自愿接受裁减而给予职工的补偿，在本公司不能单方面撤回解除劳动关系计划或裁减建议时和确认与涉及支付辞退福利的重组相关的成本费用时两者孰早日，确认因解除与职工的劳动关系给予补偿而产生的负债，同时计入当期损益。</w:t>
              </w:r>
            </w:p>
          </w:sdtContent>
        </w:sdt>
        <w:p>
          <w:pPr>
            <w:rPr>
              <w:szCs w:val="21"/>
            </w:rPr>
          </w:pPr>
        </w:p>
        <w:p>
          <w:pPr>
            <w:pStyle w:val="5"/>
            <w:numPr>
              <w:ilvl w:val="3"/>
              <w:numId w:val="73"/>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86572415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865724155"/>
            <w:lock w:val="sdtLocked"/>
            <w:placeholder>
              <w:docPart w:val="GBC22222222222222222222222222222"/>
            </w:placeholder>
          </w:sdtPr>
          <w:sdtEndPr>
            <w:rPr>
              <w:szCs w:val="21"/>
            </w:rPr>
          </w:sdtEndPr>
          <w:sdtContent>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其他长期职工福利是指除短期薪酬、离职后福利、辞退福利之外的其他所有职工福利。</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对符合设定提存计划条件的其他长期职工福利，在职工为本公司提供服务的会计期间，将应缴存金额确认为负债，并计入当期损益或相关资产成本；除上述情形外的其他长期职工福利，在资产负债表日使用预期累计福利单位法进行精算，将设定受益计划产生的福利义务归属于职工提供服务的期间，并计入当期损益或相关资产成本。</w:t>
              </w:r>
            </w:p>
            <w:p>
              <w:pPr>
                <w:rPr>
                  <w:rFonts w:cs="Times New Roman"/>
                  <w:szCs w:val="21"/>
                </w:rPr>
              </w:pPr>
            </w:p>
          </w:sdtContent>
        </w:sdt>
      </w:sdtContent>
    </w:sdt>
    <w:p>
      <w:pPr>
        <w:rPr>
          <w:rFonts w:cs="Times New Roman"/>
          <w:szCs w:val="21"/>
        </w:rPr>
      </w:pPr>
    </w:p>
    <w:sdt>
      <w:sdtPr>
        <w:rPr>
          <w:rFonts w:ascii="宋体" w:hAnsi="宋体" w:cs="宋体"/>
          <w:b w:val="0"/>
          <w:bCs w:val="0"/>
          <w:kern w:val="0"/>
          <w:szCs w:val="21"/>
        </w:rPr>
        <w:alias w:val="模块:租赁负债"/>
        <w:tag w:val="_SEC_59f78615a7b840fb9a34d42105d99413"/>
        <w:id w:val="865724158"/>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61"/>
            </w:numPr>
            <w:rPr>
              <w:szCs w:val="21"/>
            </w:rPr>
          </w:pPr>
          <w:bookmarkStart w:id="129" w:name="_Hlk24102406"/>
          <w:r>
            <w:rPr>
              <w:rFonts w:hint="eastAsia"/>
              <w:szCs w:val="21"/>
            </w:rPr>
            <w:t>租赁负债</w:t>
          </w:r>
        </w:p>
        <w:sdt>
          <w:sdtPr>
            <w:alias w:val="是否适用：租赁负债_重要会计政策和估计[双击切换]"/>
            <w:tag w:val="_GBC_035c8438d4994b9aa7f1e8e70adec79d"/>
            <w:id w:val="865724157"/>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9"/>
    <w:p/>
    <w:sdt>
      <w:sdtPr>
        <w:rPr>
          <w:rFonts w:ascii="宋体" w:hAnsi="宋体" w:cs="宋体"/>
          <w:b w:val="0"/>
          <w:bCs w:val="0"/>
          <w:kern w:val="0"/>
          <w:szCs w:val="24"/>
        </w:rPr>
        <w:alias w:val="模块:预计负债会计处理方法"/>
        <w:tag w:val="_GBC_b5b71a4d3cc1425c80f55e751e7e18c2"/>
        <w:id w:val="865724160"/>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61"/>
            </w:numPr>
          </w:pPr>
          <w:r>
            <w:t>预计负债</w:t>
          </w:r>
        </w:p>
        <w:sdt>
          <w:sdtPr>
            <w:rPr>
              <w:rFonts w:hint="eastAsia"/>
              <w:szCs w:val="21"/>
            </w:rPr>
            <w:alias w:val="是否适用：预计负债_重要会计政策和估计[双击切换]"/>
            <w:tag w:val="_GBC_546a7423773c46d2b57f08fc5fdbc638"/>
            <w:id w:val="86572415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Theme="minorHAnsi" w:hAnsiTheme="minorHAnsi" w:cstheme="minorBidi"/>
          <w:b w:val="0"/>
          <w:bCs w:val="0"/>
          <w:kern w:val="0"/>
          <w:szCs w:val="22"/>
        </w:rPr>
        <w:alias w:val="模块:股份支付"/>
        <w:tag w:val="_GBC_5300d3ce4b5f4c1690fe13bde0a610e3"/>
        <w:id w:val="865724162"/>
        <w:lock w:val="sdtLocked"/>
        <w:placeholder>
          <w:docPart w:val="GBC22222222222222222222222222222"/>
        </w:placeholder>
      </w:sdtPr>
      <w:sdtEndPr>
        <w:rPr>
          <w:rFonts w:hint="eastAsia" w:ascii="宋体" w:hAnsi="宋体" w:cs="Times New Roman"/>
          <w:b w:val="0"/>
          <w:bCs w:val="0"/>
          <w:kern w:val="0"/>
          <w:szCs w:val="21"/>
        </w:rPr>
      </w:sdtEndPr>
      <w:sdtContent>
        <w:p>
          <w:pPr>
            <w:pStyle w:val="4"/>
            <w:numPr>
              <w:ilvl w:val="0"/>
              <w:numId w:val="61"/>
            </w:numPr>
          </w:pPr>
          <w:r>
            <w:rPr>
              <w:rFonts w:hint="eastAsia"/>
            </w:rPr>
            <w:t>股份支付</w:t>
          </w:r>
        </w:p>
        <w:sdt>
          <w:sdtPr>
            <w:rPr>
              <w:rFonts w:hint="eastAsia"/>
              <w:szCs w:val="21"/>
            </w:rPr>
            <w:alias w:val="是否适用：股份支付_重要会计政策和估计[双击切换]"/>
            <w:tag w:val="_GBC_7741eb89da65434190830ba1cd87e4dc"/>
            <w:id w:val="865724161"/>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Theme="minorHAnsi" w:hAnsiTheme="minorHAnsi" w:cstheme="minorBidi"/>
          <w:b w:val="0"/>
          <w:bCs w:val="0"/>
          <w:kern w:val="0"/>
          <w:szCs w:val="22"/>
        </w:rPr>
        <w:alias w:val="模块:优先股、永续债"/>
        <w:tag w:val="_GBC_d3c9524999e647d78f354bb216cfb1aa"/>
        <w:id w:val="865724164"/>
        <w:lock w:val="sdtLocked"/>
        <w:placeholder>
          <w:docPart w:val="GBC22222222222222222222222222222"/>
        </w:placeholder>
      </w:sdtPr>
      <w:sdtEndPr>
        <w:rPr>
          <w:rFonts w:hint="eastAsia" w:ascii="宋体" w:hAnsi="宋体" w:cs="Times New Roman"/>
          <w:b w:val="0"/>
          <w:bCs w:val="0"/>
          <w:kern w:val="0"/>
          <w:szCs w:val="21"/>
        </w:rPr>
      </w:sdtEndPr>
      <w:sdtContent>
        <w:p>
          <w:pPr>
            <w:pStyle w:val="4"/>
            <w:numPr>
              <w:ilvl w:val="0"/>
              <w:numId w:val="61"/>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86572416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收入确认和计量所采用的会计政策"/>
        <w:tag w:val="_SEC_61f33e672a394985bb61a08db1fab3a1"/>
        <w:id w:val="865724167"/>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61"/>
            </w:numPr>
            <w:rPr>
              <w:szCs w:val="21"/>
            </w:rPr>
          </w:pPr>
          <w:bookmarkStart w:id="130" w:name="_Hlk533668053"/>
          <w:r>
            <w:rPr>
              <w:rFonts w:hint="eastAsia"/>
              <w:szCs w:val="21"/>
            </w:rPr>
            <w:t>收入</w:t>
          </w:r>
        </w:p>
        <w:p>
          <w:pPr>
            <w:pStyle w:val="5"/>
            <w:numPr>
              <w:ilvl w:val="3"/>
              <w:numId w:val="74"/>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86572416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865724166"/>
            <w:lock w:val="sdtLocked"/>
            <w:placeholder>
              <w:docPart w:val="GBC22222222222222222222222222222"/>
            </w:placeholder>
          </w:sdtPr>
          <w:sdtEndPr>
            <w:rPr>
              <w:szCs w:val="21"/>
            </w:rPr>
          </w:sdtEndPr>
          <w:sdtContent>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本公司在履行了合同中的履约义务，即在客户取得相关商品或服务控制权时确认收入。取得相关商品或服务控制权，是指能够主导该商品或服务的使用并从中获得几乎全部的经济利益。</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合同中包含两项或多项履约义务的，本公司在合同开始日，按照各单项履约义务所承诺商品或服务的单独售价的相对比例，将交易价格分摊至各单项履约义务。本公司按照分摊至各单项履约义务的交易价格计量收入。</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满足下列条件之一的，属于在某一时段内履行履约义务，否则，属于在某一时点履行履约义务：</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•客户在本公司履约的同时即取得并消耗本公司履约所带来的经济利益。</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•客户能够控制本公司履约过程中在建的商品。</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•本公司履约过程中所产出的商品具有不可替代用途，且本公司在整个合同期内有权就累计至今已完成的履约部分收取款项。</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对于在某一时点履行的履约义务，本公司在客户取得相关商品或服务控制权时点确认收入。在判断客户是否已取得商品或服务控制权时，本公司考虑下列迹象：</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•本公司就该商品或服务享有现时收款权利，即客户就该商品或服务负有现时付款义务。</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•本公司已将该商品的法定所有权转移给客户，即客户已拥有该商品的法定所有权。</w:t>
              </w:r>
            </w:p>
            <w:p>
              <w:pPr>
                <w:widowControl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•本公司已将该商品实物转移给客户，即客户已实物占有该商品。</w:t>
              </w:r>
            </w:p>
            <w:p>
              <w:pPr>
                <w:widowControl w:val="0"/>
                <w:snapToGrid w:val="0"/>
                <w:spacing w:line="400" w:lineRule="exact"/>
                <w:ind w:firstLine="420" w:firstLineChars="200"/>
                <w:jc w:val="both"/>
                <w:rPr>
                  <w:szCs w:val="21"/>
                </w:rPr>
              </w:pPr>
              <w:r>
                <w:rPr>
                  <w:rFonts w:hint="eastAsia" w:asciiTheme="minorEastAsia" w:hAnsiTheme="minorEastAsia" w:eastAsiaTheme="minorEastAsia"/>
                  <w:szCs w:val="21"/>
                </w:rPr>
                <w:t>•本公司已将该商品所有权上的主要风险和报酬转移给客户，即客户已取得该商品所有权上的主要风险和报酬。</w:t>
              </w:r>
            </w:p>
          </w:sdtContent>
        </w:sdt>
        <w:p>
          <w:pPr>
            <w:rPr>
              <w:szCs w:val="21"/>
            </w:rPr>
          </w:pPr>
        </w:p>
      </w:sdtContent>
    </w:sdt>
    <w:bookmarkEnd w:id="130"/>
    <w:sdt>
      <w:sdtPr>
        <w:rPr>
          <w:rFonts w:hint="eastAsia" w:ascii="宋体" w:hAnsi="宋体" w:eastAsia="宋体" w:cs="宋体"/>
          <w:b w:val="0"/>
          <w:bCs w:val="0"/>
          <w:kern w:val="0"/>
          <w:szCs w:val="21"/>
        </w:rPr>
        <w:alias w:val="模块:同类业务采用不同经营模式导致收入确认会计政策存在差异的情况"/>
        <w:tag w:val="_SEC_502969bc54cf47dd9cfa68a9ddc4e556"/>
        <w:id w:val="865724170"/>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3"/>
              <w:numId w:val="74"/>
            </w:numPr>
            <w:ind w:left="426" w:hanging="426"/>
            <w:rPr>
              <w:szCs w:val="21"/>
            </w:rPr>
          </w:pPr>
          <w:bookmarkStart w:id="131" w:name="_Hlk533668087"/>
          <w:r>
            <w:rPr>
              <w:rFonts w:hint="eastAsia" w:ascii="宋体" w:hAnsi="宋体" w:eastAsia="宋体" w:cs="宋体"/>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86572416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131"/>
    <w:sdt>
      <w:sdtPr>
        <w:rPr>
          <w:rFonts w:hint="eastAsia" w:ascii="宋体" w:hAnsi="宋体" w:cs="宋体"/>
          <w:b w:val="0"/>
          <w:bCs w:val="0"/>
          <w:kern w:val="0"/>
          <w:szCs w:val="21"/>
        </w:rPr>
        <w:alias w:val="模块:合同成本"/>
        <w:tag w:val="_SEC_27ff142af5d04d4aac9aad3af48e3716"/>
        <w:id w:val="865724172"/>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61"/>
            </w:numPr>
            <w:rPr>
              <w:szCs w:val="21"/>
            </w:rPr>
          </w:pPr>
          <w:bookmarkStart w:id="132" w:name="_Hlk533668133"/>
          <w:r>
            <w:rPr>
              <w:rFonts w:hint="eastAsia"/>
              <w:szCs w:val="21"/>
            </w:rPr>
            <w:t>合同成本</w:t>
          </w:r>
        </w:p>
        <w:sdt>
          <w:sdtPr>
            <w:alias w:val="是否适用：合同成本_重要会计政策和估计[双击切换]"/>
            <w:tag w:val="_GBC_c5b4accd569d48e8a81ed05eb0bf64fb"/>
            <w:id w:val="86572417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bookmarkEnd w:id="132"/>
    <w:sdt>
      <w:sdtPr>
        <w:rPr>
          <w:rFonts w:ascii="宋体" w:hAnsi="宋体" w:cs="宋体"/>
          <w:b w:val="0"/>
          <w:bCs w:val="0"/>
          <w:kern w:val="0"/>
          <w:szCs w:val="24"/>
        </w:rPr>
        <w:alias w:val="模块:政府补助会计处理方法"/>
        <w:tag w:val="_GBC_b03bd816e50b42ae97b660897ca33234"/>
        <w:id w:val="865724175"/>
        <w:lock w:val="sdtLocked"/>
        <w:placeholder>
          <w:docPart w:val="GBC22222222222222222222222222222"/>
        </w:placeholder>
      </w:sdtPr>
      <w:sdtEndPr>
        <w:rPr>
          <w:rFonts w:ascii="宋体" w:hAnsi="宋体" w:cs="宋体"/>
          <w:b/>
          <w:bCs/>
          <w:kern w:val="0"/>
          <w:szCs w:val="21"/>
        </w:rPr>
      </w:sdtEndPr>
      <w:sdtContent>
        <w:p>
          <w:pPr>
            <w:pStyle w:val="4"/>
            <w:numPr>
              <w:ilvl w:val="0"/>
              <w:numId w:val="61"/>
            </w:numPr>
          </w:pPr>
          <w:bookmarkStart w:id="133" w:name="_Hlk533668149"/>
          <w:r>
            <w:t>政府补助</w:t>
          </w:r>
        </w:p>
        <w:sdt>
          <w:sdtPr>
            <w:alias w:val="是否适用：政府补助_重要会计政策和估计[双击切换]"/>
            <w:tag w:val="_GBC_d8ac76c6a68c49fb952fadc0e46c9ef4"/>
            <w:id w:val="86572417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865724174"/>
            <w:lock w:val="sdtLocked"/>
            <w:placeholder>
              <w:docPart w:val="GBC22222222222222222222222222222"/>
            </w:placeholder>
          </w:sdtPr>
          <w:sdtEndPr>
            <w:rPr>
              <w:rFonts w:ascii="Times New Roman" w:hAnsi="Times New Roman" w:cs="Times New Roman"/>
              <w:szCs w:val="21"/>
            </w:rPr>
          </w:sdtEndPr>
          <w:sdtContent>
            <w:p>
              <w:pPr>
                <w:pStyle w:val="109"/>
                <w:widowControl w:val="0"/>
                <w:spacing w:line="400" w:lineRule="exact"/>
                <w:ind w:left="0" w:leftChars="0" w:firstLine="424" w:firstLineChars="202"/>
                <w:rPr>
                  <w:rFonts w:ascii="Times New Roman" w:hAnsi="Times New Roman" w:cs="Times New Roman"/>
                  <w:b/>
                  <w:color w:val="000000"/>
                  <w:szCs w:val="21"/>
                </w:rPr>
              </w:pPr>
              <w:r>
                <w:rPr>
                  <w:rFonts w:ascii="Times New Roman" w:hAnsi="Times New Roman" w:cs="Times New Roman"/>
                  <w:b/>
                  <w:color w:val="000000"/>
                  <w:szCs w:val="21"/>
                </w:rPr>
                <w:t>1.</w:t>
              </w:r>
              <w:r>
                <w:rPr>
                  <w:rFonts w:ascii="Times New Roman" w:cs="Times New Roman"/>
                  <w:b/>
                  <w:color w:val="000000"/>
                  <w:szCs w:val="21"/>
                </w:rPr>
                <w:t>类型</w:t>
              </w:r>
            </w:p>
            <w:p>
              <w:pPr>
                <w:pStyle w:val="20"/>
                <w:tabs>
                  <w:tab w:val="left" w:pos="196"/>
                  <w:tab w:val="left" w:pos="426"/>
                </w:tabs>
                <w:adjustRightInd w:val="0"/>
                <w:snapToGrid w:val="0"/>
                <w:spacing w:line="400" w:lineRule="exact"/>
                <w:ind w:firstLine="420" w:firstLineChars="200"/>
                <w:rPr>
                  <w:rFonts w:ascii="Times New Roman" w:hAnsi="Times New Roman" w:eastAsiaTheme="minorEastAsia"/>
                  <w:bCs/>
                  <w:szCs w:val="21"/>
                </w:rPr>
              </w:pPr>
              <w:r>
                <w:rPr>
                  <w:rFonts w:ascii="Times New Roman" w:hAnsiTheme="minorEastAsia" w:eastAsiaTheme="minorEastAsia"/>
                  <w:bCs/>
                  <w:szCs w:val="21"/>
                </w:rPr>
                <w:t>政府补助，是本公司从政府无偿取得的货币性资产与非货币性资产。根据相关政府文件规定的补助对象，将政府补助划分为与资产相关的政府补助和与收益相关的政府补助。</w:t>
              </w:r>
            </w:p>
            <w:p>
              <w:pPr>
                <w:pStyle w:val="20"/>
                <w:tabs>
                  <w:tab w:val="left" w:pos="196"/>
                  <w:tab w:val="left" w:pos="426"/>
                </w:tabs>
                <w:adjustRightInd w:val="0"/>
                <w:snapToGrid w:val="0"/>
                <w:spacing w:line="400" w:lineRule="exact"/>
                <w:ind w:firstLine="420" w:firstLineChars="200"/>
                <w:rPr>
                  <w:rFonts w:ascii="Times New Roman" w:hAnsi="Times New Roman" w:eastAsiaTheme="minorEastAsia"/>
                  <w:bCs/>
                  <w:szCs w:val="21"/>
                </w:rPr>
              </w:pPr>
              <w:r>
                <w:rPr>
                  <w:rFonts w:ascii="Times New Roman" w:hAnsiTheme="minorEastAsia" w:eastAsiaTheme="minorEastAsia"/>
                  <w:bCs/>
                  <w:szCs w:val="21"/>
                </w:rPr>
                <w:t>与资产相关的政府补助，是指本公司取得的、用于购建或以其他方式形成长期资产的政府补助。与收益相关的政府补助，是指除与资产相关的政府补助之外的政府补助。</w:t>
              </w:r>
            </w:p>
            <w:p>
              <w:pPr>
                <w:pStyle w:val="20"/>
                <w:tabs>
                  <w:tab w:val="left" w:pos="196"/>
                  <w:tab w:val="left" w:pos="426"/>
                </w:tabs>
                <w:adjustRightInd w:val="0"/>
                <w:snapToGrid w:val="0"/>
                <w:spacing w:line="400" w:lineRule="exact"/>
                <w:ind w:firstLine="420" w:firstLineChars="200"/>
                <w:rPr>
                  <w:rFonts w:ascii="Times New Roman" w:hAnsi="Times New Roman" w:eastAsiaTheme="minorEastAsia"/>
                  <w:bCs/>
                  <w:szCs w:val="21"/>
                </w:rPr>
              </w:pPr>
              <w:r>
                <w:rPr>
                  <w:rFonts w:ascii="Times New Roman" w:hAnsiTheme="minorEastAsia" w:eastAsiaTheme="minorEastAsia"/>
                  <w:bCs/>
                  <w:szCs w:val="21"/>
                </w:rPr>
                <w:t>若政府文件未明确规定补助对象，将该政府补助划分为与资产相关或与收益相关的判断依据：（</w:t>
              </w:r>
              <w:r>
                <w:rPr>
                  <w:rFonts w:ascii="Times New Roman" w:hAnsi="Times New Roman" w:eastAsiaTheme="minorEastAsia"/>
                  <w:bCs/>
                  <w:szCs w:val="21"/>
                </w:rPr>
                <w:t>1</w:t>
              </w:r>
              <w:r>
                <w:rPr>
                  <w:rFonts w:ascii="Times New Roman" w:hAnsiTheme="minorEastAsia" w:eastAsiaTheme="minorEastAsia"/>
                  <w:bCs/>
                  <w:szCs w:val="21"/>
                </w:rPr>
                <w:t>）政府文件明确了补助所针对的特定项目的，根据该特定项目的预算中将形成资产的支出金额和计入费用的支出金额的相对比例进行划分，对该划分比例需在每个资产负债表日进行复核，必要时进行变更；（</w:t>
              </w:r>
              <w:r>
                <w:rPr>
                  <w:rFonts w:ascii="Times New Roman" w:hAnsi="Times New Roman" w:eastAsiaTheme="minorEastAsia"/>
                  <w:bCs/>
                  <w:szCs w:val="21"/>
                </w:rPr>
                <w:t>2</w:t>
              </w:r>
              <w:r>
                <w:rPr>
                  <w:rFonts w:ascii="Times New Roman" w:hAnsiTheme="minorEastAsia" w:eastAsiaTheme="minorEastAsia"/>
                  <w:bCs/>
                  <w:szCs w:val="21"/>
                </w:rPr>
                <w:t>）政府文件中对用途仅作一般性表述，没有指明特定项目的，作为与收益相关的政府补助。</w:t>
              </w:r>
            </w:p>
            <w:p>
              <w:pPr>
                <w:pStyle w:val="109"/>
                <w:widowControl w:val="0"/>
                <w:spacing w:line="400" w:lineRule="exact"/>
                <w:ind w:left="0" w:leftChars="0" w:firstLine="422" w:firstLineChars="200"/>
                <w:rPr>
                  <w:rFonts w:ascii="Times New Roman" w:hAnsi="Times New Roman" w:cs="Times New Roman"/>
                  <w:b/>
                  <w:color w:val="000000"/>
                  <w:szCs w:val="21"/>
                </w:rPr>
              </w:pPr>
              <w:r>
                <w:rPr>
                  <w:rFonts w:ascii="Times New Roman" w:hAnsi="Times New Roman" w:cs="Times New Roman"/>
                  <w:b/>
                  <w:color w:val="000000"/>
                  <w:szCs w:val="21"/>
                </w:rPr>
                <w:t>2.</w:t>
              </w:r>
              <w:r>
                <w:rPr>
                  <w:rFonts w:ascii="Times New Roman" w:cs="Times New Roman"/>
                  <w:b/>
                  <w:color w:val="000000"/>
                  <w:szCs w:val="21"/>
                </w:rPr>
                <w:t>政府补助的确认</w:t>
              </w:r>
            </w:p>
            <w:p>
              <w:pPr>
                <w:pStyle w:val="109"/>
                <w:widowControl w:val="0"/>
                <w:spacing w:line="400" w:lineRule="exact"/>
                <w:ind w:left="0" w:leftChars="0" w:firstLine="420" w:firstLineChars="200"/>
                <w:rPr>
                  <w:rFonts w:ascii="Times New Roman" w:hAnsi="Times New Roman" w:cs="Times New Roman"/>
                  <w:color w:val="000000"/>
                  <w:szCs w:val="21"/>
                </w:rPr>
              </w:pPr>
              <w:r>
                <w:rPr>
                  <w:rFonts w:ascii="Times New Roman" w:cs="Times New Roman"/>
                  <w:color w:val="000000"/>
                  <w:szCs w:val="21"/>
                </w:rPr>
                <w:t>对期末有证据表明公司能够符合财政扶持政策规定的相关条件且预计能够收到财政扶持资金的，按应收金额确认政府补助。除此之外，政府补助均在实际收到时确认。</w:t>
              </w:r>
            </w:p>
            <w:p>
              <w:pPr>
                <w:pStyle w:val="109"/>
                <w:widowControl w:val="0"/>
                <w:spacing w:line="400" w:lineRule="exact"/>
                <w:ind w:left="0" w:leftChars="0" w:firstLine="420" w:firstLineChars="200"/>
                <w:rPr>
                  <w:rFonts w:ascii="Times New Roman" w:hAnsi="Times New Roman" w:cs="Times New Roman"/>
                  <w:color w:val="000000"/>
                  <w:szCs w:val="21"/>
                </w:rPr>
              </w:pPr>
              <w:r>
                <w:rPr>
                  <w:rFonts w:ascii="Times New Roman" w:cs="Times New Roman"/>
                  <w:color w:val="000000"/>
                  <w:szCs w:val="21"/>
                </w:rPr>
                <w:t>政府补助为货币性资产的，按照收到或应收的金额计量。政府补助为非货币性资产的，按照公允价值计量；公允价值不能够可靠取得的，按照名义金额（人民币</w:t>
              </w:r>
              <w:r>
                <w:rPr>
                  <w:rFonts w:ascii="Times New Roman" w:hAnsi="Times New Roman" w:cs="Times New Roman"/>
                  <w:color w:val="000000"/>
                  <w:szCs w:val="21"/>
                </w:rPr>
                <w:t>1</w:t>
              </w:r>
              <w:r>
                <w:rPr>
                  <w:rFonts w:ascii="Times New Roman" w:cs="Times New Roman"/>
                  <w:color w:val="000000"/>
                  <w:szCs w:val="21"/>
                </w:rPr>
                <w:t>元）计量。按照名义金额计量的政府补助，直接计入当期损益。</w:t>
              </w:r>
            </w:p>
            <w:p>
              <w:pPr>
                <w:pStyle w:val="109"/>
                <w:widowControl w:val="0"/>
                <w:spacing w:line="400" w:lineRule="exact"/>
                <w:ind w:left="0" w:leftChars="0" w:firstLine="422" w:firstLineChars="200"/>
                <w:rPr>
                  <w:rFonts w:ascii="Times New Roman" w:hAnsi="Times New Roman" w:cs="Times New Roman"/>
                  <w:b/>
                  <w:color w:val="000000"/>
                  <w:szCs w:val="21"/>
                </w:rPr>
              </w:pPr>
              <w:r>
                <w:rPr>
                  <w:rFonts w:ascii="Times New Roman" w:hAnsi="Times New Roman" w:cs="Times New Roman"/>
                  <w:b/>
                  <w:color w:val="000000"/>
                  <w:szCs w:val="21"/>
                </w:rPr>
                <w:t>3.</w:t>
              </w:r>
              <w:r>
                <w:rPr>
                  <w:rFonts w:ascii="Times New Roman" w:cs="Times New Roman"/>
                  <w:b/>
                  <w:color w:val="000000"/>
                  <w:szCs w:val="21"/>
                </w:rPr>
                <w:t>会计处理方法</w:t>
              </w:r>
            </w:p>
            <w:p>
              <w:pPr>
                <w:pStyle w:val="109"/>
                <w:widowControl w:val="0"/>
                <w:spacing w:line="400" w:lineRule="exact"/>
                <w:ind w:left="0" w:leftChars="0" w:firstLine="420" w:firstLineChars="200"/>
                <w:rPr>
                  <w:rFonts w:ascii="Times New Roman" w:hAnsi="Times New Roman" w:cs="Times New Roman"/>
                  <w:color w:val="000000"/>
                  <w:szCs w:val="21"/>
                </w:rPr>
              </w:pPr>
              <w:r>
                <w:rPr>
                  <w:rFonts w:ascii="Times New Roman" w:cs="Times New Roman"/>
                  <w:color w:val="000000"/>
                  <w:szCs w:val="21"/>
                </w:rPr>
                <w:t>本公司根据经济业务的实质，确定某一类政府补助业务应当采用总额法还是净额法进行会计处理。通常情况下，本公司对于同类或类似政府补助业务只选用一种方法，且对该业务一贯地运用该方法。</w:t>
              </w:r>
            </w:p>
            <w:p>
              <w:pPr>
                <w:pStyle w:val="109"/>
                <w:widowControl w:val="0"/>
                <w:spacing w:line="400" w:lineRule="exact"/>
                <w:ind w:left="0" w:leftChars="0" w:firstLine="420" w:firstLineChars="200"/>
                <w:rPr>
                  <w:rFonts w:ascii="Times New Roman" w:hAnsi="Times New Roman" w:cs="Times New Roman"/>
                  <w:color w:val="000000"/>
                  <w:szCs w:val="21"/>
                </w:rPr>
              </w:pPr>
              <w:r>
                <w:rPr>
                  <w:rFonts w:ascii="Times New Roman" w:cs="Times New Roman"/>
                  <w:color w:val="000000"/>
                  <w:szCs w:val="21"/>
                </w:rPr>
                <w:t>与资产相关的政府补助，应当冲减相关资产的账面价值或确认为递延收益。与资产相关的政府补助确认为递延收益的，在所建造或购买资产使用寿命内按照合理、系统的方法分期计入损益。</w:t>
              </w:r>
            </w:p>
            <w:p>
              <w:pPr>
                <w:pStyle w:val="109"/>
                <w:widowControl w:val="0"/>
                <w:spacing w:line="400" w:lineRule="exact"/>
                <w:ind w:left="0" w:leftChars="0" w:firstLine="420" w:firstLineChars="200"/>
                <w:rPr>
                  <w:rFonts w:ascii="Times New Roman" w:hAnsi="Times New Roman" w:cs="Times New Roman"/>
                  <w:color w:val="000000"/>
                  <w:szCs w:val="21"/>
                </w:rPr>
              </w:pPr>
              <w:r>
                <w:rPr>
                  <w:rFonts w:ascii="Times New Roman" w:cs="Times New Roman"/>
                  <w:color w:val="000000"/>
                  <w:szCs w:val="21"/>
                </w:rPr>
                <w:t>与收益相关的政府补助，用于补偿企业以后期间的相关费用或损失的，确认为递延收益，在确认相关费用或损失的期间计入当期损益或冲减相关成本；用于补偿企业已发生的相关费用或损失的，取得时直接计入当期损益或冲减相关成本。</w:t>
              </w:r>
            </w:p>
            <w:p>
              <w:pPr>
                <w:pStyle w:val="109"/>
                <w:widowControl w:val="0"/>
                <w:spacing w:line="400" w:lineRule="exact"/>
                <w:ind w:left="0" w:leftChars="0" w:firstLine="420" w:firstLineChars="200"/>
                <w:rPr>
                  <w:rFonts w:ascii="Times New Roman" w:hAnsi="Times New Roman" w:cs="Times New Roman"/>
                  <w:color w:val="000000"/>
                  <w:szCs w:val="21"/>
                </w:rPr>
              </w:pPr>
              <w:r>
                <w:rPr>
                  <w:rFonts w:ascii="Times New Roman" w:cs="Times New Roman"/>
                  <w:color w:val="000000"/>
                  <w:szCs w:val="21"/>
                </w:rPr>
                <w:t>与企业日常活动相关的政府补助计入其他收益或冲减相关成本费用；与企业日常活动无关的政府补助计入营业外收支。</w:t>
              </w:r>
            </w:p>
            <w:p>
              <w:pPr>
                <w:pStyle w:val="109"/>
                <w:widowControl w:val="0"/>
                <w:spacing w:line="400" w:lineRule="exact"/>
                <w:ind w:firstLine="420" w:firstLineChars="200"/>
                <w:rPr>
                  <w:rFonts w:ascii="Times New Roman" w:hAnsi="Times New Roman" w:cs="Times New Roman"/>
                  <w:color w:val="000000"/>
                  <w:szCs w:val="21"/>
                </w:rPr>
              </w:pPr>
              <w:r>
                <w:rPr>
                  <w:rFonts w:ascii="Times New Roman" w:cs="Times New Roman"/>
                  <w:color w:val="000000"/>
                  <w:szCs w:val="21"/>
                </w:rPr>
                <w:t>收到与政策性优惠贷款贴息相关的政府补助冲减相关借款费用；取得贷款银行提供的政策性优惠利率贷款的，以实际收到的借款金额作为借款的入账价值，按照借款本金和该政策性优惠利率计算相关借款费用。</w:t>
              </w:r>
            </w:p>
            <w:p>
              <w:pPr>
                <w:spacing w:line="400" w:lineRule="exact"/>
                <w:ind w:firstLine="420" w:firstLineChars="200"/>
                <w:rPr>
                  <w:rFonts w:ascii="Times New Roman" w:hAnsi="Times New Roman" w:cs="Times New Roman"/>
                  <w:szCs w:val="21"/>
                </w:rPr>
              </w:pPr>
              <w:r>
                <w:rPr>
                  <w:rFonts w:ascii="Times New Roman" w:cs="Times New Roman"/>
                  <w:color w:val="000000"/>
                  <w:szCs w:val="21"/>
                </w:rPr>
                <w:t>已确认的政府补助需要返还时，初始确认时冲减相关资产账面价值的，调整资产账面价值；存在相关递延收益余额的，冲减相关递延收益账面余额，超出部分计入当期损益；不存在相关递延收益的，直接计入当期损益。</w:t>
              </w:r>
            </w:p>
          </w:sdtContent>
        </w:sdt>
        <w:p>
          <w:pPr>
            <w:spacing w:line="400" w:lineRule="exact"/>
            <w:rPr>
              <w:szCs w:val="21"/>
            </w:rPr>
          </w:pPr>
        </w:p>
      </w:sdtContent>
    </w:sdt>
    <w:bookmarkEnd w:id="133"/>
    <w:sdt>
      <w:sdtPr>
        <w:rPr>
          <w:rFonts w:cs="宋体" w:asciiTheme="minorHAnsi" w:hAnsiTheme="minorHAnsi"/>
          <w:b w:val="0"/>
          <w:bCs w:val="0"/>
          <w:kern w:val="0"/>
          <w:szCs w:val="21"/>
        </w:rPr>
        <w:alias w:val="模块:递延所得税资产/递延所得税负债会计处理方法"/>
        <w:tag w:val="_GBC_01f1973e44f24cd99b90200f8205be13"/>
        <w:id w:val="865724178"/>
        <w:lock w:val="sdtLocked"/>
        <w:placeholder>
          <w:docPart w:val="GBC22222222222222222222222222222"/>
        </w:placeholder>
      </w:sdtPr>
      <w:sdtEndPr>
        <w:rPr>
          <w:rFonts w:ascii="Times New Roman" w:hAnsi="Times New Roman" w:cs="Times New Roman"/>
          <w:b w:val="0"/>
          <w:bCs w:val="0"/>
          <w:kern w:val="2"/>
          <w:szCs w:val="21"/>
        </w:rPr>
      </w:sdtEndPr>
      <w:sdtContent>
        <w:p>
          <w:pPr>
            <w:pStyle w:val="4"/>
            <w:numPr>
              <w:ilvl w:val="0"/>
              <w:numId w:val="61"/>
            </w:numPr>
            <w:spacing w:line="400" w:lineRule="exact"/>
            <w:rPr>
              <w:szCs w:val="21"/>
            </w:rPr>
          </w:pPr>
          <w:r>
            <w:rPr>
              <w:szCs w:val="21"/>
            </w:rPr>
            <w:t>递延所得税资产/递延所得税负债</w:t>
          </w:r>
        </w:p>
        <w:sdt>
          <w:sdtPr>
            <w:rPr>
              <w:rFonts w:hint="eastAsia"/>
              <w:szCs w:val="21"/>
            </w:rPr>
            <w:alias w:val="是否适用：所得税的会计处理方法[双击切换]"/>
            <w:tag w:val="_GBC_7e8295f4559b44568e5d37a6a605588c"/>
            <w:id w:val="865724176"/>
            <w:lock w:val="sdtLocked"/>
            <w:placeholder>
              <w:docPart w:val="GBC22222222222222222222222222222"/>
            </w:placeholder>
          </w:sdtPr>
          <w:sdtEndPr>
            <w:rPr>
              <w:rFonts w:hint="eastAsia"/>
              <w:szCs w:val="21"/>
            </w:rPr>
          </w:sdtEndPr>
          <w:sdtContent>
            <w:p>
              <w:pPr>
                <w:spacing w:line="40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865724177"/>
            <w:lock w:val="sdtLocked"/>
            <w:placeholder>
              <w:docPart w:val="GBC22222222222222222222222222222"/>
            </w:placeholder>
          </w:sdtPr>
          <w:sdtEndPr>
            <w:rPr>
              <w:rFonts w:hint="default" w:ascii="Times New Roman" w:hAnsi="Times New Roman" w:cs="Times New Roman"/>
              <w:szCs w:val="21"/>
            </w:rPr>
          </w:sdtEndPr>
          <w:sdtContent>
            <w:p>
              <w:pPr>
                <w:pStyle w:val="109"/>
                <w:widowControl w:val="0"/>
                <w:spacing w:line="400" w:lineRule="exact"/>
                <w:ind w:left="0" w:leftChars="0" w:firstLine="556"/>
                <w:rPr>
                  <w:color w:val="000000"/>
                  <w:szCs w:val="21"/>
                </w:rPr>
              </w:pPr>
              <w:r>
                <w:rPr>
                  <w:rFonts w:hint="eastAsia"/>
                  <w:color w:val="000000"/>
                  <w:szCs w:val="21"/>
                </w:rPr>
                <w:t>递延所得税资产和递延所得税负债根据资产和负债的计税基础与其账面价值的差额</w:t>
              </w:r>
              <w:r>
                <w:rPr>
                  <w:color w:val="000000"/>
                  <w:szCs w:val="21"/>
                </w:rPr>
                <w:t>(</w:t>
              </w:r>
              <w:r>
                <w:rPr>
                  <w:rFonts w:hint="eastAsia"/>
                  <w:color w:val="000000"/>
                  <w:szCs w:val="21"/>
                </w:rPr>
                <w:t>暂时性差异</w:t>
              </w:r>
              <w:r>
                <w:rPr>
                  <w:color w:val="000000"/>
                  <w:szCs w:val="21"/>
                </w:rPr>
                <w:t>)</w:t>
              </w:r>
              <w:r>
                <w:rPr>
                  <w:rFonts w:hint="eastAsia"/>
                  <w:color w:val="000000"/>
                  <w:szCs w:val="21"/>
                </w:rPr>
                <w:t>计算确认。于资产负债表日，递延所得税资产和递延所得税负债，按照预期收回该资产或清偿该负债期间的适用税率计量。</w:t>
              </w:r>
            </w:p>
            <w:p>
              <w:pPr>
                <w:pStyle w:val="109"/>
                <w:widowControl w:val="0"/>
                <w:spacing w:line="400" w:lineRule="exact"/>
                <w:ind w:left="0" w:leftChars="0" w:firstLine="556"/>
                <w:rPr>
                  <w:b/>
                  <w:color w:val="000000"/>
                  <w:szCs w:val="21"/>
                </w:rPr>
              </w:pPr>
              <w:r>
                <w:rPr>
                  <w:rFonts w:hint="eastAsia"/>
                  <w:b/>
                  <w:color w:val="000000"/>
                  <w:szCs w:val="21"/>
                </w:rPr>
                <w:t>1.</w:t>
              </w:r>
              <w:r>
                <w:rPr>
                  <w:b/>
                  <w:color w:val="000000"/>
                  <w:szCs w:val="21"/>
                </w:rPr>
                <w:t>确认递延所得税资产的依据</w:t>
              </w:r>
            </w:p>
            <w:p>
              <w:pPr>
                <w:pStyle w:val="109"/>
                <w:widowControl w:val="0"/>
                <w:spacing w:line="400" w:lineRule="exact"/>
                <w:ind w:left="0" w:leftChars="0" w:firstLine="556"/>
                <w:rPr>
                  <w:color w:val="000000"/>
                  <w:szCs w:val="21"/>
                </w:rPr>
              </w:pPr>
              <w:r>
                <w:rPr>
                  <w:rFonts w:hint="eastAsia"/>
                  <w:color w:val="000000"/>
                  <w:szCs w:val="21"/>
                </w:rPr>
                <w:t>本</w:t>
              </w:r>
              <w:r>
                <w:rPr>
                  <w:color w:val="000000"/>
                  <w:szCs w:val="21"/>
                </w:rPr>
                <w:t>公司以很可能取得用来抵扣可抵扣暂时性差异</w:t>
              </w:r>
              <w:r>
                <w:rPr>
                  <w:rFonts w:hint="eastAsia"/>
                  <w:color w:val="000000"/>
                  <w:szCs w:val="21"/>
                </w:rPr>
                <w:t>、能够结转以后年度的可抵扣亏损和税款抵减</w:t>
              </w:r>
              <w:r>
                <w:rPr>
                  <w:color w:val="000000"/>
                  <w:szCs w:val="21"/>
                </w:rPr>
                <w:t>的应纳税所得额为限，确认由可抵扣暂时性差异产生的递延所得税资产。</w:t>
              </w:r>
              <w:r>
                <w:rPr>
                  <w:rFonts w:hint="eastAsia"/>
                  <w:color w:val="000000"/>
                  <w:szCs w:val="21"/>
                </w:rPr>
                <w:t>但是，同时具有下列特征的交易中因资产或负债的初始确认所产生的递延所得税资产不予确认：（1）该交易不是企业合并；（2）交易发生时既不影响会计利润也不影响应纳税所得额或可抵扣亏损。</w:t>
              </w:r>
            </w:p>
            <w:p>
              <w:pPr>
                <w:pStyle w:val="109"/>
                <w:widowControl w:val="0"/>
                <w:spacing w:line="400" w:lineRule="exact"/>
                <w:ind w:left="0" w:leftChars="0" w:firstLine="556"/>
                <w:rPr>
                  <w:color w:val="000000"/>
                  <w:szCs w:val="21"/>
                </w:rPr>
              </w:pPr>
              <w:r>
                <w:rPr>
                  <w:rFonts w:hint="eastAsia"/>
                  <w:color w:val="000000"/>
                  <w:szCs w:val="21"/>
                </w:rPr>
                <w:t>对于与联营企业投资相关的可抵扣暂时性差异，同时满足下列条件的，确认相应的递延所得税资产：暂时性差异在可预见的未来很可能转回，且未来很可能获得用来抵扣可抵扣暂时性差异的应纳税所得额。</w:t>
              </w:r>
            </w:p>
            <w:p>
              <w:pPr>
                <w:pStyle w:val="109"/>
                <w:widowControl w:val="0"/>
                <w:spacing w:line="400" w:lineRule="exact"/>
                <w:ind w:left="0" w:leftChars="0" w:firstLine="556"/>
                <w:rPr>
                  <w:b/>
                  <w:color w:val="000000"/>
                  <w:szCs w:val="21"/>
                </w:rPr>
              </w:pPr>
              <w:r>
                <w:rPr>
                  <w:rFonts w:hint="eastAsia"/>
                  <w:b/>
                  <w:color w:val="000000"/>
                  <w:szCs w:val="21"/>
                </w:rPr>
                <w:t>2.</w:t>
              </w:r>
              <w:r>
                <w:rPr>
                  <w:b/>
                  <w:color w:val="000000"/>
                  <w:szCs w:val="21"/>
                </w:rPr>
                <w:t>确认递延所得税负债的依据</w:t>
              </w:r>
            </w:p>
            <w:p>
              <w:pPr>
                <w:pStyle w:val="109"/>
                <w:widowControl w:val="0"/>
                <w:spacing w:line="400" w:lineRule="exact"/>
                <w:ind w:left="0" w:leftChars="0" w:firstLine="556"/>
                <w:rPr>
                  <w:color w:val="000000"/>
                  <w:szCs w:val="21"/>
                </w:rPr>
              </w:pPr>
              <w:r>
                <w:rPr>
                  <w:color w:val="000000"/>
                  <w:szCs w:val="21"/>
                </w:rPr>
                <w:t>公司将当期与以前期间应交未交的应纳税暂时性差异确认为递延所得税负债。但不包括</w:t>
              </w:r>
              <w:r>
                <w:rPr>
                  <w:rFonts w:hint="eastAsia"/>
                  <w:color w:val="000000"/>
                  <w:szCs w:val="21"/>
                </w:rPr>
                <w:t>：</w:t>
              </w:r>
            </w:p>
            <w:p>
              <w:pPr>
                <w:pStyle w:val="109"/>
                <w:widowControl w:val="0"/>
                <w:spacing w:line="400" w:lineRule="exact"/>
                <w:ind w:left="-141" w:leftChars="-67" w:firstLine="556"/>
                <w:rPr>
                  <w:rFonts w:ascii="Times New Roman" w:hAnsi="Times New Roman" w:cs="Times New Roman"/>
                  <w:color w:val="000000"/>
                  <w:szCs w:val="21"/>
                </w:rPr>
              </w:pPr>
              <w:r>
                <w:rPr>
                  <w:rFonts w:ascii="Times New Roman" w:cs="Times New Roman"/>
                  <w:color w:val="000000"/>
                  <w:szCs w:val="21"/>
                </w:rPr>
                <w:t>（</w:t>
              </w:r>
              <w:r>
                <w:rPr>
                  <w:rFonts w:ascii="Times New Roman" w:hAnsi="Times New Roman" w:cs="Times New Roman"/>
                  <w:color w:val="000000"/>
                  <w:szCs w:val="21"/>
                </w:rPr>
                <w:t>1</w:t>
              </w:r>
              <w:r>
                <w:rPr>
                  <w:rFonts w:ascii="Times New Roman" w:cs="Times New Roman"/>
                  <w:color w:val="000000"/>
                  <w:szCs w:val="21"/>
                </w:rPr>
                <w:t>）商誉的初始确认所形成的暂时性差异；</w:t>
              </w:r>
            </w:p>
            <w:p>
              <w:pPr>
                <w:pStyle w:val="109"/>
                <w:widowControl w:val="0"/>
                <w:spacing w:line="400" w:lineRule="exact"/>
                <w:ind w:left="0" w:leftChars="0"/>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cs="Times New Roman"/>
                  <w:color w:val="000000"/>
                  <w:szCs w:val="21"/>
                </w:rPr>
                <w:t>（</w:t>
              </w:r>
              <w:r>
                <w:rPr>
                  <w:rFonts w:ascii="Times New Roman" w:hAnsi="Times New Roman" w:cs="Times New Roman"/>
                  <w:color w:val="000000"/>
                  <w:szCs w:val="21"/>
                </w:rPr>
                <w:t>2</w:t>
              </w:r>
              <w:r>
                <w:rPr>
                  <w:rFonts w:ascii="Times New Roman" w:cs="Times New Roman"/>
                  <w:color w:val="000000"/>
                  <w:szCs w:val="21"/>
                </w:rPr>
                <w:t>）非企业合并形成的交易或事项，且该交易或事项发生时既不影响会计利润，也不影响应纳税所得额（或可抵扣亏损）所形成的暂时性差异；</w:t>
              </w:r>
            </w:p>
            <w:p>
              <w:pPr>
                <w:spacing w:line="400" w:lineRule="exact"/>
                <w:rPr>
                  <w:rFonts w:ascii="Times New Roman" w:hAnsi="Times New Roman" w:cs="Times New Roman"/>
                  <w:szCs w:val="21"/>
                </w:rPr>
              </w:pPr>
              <w:r>
                <w:rPr>
                  <w:rFonts w:ascii="Times New Roman" w:hAnsi="Times New Roman" w:cs="Times New Roman"/>
                  <w:color w:val="000000"/>
                  <w:szCs w:val="21"/>
                </w:rPr>
                <w:t xml:space="preserve">    </w:t>
              </w:r>
              <w:r>
                <w:rPr>
                  <w:rFonts w:ascii="Times New Roman" w:cs="Times New Roman"/>
                  <w:color w:val="000000"/>
                  <w:szCs w:val="21"/>
                </w:rPr>
                <w:t>（</w:t>
              </w:r>
              <w:r>
                <w:rPr>
                  <w:rFonts w:ascii="Times New Roman" w:hAnsi="Times New Roman" w:cs="Times New Roman"/>
                  <w:color w:val="000000"/>
                  <w:szCs w:val="21"/>
                </w:rPr>
                <w:t>3</w:t>
              </w:r>
              <w:r>
                <w:rPr>
                  <w:rFonts w:ascii="Times New Roman" w:cs="Times New Roman"/>
                  <w:color w:val="000000"/>
                  <w:szCs w:val="21"/>
                </w:rPr>
                <w:t>）对于与子公司、联营企业投资相关的应纳税暂时性差异，该暂时性差异转回的时间能够控制并且该暂时性差异在可预见的未来很可能不会转回。</w:t>
              </w:r>
            </w:p>
          </w:sdtContent>
        </w:sdt>
      </w:sdtContent>
    </w:sdt>
    <w:p>
      <w:pPr>
        <w:spacing w:line="400" w:lineRule="exact"/>
        <w:rPr>
          <w:rFonts w:ascii="Times New Roman" w:hAnsi="Times New Roman" w:cs="Times New Roman"/>
          <w:szCs w:val="21"/>
        </w:rPr>
      </w:pPr>
    </w:p>
    <w:p>
      <w:pPr>
        <w:pStyle w:val="4"/>
        <w:numPr>
          <w:ilvl w:val="0"/>
          <w:numId w:val="61"/>
        </w:numPr>
      </w:pPr>
      <w:r>
        <w:t>租赁</w:t>
      </w:r>
    </w:p>
    <w:p/>
    <w:sdt>
      <w:sdtPr>
        <w:rPr>
          <w:rFonts w:hint="eastAsia" w:ascii="宋体" w:hAnsi="宋体" w:eastAsia="宋体" w:cs="宋体"/>
          <w:b w:val="0"/>
          <w:bCs w:val="0"/>
          <w:kern w:val="0"/>
          <w:szCs w:val="24"/>
        </w:rPr>
        <w:alias w:val="模块:经营租赁的会计处理方法  "/>
        <w:tag w:val="_SEC_665d95d9f6c04c32831b2a4fc303e11c"/>
        <w:id w:val="865724181"/>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3"/>
              <w:numId w:val="75"/>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86572417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865724180"/>
            <w:lock w:val="sdtLocked"/>
            <w:placeholder>
              <w:docPart w:val="GBC22222222222222222222222222222"/>
            </w:placeholder>
          </w:sdtPr>
          <w:sdtEndPr>
            <w:rPr>
              <w:szCs w:val="21"/>
            </w:rPr>
          </w:sdtEndPr>
          <w:sdtContent>
            <w:p>
              <w:pPr>
                <w:pStyle w:val="109"/>
                <w:widowControl w:val="0"/>
                <w:spacing w:line="400" w:lineRule="exact"/>
                <w:ind w:left="0" w:leftChars="0" w:firstLine="556"/>
                <w:rPr>
                  <w:szCs w:val="21"/>
                </w:rPr>
              </w:pPr>
              <w:r>
                <w:rPr>
                  <w:rFonts w:hint="eastAsia"/>
                  <w:color w:val="000000"/>
                  <w:szCs w:val="21"/>
                </w:rPr>
                <w:t>经营租赁中的租金，本公司在租赁期内各个期间按照直线法【或其他更为系统合理的方法】确认当期损益。发生的与经营租赁有关的初始直接费用应当资本化，在租赁期内按照与租金收入确认相同的基础进行分摊，分期计入当期损益。取得的与经营租赁有关的未计入租赁收款额的可变租赁付款额，在实际发生时计入当期损益。</w:t>
              </w:r>
            </w:p>
          </w:sdtContent>
        </w:sdt>
        <w:p>
          <w:pPr>
            <w:rPr>
              <w:szCs w:val="21"/>
            </w:rPr>
          </w:pPr>
        </w:p>
      </w:sdtContent>
    </w:sdt>
    <w:sdt>
      <w:sdtPr>
        <w:rPr>
          <w:rFonts w:hint="eastAsia" w:ascii="宋体" w:hAnsi="宋体" w:eastAsia="宋体" w:cs="宋体"/>
          <w:b w:val="0"/>
          <w:bCs w:val="0"/>
          <w:kern w:val="0"/>
          <w:szCs w:val="24"/>
        </w:rPr>
        <w:alias w:val="模块:融资租赁的会计处理方法  "/>
        <w:tag w:val="_SEC_4631e38dda7d4704843f77e4a8e70808"/>
        <w:id w:val="865724184"/>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3"/>
              <w:numId w:val="75"/>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6572418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865724183"/>
            <w:lock w:val="sdtLocked"/>
            <w:placeholder>
              <w:docPart w:val="GBC22222222222222222222222222222"/>
            </w:placeholder>
          </w:sdtPr>
          <w:sdtEndPr>
            <w:rPr>
              <w:rFonts w:ascii="Times New Roman" w:hAnsi="Times New Roman" w:cs="Times New Roman" w:eastAsiaTheme="minorEastAsia"/>
              <w:szCs w:val="21"/>
            </w:rPr>
          </w:sdtEndPr>
          <w:sdtContent>
            <w:p>
              <w:pPr>
                <w:pStyle w:val="109"/>
                <w:widowControl w:val="0"/>
                <w:spacing w:line="400" w:lineRule="exact"/>
                <w:ind w:left="0" w:leftChars="0" w:firstLine="556"/>
                <w:rPr>
                  <w:rFonts w:ascii="Times New Roman" w:hAnsi="Times New Roman" w:cs="Times New Roman" w:eastAsiaTheme="minorEastAsia"/>
                  <w:color w:val="000000"/>
                  <w:szCs w:val="21"/>
                </w:rPr>
              </w:pPr>
              <w:r>
                <w:rPr>
                  <w:rFonts w:hint="eastAsia"/>
                  <w:color w:val="000000"/>
                  <w:szCs w:val="21"/>
                </w:rPr>
                <w:t>融</w:t>
              </w:r>
              <w:r>
                <w:rPr>
                  <w:rFonts w:ascii="Times New Roman" w:cs="Times New Roman" w:hAnsiTheme="minorEastAsia" w:eastAsiaTheme="minorEastAsia"/>
                  <w:color w:val="000000"/>
                  <w:szCs w:val="21"/>
                </w:rPr>
                <w:t>资租赁中，在租赁期开始日本公司按租赁投资净额作为应收融资租赁款的入账价值，租赁投资净额为未担保余值和租赁期开始日尚未收到的租赁收款额按照租赁内含利率折现的现值之和。本公司作为出租人按照固定的周期性利率计算并确认租赁期内各个期间的利息收入。本公司作为出租人取得的未纳入租赁投资净额计量的可变租赁付款额在实际发生时计入当期损益。</w:t>
              </w:r>
            </w:p>
            <w:p>
              <w:pPr>
                <w:pStyle w:val="109"/>
                <w:widowControl w:val="0"/>
                <w:spacing w:line="400" w:lineRule="exact"/>
                <w:ind w:left="0" w:leftChars="0" w:firstLine="426"/>
                <w:rPr>
                  <w:rFonts w:ascii="Times New Roman" w:hAnsi="Times New Roman" w:cs="Times New Roman" w:eastAsiaTheme="minorEastAsia"/>
                  <w:szCs w:val="21"/>
                </w:rPr>
              </w:pPr>
              <w:r>
                <w:rPr>
                  <w:rFonts w:ascii="Times New Roman" w:hAnsi="Times New Roman" w:cs="Times New Roman" w:eastAsiaTheme="minorEastAsia"/>
                  <w:color w:val="000000"/>
                  <w:szCs w:val="21"/>
                </w:rPr>
                <w:t xml:space="preserve"> </w:t>
              </w:r>
              <w:r>
                <w:rPr>
                  <w:rFonts w:ascii="Times New Roman" w:cs="Times New Roman" w:hAnsiTheme="minorEastAsia" w:eastAsiaTheme="minorEastAsia"/>
                  <w:color w:val="000000"/>
                  <w:szCs w:val="21"/>
                </w:rPr>
                <w:t>应收融资租赁款的终止确认和减值按照《企业会计准则第</w:t>
              </w:r>
              <w:r>
                <w:rPr>
                  <w:rFonts w:ascii="Times New Roman" w:hAnsi="Times New Roman" w:cs="Times New Roman" w:eastAsiaTheme="minorEastAsia"/>
                  <w:color w:val="000000"/>
                  <w:szCs w:val="21"/>
                </w:rPr>
                <w:t>22</w:t>
              </w:r>
              <w:r>
                <w:rPr>
                  <w:rFonts w:ascii="Times New Roman" w:cs="Times New Roman" w:hAnsiTheme="minorEastAsia" w:eastAsiaTheme="minorEastAsia"/>
                  <w:color w:val="000000"/>
                  <w:szCs w:val="21"/>
                </w:rPr>
                <w:t>号</w:t>
              </w:r>
              <w:r>
                <w:rPr>
                  <w:rFonts w:ascii="Times New Roman" w:hAnsi="Times New Roman" w:cs="Times New Roman" w:eastAsiaTheme="minorEastAsia"/>
                  <w:color w:val="000000"/>
                  <w:szCs w:val="21"/>
                </w:rPr>
                <w:t>——</w:t>
              </w:r>
              <w:r>
                <w:rPr>
                  <w:rFonts w:ascii="Times New Roman" w:cs="Times New Roman" w:hAnsiTheme="minorEastAsia" w:eastAsiaTheme="minorEastAsia"/>
                  <w:color w:val="000000"/>
                  <w:szCs w:val="21"/>
                </w:rPr>
                <w:t>金融工具确认和计量》和《企业会计准则第</w:t>
              </w:r>
              <w:r>
                <w:rPr>
                  <w:rFonts w:ascii="Times New Roman" w:hAnsi="Times New Roman" w:cs="Times New Roman" w:eastAsiaTheme="minorEastAsia"/>
                  <w:color w:val="000000"/>
                  <w:szCs w:val="21"/>
                </w:rPr>
                <w:t>23</w:t>
              </w:r>
              <w:r>
                <w:rPr>
                  <w:rFonts w:ascii="Times New Roman" w:cs="Times New Roman" w:hAnsiTheme="minorEastAsia" w:eastAsiaTheme="minorEastAsia"/>
                  <w:color w:val="000000"/>
                  <w:szCs w:val="21"/>
                </w:rPr>
                <w:t>号</w:t>
              </w:r>
              <w:r>
                <w:rPr>
                  <w:rFonts w:ascii="Times New Roman" w:hAnsi="Times New Roman" w:cs="Times New Roman" w:eastAsiaTheme="minorEastAsia"/>
                  <w:color w:val="000000"/>
                  <w:szCs w:val="21"/>
                </w:rPr>
                <w:t>——</w:t>
              </w:r>
              <w:r>
                <w:rPr>
                  <w:rFonts w:ascii="Times New Roman" w:cs="Times New Roman" w:hAnsiTheme="minorEastAsia" w:eastAsiaTheme="minorEastAsia"/>
                  <w:color w:val="000000"/>
                  <w:szCs w:val="21"/>
                </w:rPr>
                <w:t>金融资产转移》的规定进行会计处理。</w:t>
              </w:r>
            </w:p>
          </w:sdtContent>
        </w:sdt>
        <w:p>
          <w:pPr>
            <w:rPr>
              <w:szCs w:val="21"/>
            </w:rPr>
          </w:pPr>
        </w:p>
      </w:sdtContent>
    </w:sdt>
    <w:sdt>
      <w:sdtPr>
        <w:rPr>
          <w:rFonts w:hint="eastAsia" w:ascii="宋体" w:hAnsi="宋体" w:eastAsia="宋体" w:cs="宋体"/>
          <w:b w:val="0"/>
          <w:bCs w:val="0"/>
          <w:kern w:val="0"/>
          <w:szCs w:val="24"/>
        </w:rPr>
        <w:alias w:val="模块:新租赁准则下租赁的确定方法及会计处理方法  ____"/>
        <w:tag w:val="_SEC_3c4d5ea1c121414c9a99ab28798ae32c"/>
        <w:id w:val="865724187"/>
        <w:lock w:val="sdtLocked"/>
        <w:placeholder>
          <w:docPart w:val="GBC22222222222222222222222222222"/>
        </w:placeholder>
      </w:sdtPr>
      <w:sdtEndPr>
        <w:rPr>
          <w:rFonts w:hint="eastAsia" w:ascii="宋体" w:hAnsi="宋体" w:eastAsia="宋体" w:cs="宋体"/>
          <w:b w:val="0"/>
          <w:bCs w:val="0"/>
          <w:color w:val="333399"/>
          <w:kern w:val="0"/>
          <w:szCs w:val="24"/>
        </w:rPr>
      </w:sdtEndPr>
      <w:sdtContent>
        <w:p>
          <w:pPr>
            <w:pStyle w:val="5"/>
            <w:numPr>
              <w:ilvl w:val="3"/>
              <w:numId w:val="75"/>
            </w:numPr>
            <w:ind w:left="426" w:hanging="426"/>
          </w:pPr>
          <w:bookmarkStart w:id="134" w:name="_Hlk23952334"/>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865724185"/>
            <w:lock w:val="sdtLocked"/>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sdt>
          <w:sdtPr>
            <w:rPr>
              <w:szCs w:val="21"/>
            </w:rPr>
            <w:alias w:val="新租赁准则下租赁的确定方法及会计处理方法的说明 "/>
            <w:tag w:val="_GBC_e51bc3b9831d4ea98846993b475a211c"/>
            <w:id w:val="865724186"/>
            <w:lock w:val="sdtLocked"/>
          </w:sdtPr>
          <w:sdtEndPr>
            <w:rPr>
              <w:szCs w:val="21"/>
            </w:rPr>
          </w:sdtEndPr>
          <w:sdtContent>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）租赁的识别</w:t>
              </w:r>
            </w:p>
            <w:p>
              <w:pPr>
                <w:spacing w:line="400" w:lineRule="exact"/>
                <w:ind w:firstLine="420" w:firstLineChars="200"/>
                <w:rPr>
                  <w:rFonts w:ascii="Times New Roman" w:hAnsi="Times New Roman" w:cs="Times New Roman"/>
                  <w:szCs w:val="21"/>
                </w:rPr>
              </w:pPr>
              <w:r>
                <w:rPr>
                  <w:rFonts w:ascii="Times New Roman" w:cs="Times New Roman"/>
                  <w:szCs w:val="21"/>
                </w:rPr>
                <w:t>在合同开始日，本公司作为承租人或出租人评估合同中的客户是否有权获得在使用期间内因使用已识别资产所产生的几乎全部经济利益，并有权在该使用期间主导已识别资产的使用。如果合同中一方让渡了在一定期间内控制一项或多项已识别资产使用的权利以换取对价，则本公司认定合同为租赁或者包含租赁。</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）本公司作为承租人</w:t>
              </w:r>
            </w:p>
            <w:p>
              <w:pPr>
                <w:spacing w:line="400" w:lineRule="exact"/>
                <w:ind w:firstLine="420" w:firstLineChars="200"/>
                <w:rPr>
                  <w:rFonts w:ascii="Times New Roman" w:hAnsi="Times New Roman" w:cs="Times New Roman"/>
                  <w:szCs w:val="21"/>
                </w:rPr>
              </w:pPr>
              <w:r>
                <w:rPr>
                  <w:rFonts w:ascii="Times New Roman" w:cs="Times New Roman"/>
                  <w:szCs w:val="21"/>
                </w:rPr>
                <w:t>在租赁期开始日，本公司对所有租赁确认使用权资产和租赁负债，简化处理的短期租赁和低价值资产租赁除外。</w:t>
              </w:r>
            </w:p>
            <w:p>
              <w:pPr>
                <w:spacing w:line="400" w:lineRule="exact"/>
                <w:ind w:firstLine="420" w:firstLineChars="200"/>
                <w:rPr>
                  <w:rFonts w:ascii="Times New Roman" w:hAnsi="Times New Roman" w:cs="Times New Roman"/>
                  <w:szCs w:val="21"/>
                </w:rPr>
              </w:pPr>
              <w:r>
                <w:rPr>
                  <w:rFonts w:ascii="Times New Roman" w:cs="Times New Roman"/>
                  <w:szCs w:val="21"/>
                </w:rPr>
                <w:t>使用权资产的会计政策见附注四、（三十）使用权资产。</w:t>
              </w:r>
            </w:p>
            <w:p>
              <w:pPr>
                <w:spacing w:line="400" w:lineRule="exact"/>
                <w:ind w:firstLine="420" w:firstLineChars="200"/>
                <w:rPr>
                  <w:rFonts w:ascii="Times New Roman" w:hAnsi="Times New Roman" w:cs="Times New Roman"/>
                  <w:szCs w:val="21"/>
                </w:rPr>
              </w:pPr>
              <w:r>
                <w:rPr>
                  <w:rFonts w:ascii="Times New Roman" w:cs="Times New Roman"/>
                  <w:szCs w:val="21"/>
                </w:rPr>
                <w:t>租赁负债按照租赁期开始日尚未支付的租赁付款额按照租赁内含利率或增量借款利率计算的现值进行初始计量。租赁付款额包括：固定付款额及实质固定付款额，存在租赁激励的，扣除租赁激励相关金额；取决于指数或比率的可变租赁付款额；购买选择权的行权价格，前提是承租人合理确定将行使该选择权；行使终止租赁选择权需支付的款项，前提是租赁期反映出承租人将行使终止租赁选择权；以及根据承租人提供的担保余值预计应支付的款项。后续按照固定的周期性利率计算租赁负债在租赁期内各期间的利息费用，并计入当期损益。未纳入租赁负债计量的可变租赁付款额在实际发生时计入当期损益。</w:t>
              </w:r>
            </w:p>
            <w:p>
              <w:pPr>
                <w:spacing w:line="400" w:lineRule="exact"/>
                <w:ind w:firstLine="420" w:firstLineChars="200"/>
                <w:rPr>
                  <w:rFonts w:ascii="Times New Roman" w:hAnsi="Times New Roman" w:cs="Times New Roman"/>
                  <w:szCs w:val="21"/>
                </w:rPr>
              </w:pPr>
              <w:r>
                <w:rPr>
                  <w:rFonts w:ascii="Times New Roman" w:cs="Times New Roman"/>
                  <w:szCs w:val="21"/>
                </w:rPr>
                <w:t>短期租赁</w:t>
              </w:r>
            </w:p>
            <w:p>
              <w:pPr>
                <w:spacing w:line="400" w:lineRule="exact"/>
                <w:ind w:firstLine="420" w:firstLineChars="200"/>
                <w:rPr>
                  <w:rFonts w:ascii="Times New Roman" w:hAnsi="Times New Roman" w:cs="Times New Roman"/>
                  <w:szCs w:val="21"/>
                </w:rPr>
              </w:pPr>
              <w:r>
                <w:rPr>
                  <w:rFonts w:ascii="Times New Roman" w:cs="Times New Roman"/>
                  <w:szCs w:val="21"/>
                </w:rPr>
                <w:t>短期租赁是指在租赁期开始日，租赁期不超过</w:t>
              </w:r>
              <w:r>
                <w:rPr>
                  <w:rFonts w:ascii="Times New Roman" w:hAnsi="Times New Roman" w:cs="Times New Roman"/>
                  <w:szCs w:val="21"/>
                </w:rPr>
                <w:t>12</w:t>
              </w:r>
              <w:r>
                <w:rPr>
                  <w:rFonts w:ascii="Times New Roman" w:cs="Times New Roman"/>
                  <w:szCs w:val="21"/>
                </w:rPr>
                <w:t>个月的租赁，包含购买选择权的租赁除外。</w:t>
              </w:r>
            </w:p>
            <w:p>
              <w:pPr>
                <w:spacing w:line="400" w:lineRule="exact"/>
                <w:ind w:firstLine="420" w:firstLineChars="200"/>
                <w:rPr>
                  <w:rFonts w:ascii="Times New Roman" w:hAnsi="Times New Roman" w:cs="Times New Roman"/>
                  <w:szCs w:val="21"/>
                </w:rPr>
              </w:pPr>
              <w:r>
                <w:rPr>
                  <w:rFonts w:ascii="Times New Roman" w:cs="Times New Roman"/>
                  <w:szCs w:val="21"/>
                </w:rPr>
                <w:t>本公司将短期租赁的租赁付款额，在租赁期内各个期间按照直线法或其他系统合理的方法计入相关资产成本或当期损益。</w:t>
              </w:r>
            </w:p>
            <w:p>
              <w:pPr>
                <w:spacing w:line="400" w:lineRule="exact"/>
                <w:ind w:firstLine="420" w:firstLineChars="200"/>
                <w:rPr>
                  <w:rFonts w:ascii="Times New Roman" w:hAnsi="Times New Roman" w:cs="Times New Roman"/>
                  <w:szCs w:val="21"/>
                </w:rPr>
              </w:pPr>
              <w:r>
                <w:rPr>
                  <w:rFonts w:ascii="Times New Roman" w:cs="Times New Roman"/>
                  <w:szCs w:val="21"/>
                </w:rPr>
                <w:t>对于短期租赁，本公司按照租赁资产的类别将下列资产类型中满足短期租赁条件的项目选择采用上述简化处理方法。</w:t>
              </w:r>
            </w:p>
            <w:p>
              <w:pPr>
                <w:spacing w:line="400" w:lineRule="exact"/>
                <w:ind w:firstLine="420" w:firstLineChars="200"/>
                <w:rPr>
                  <w:rFonts w:ascii="Times New Roman" w:hAnsi="Times New Roman" w:cs="Times New Roman"/>
                  <w:szCs w:val="21"/>
                </w:rPr>
              </w:pPr>
              <w:r>
                <w:rPr>
                  <w:rFonts w:ascii="Times New Roman" w:cs="Times New Roman"/>
                  <w:szCs w:val="21"/>
                </w:rPr>
                <w:t>低价值资产租赁</w:t>
              </w:r>
            </w:p>
            <w:p>
              <w:pPr>
                <w:spacing w:line="400" w:lineRule="exact"/>
                <w:ind w:firstLine="420" w:firstLineChars="200"/>
                <w:rPr>
                  <w:rFonts w:ascii="Times New Roman" w:hAnsi="Times New Roman" w:cs="Times New Roman"/>
                  <w:szCs w:val="21"/>
                </w:rPr>
              </w:pPr>
              <w:r>
                <w:rPr>
                  <w:rFonts w:ascii="Times New Roman" w:cs="Times New Roman"/>
                  <w:szCs w:val="21"/>
                </w:rPr>
                <w:t>低价值资产租赁是指单项租赁资产为全新资产时价值低于</w:t>
              </w:r>
              <w:r>
                <w:rPr>
                  <w:rFonts w:ascii="Times New Roman" w:hAnsi="Times New Roman" w:cs="Times New Roman"/>
                  <w:szCs w:val="21"/>
                </w:rPr>
                <w:t>4</w:t>
              </w:r>
              <w:r>
                <w:rPr>
                  <w:rFonts w:ascii="Times New Roman" w:cs="Times New Roman"/>
                  <w:szCs w:val="21"/>
                </w:rPr>
                <w:t>万元的租赁。</w:t>
              </w:r>
            </w:p>
            <w:p>
              <w:pPr>
                <w:spacing w:line="400" w:lineRule="exact"/>
                <w:ind w:firstLine="420" w:firstLineChars="200"/>
                <w:rPr>
                  <w:rFonts w:ascii="Times New Roman" w:hAnsi="Times New Roman" w:cs="Times New Roman"/>
                  <w:szCs w:val="21"/>
                </w:rPr>
              </w:pPr>
              <w:r>
                <w:rPr>
                  <w:rFonts w:ascii="Times New Roman" w:cs="Times New Roman"/>
                  <w:szCs w:val="21"/>
                </w:rPr>
                <w:t>本公司将低价值资产租赁的租赁付款额，在租赁期内各个期间按照直线法或其他系统合理的方法计入相关资产成本或当期损益。</w:t>
              </w:r>
            </w:p>
            <w:p>
              <w:pPr>
                <w:spacing w:line="400" w:lineRule="exact"/>
                <w:ind w:firstLine="420" w:firstLineChars="200"/>
                <w:rPr>
                  <w:rFonts w:ascii="Times New Roman" w:hAnsi="Times New Roman" w:cs="Times New Roman"/>
                  <w:szCs w:val="21"/>
                </w:rPr>
              </w:pPr>
              <w:r>
                <w:rPr>
                  <w:rFonts w:ascii="Times New Roman" w:cs="Times New Roman"/>
                  <w:szCs w:val="21"/>
                </w:rPr>
                <w:t>对于低价值资产租赁，本公司根据每项租赁的具体情况选择采用上述简化处理方法。</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3</w:t>
              </w:r>
              <w:r>
                <w:rPr>
                  <w:rFonts w:ascii="Times New Roman" w:cs="Times New Roman"/>
                  <w:szCs w:val="21"/>
                </w:rPr>
                <w:t>）本公司作为出租人</w:t>
              </w:r>
            </w:p>
            <w:p>
              <w:pPr>
                <w:spacing w:line="400" w:lineRule="exact"/>
                <w:ind w:firstLine="420" w:firstLineChars="200"/>
                <w:rPr>
                  <w:rFonts w:ascii="Times New Roman" w:hAnsi="Times New Roman" w:cs="Times New Roman"/>
                  <w:szCs w:val="21"/>
                </w:rPr>
              </w:pPr>
              <w:r>
                <w:rPr>
                  <w:rFonts w:ascii="Times New Roman" w:cs="Times New Roman"/>
                  <w:szCs w:val="21"/>
                </w:rPr>
                <w:t>本公司作作为出租人时，将实质上转移了与资产所有权有关的全部风险和报酬的租赁确认为融资租赁，除融资租赁之外的其他租赁确认为经营租赁。</w:t>
              </w:r>
            </w:p>
            <w:p>
              <w:pPr>
                <w:spacing w:line="400" w:lineRule="exact"/>
                <w:ind w:firstLine="420" w:firstLineChars="2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4</w:t>
              </w:r>
              <w:r>
                <w:rPr>
                  <w:rFonts w:ascii="Times New Roman" w:cs="Times New Roman"/>
                  <w:szCs w:val="21"/>
                </w:rPr>
                <w:t>）转租赁</w:t>
              </w:r>
            </w:p>
            <w:p>
              <w:pPr>
                <w:rPr>
                  <w:szCs w:val="21"/>
                </w:rPr>
              </w:pPr>
              <w:r>
                <w:rPr>
                  <w:szCs w:val="21"/>
                </w:rPr>
                <w:t>本公司作为转租出租人时，基于原租赁产生的使用权资产对转租赁进行分类。原租赁为短期租赁，且本集团对原租赁进行简化处理的，将该转租赁分类为经营租赁。</w:t>
              </w:r>
            </w:p>
          </w:sdtContent>
        </w:sdt>
        <w:p>
          <w:pPr>
            <w:rPr>
              <w:szCs w:val="21"/>
            </w:rPr>
          </w:pPr>
        </w:p>
      </w:sdtContent>
    </w:sdt>
    <w:bookmarkEnd w:id="134"/>
    <w:p>
      <w:pPr>
        <w:rPr>
          <w:szCs w:val="21"/>
        </w:rPr>
      </w:pPr>
    </w:p>
    <w:sdt>
      <w:sdtPr>
        <w:rPr>
          <w:rFonts w:hint="eastAsia" w:asciiTheme="minorHAnsi" w:hAnsiTheme="minorHAnsi" w:cstheme="minorBidi"/>
          <w:b w:val="0"/>
          <w:bCs w:val="0"/>
          <w:kern w:val="0"/>
          <w:szCs w:val="22"/>
        </w:rPr>
        <w:alias w:val="模块:其他重要的会计政策和会计估计"/>
        <w:tag w:val="_GBC_208440ea3a0f4676970b3672c3cdf96f"/>
        <w:id w:val="865724189"/>
        <w:lock w:val="sdtLocked"/>
        <w:placeholder>
          <w:docPart w:val="GBC22222222222222222222222222222"/>
        </w:placeholder>
      </w:sdtPr>
      <w:sdtEndPr>
        <w:rPr>
          <w:rFonts w:hint="eastAsia" w:ascii="宋体" w:hAnsi="宋体" w:cs="Times New Roman"/>
          <w:b w:val="0"/>
          <w:bCs w:val="0"/>
          <w:kern w:val="0"/>
          <w:szCs w:val="21"/>
        </w:rPr>
      </w:sdtEndPr>
      <w:sdtContent>
        <w:p>
          <w:pPr>
            <w:pStyle w:val="4"/>
            <w:numPr>
              <w:ilvl w:val="0"/>
              <w:numId w:val="61"/>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86572418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0"/>
          <w:numId w:val="61"/>
        </w:numPr>
      </w:pPr>
      <w:r>
        <w:rPr>
          <w:rFonts w:hint="eastAsia"/>
        </w:rPr>
        <w:t>重要</w:t>
      </w:r>
      <w:r>
        <w:t>会计政策</w:t>
      </w:r>
      <w:r>
        <w:rPr>
          <w:rFonts w:hint="eastAsia"/>
        </w:rPr>
        <w:t>和</w:t>
      </w:r>
      <w:r>
        <w:t>会计估计的变更</w:t>
      </w:r>
    </w:p>
    <w:p>
      <w:pPr>
        <w:pStyle w:val="5"/>
        <w:numPr>
          <w:ilvl w:val="3"/>
          <w:numId w:val="76"/>
        </w:numPr>
        <w:ind w:left="426" w:hanging="426"/>
      </w:pPr>
      <w:r>
        <w:rPr>
          <w:rFonts w:hint="eastAsia"/>
        </w:rPr>
        <w:t>重要</w:t>
      </w:r>
      <w:r>
        <w:t>会计政策变更</w:t>
      </w:r>
    </w:p>
    <w:sdt>
      <w:sdtPr>
        <w:rPr>
          <w:szCs w:val="21"/>
        </w:rPr>
        <w:alias w:val="是否适用：重要会计政策变更[双击切换]"/>
        <w:tag w:val="_GBC_f1ebc580f60c4d30a80747190ffbec4f"/>
        <w:id w:val="865724190"/>
        <w:lock w:val="sdtConten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hAnsi="Times New Roman" w:cs="Times New Roman"/>
          <w:kern w:val="2"/>
          <w:sz w:val="18"/>
          <w:szCs w:val="18"/>
        </w:rPr>
        <w:alias w:val="模块:会计政策变更"/>
        <w:tag w:val="_GBC_0e06dc657bb8435eb065c6bd60685496"/>
        <w:id w:val="865724197"/>
        <w:lock w:val="sdtLocked"/>
        <w:placeholder>
          <w:docPart w:val="GBC22222222222222222222222222222"/>
        </w:placeholder>
      </w:sdtPr>
      <w:sdtEndPr>
        <w:rPr>
          <w:rFonts w:hint="eastAsia" w:ascii="Times New Roman" w:hAnsi="Times New Roman" w:cs="Times New Roman"/>
          <w:kern w:val="2"/>
          <w:sz w:val="21"/>
          <w:szCs w:val="21"/>
        </w:rPr>
      </w:sdtEndPr>
      <w:sdtContent>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1"/>
            <w:gridCol w:w="1649"/>
            <w:gridCol w:w="3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kern w:val="2"/>
                  <w:sz w:val="18"/>
                  <w:szCs w:val="18"/>
                </w:rPr>
                <w:tag w:val="_PLD_e1dec237a8bd4e95920b80a564ae1cb9"/>
                <w:id w:val="865724191"/>
                <w:lock w:val="sdtLocked"/>
              </w:sdtPr>
              <w:sdtEndPr>
                <w:rPr>
                  <w:rFonts w:ascii="Times New Roman" w:hAnsi="Times New Roman" w:cs="Times New Roman"/>
                  <w:kern w:val="0"/>
                  <w:sz w:val="18"/>
                  <w:szCs w:val="18"/>
                </w:rPr>
              </w:sdtEndPr>
              <w:sdtContent>
                <w:tc>
                  <w:tcPr>
                    <w:tcW w:w="2410" w:type="pct"/>
                    <w:vAlign w:val="center"/>
                  </w:tcPr>
                  <w:p>
                    <w:pPr>
                      <w:jc w:val="center"/>
                      <w:rPr>
                        <w:rFonts w:ascii="Times New Roman" w:hAnsi="Times New Roman" w:cs="Times New Roman"/>
                        <w:sz w:val="18"/>
                        <w:szCs w:val="18"/>
                      </w:rPr>
                    </w:pPr>
                    <w:r>
                      <w:rPr>
                        <w:rFonts w:ascii="Times New Roman" w:cs="Times New Roman"/>
                        <w:sz w:val="18"/>
                        <w:szCs w:val="18"/>
                      </w:rPr>
                      <w:t>会计政策变更的内容和原因</w:t>
                    </w:r>
                  </w:p>
                </w:tc>
              </w:sdtContent>
            </w:sdt>
            <w:sdt>
              <w:sdtPr>
                <w:rPr>
                  <w:rFonts w:ascii="Times New Roman" w:hAnsi="Times New Roman" w:cs="Times New Roman"/>
                  <w:sz w:val="18"/>
                  <w:szCs w:val="18"/>
                </w:rPr>
                <w:tag w:val="_PLD_7b0ee43258f64816be205413e4f0bfe2"/>
                <w:id w:val="865724192"/>
                <w:lock w:val="sdtLocked"/>
              </w:sdtPr>
              <w:sdtEndPr>
                <w:rPr>
                  <w:rFonts w:ascii="Times New Roman" w:hAnsi="Times New Roman" w:cs="Times New Roman"/>
                  <w:sz w:val="18"/>
                  <w:szCs w:val="18"/>
                </w:rPr>
              </w:sdtEndPr>
              <w:sdtContent>
                <w:tc>
                  <w:tcPr>
                    <w:tcW w:w="911" w:type="pct"/>
                    <w:vAlign w:val="center"/>
                  </w:tcPr>
                  <w:p>
                    <w:pPr>
                      <w:jc w:val="center"/>
                      <w:rPr>
                        <w:rFonts w:ascii="Times New Roman" w:hAnsi="Times New Roman" w:cs="Times New Roman"/>
                        <w:sz w:val="18"/>
                        <w:szCs w:val="18"/>
                      </w:rPr>
                    </w:pPr>
                    <w:r>
                      <w:rPr>
                        <w:rFonts w:ascii="Times New Roman" w:cs="Times New Roman"/>
                        <w:sz w:val="18"/>
                        <w:szCs w:val="18"/>
                      </w:rPr>
                      <w:t>审批程序</w:t>
                    </w:r>
                  </w:p>
                </w:tc>
              </w:sdtContent>
            </w:sdt>
            <w:sdt>
              <w:sdtPr>
                <w:rPr>
                  <w:rFonts w:ascii="Times New Roman" w:hAnsi="Times New Roman" w:cs="Times New Roman"/>
                  <w:sz w:val="18"/>
                  <w:szCs w:val="18"/>
                </w:rPr>
                <w:tag w:val="_PLD_f4b6323c0cf54fc0b4bff40f66002d51"/>
                <w:id w:val="865724193"/>
                <w:lock w:val="sdtLocked"/>
              </w:sdtPr>
              <w:sdtEndPr>
                <w:rPr>
                  <w:rFonts w:ascii="Times New Roman" w:hAnsi="Times New Roman" w:cs="Times New Roman"/>
                  <w:sz w:val="18"/>
                  <w:szCs w:val="18"/>
                </w:rPr>
              </w:sdtEndPr>
              <w:sdtContent>
                <w:tc>
                  <w:tcPr>
                    <w:tcW w:w="1679" w:type="pct"/>
                    <w:vAlign w:val="center"/>
                  </w:tcPr>
                  <w:p>
                    <w:pPr>
                      <w:jc w:val="center"/>
                      <w:rPr>
                        <w:rFonts w:ascii="Times New Roman" w:hAnsi="Times New Roman" w:cs="Times New Roman"/>
                        <w:sz w:val="18"/>
                        <w:szCs w:val="18"/>
                      </w:rPr>
                    </w:pPr>
                    <w:r>
                      <w:rPr>
                        <w:rFonts w:ascii="Times New Roman" w:cs="Times New Roman"/>
                        <w:sz w:val="18"/>
                        <w:szCs w:val="18"/>
                      </w:rPr>
                      <w:t>备注</w:t>
                    </w:r>
                    <w:r>
                      <w:rPr>
                        <w:rFonts w:ascii="Times New Roman" w:hAnsi="Times New Roman" w:cs="Times New Roman"/>
                        <w:sz w:val="18"/>
                        <w:szCs w:val="18"/>
                      </w:rPr>
                      <w:t>(</w:t>
                    </w:r>
                    <w:r>
                      <w:rPr>
                        <w:rFonts w:ascii="Times New Roman" w:cs="Times New Roman"/>
                        <w:sz w:val="18"/>
                        <w:szCs w:val="18"/>
                      </w:rPr>
                      <w:t>受重要影响的报表项目名称和金额</w:t>
                    </w:r>
                    <w:r>
                      <w:rPr>
                        <w:rFonts w:ascii="Times New Roman" w:hAnsi="Times New Roman" w:cs="Times New Roman"/>
                        <w:sz w:val="18"/>
                        <w:szCs w:val="18"/>
                      </w:rPr>
                      <w:t>)</w:t>
                    </w:r>
                  </w:p>
                </w:tc>
              </w:sdtContent>
            </w:sdt>
          </w:tr>
          <w:sdt>
            <w:sdtPr>
              <w:rPr>
                <w:rFonts w:ascii="Times New Roman" w:hAnsi="Times New Roman" w:cs="Times New Roman" w:eastAsiaTheme="minorEastAsia"/>
                <w:kern w:val="2"/>
                <w:sz w:val="18"/>
                <w:szCs w:val="18"/>
              </w:rPr>
              <w:alias w:val="会计政策的变更"/>
              <w:tag w:val="_GBC_3ee3045c350e4d52ab819ea497aaf2f3"/>
              <w:id w:val="865724194"/>
              <w:lock w:val="sdtLocked"/>
              <w:placeholder>
                <w:docPart w:val="GBC11111111111111111111111111111"/>
              </w:placeholder>
            </w:sdtPr>
            <w:sdtEndPr>
              <w:rPr>
                <w:rFonts w:ascii="Times New Roman" w:hAnsi="Times New Roman" w:cs="Times New Roman"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pct"/>
                    <w:vAlign w:val="center"/>
                  </w:tcPr>
                  <w:p>
                    <w:pPr>
                      <w:jc w:val="both"/>
                      <w:rPr>
                        <w:rFonts w:ascii="Times New Roman" w:hAnsi="Times New Roman" w:cs="Times New Roman"/>
                        <w:sz w:val="18"/>
                        <w:szCs w:val="18"/>
                      </w:rPr>
                    </w:pPr>
                    <w:r>
                      <w:rPr>
                        <w:rFonts w:ascii="Times New Roman" w:cs="Times New Roman" w:eastAsiaTheme="minorEastAsia"/>
                        <w:kern w:val="2"/>
                        <w:sz w:val="18"/>
                        <w:szCs w:val="18"/>
                      </w:rPr>
                      <w:t>根据财政部《企业会计准则实施问答》，本公司自</w:t>
                    </w:r>
                    <w:r>
                      <w:rPr>
                        <w:rFonts w:ascii="Times New Roman" w:hAnsi="Times New Roman" w:cs="Times New Roman" w:eastAsiaTheme="minorEastAsia"/>
                        <w:kern w:val="2"/>
                        <w:sz w:val="18"/>
                        <w:szCs w:val="18"/>
                      </w:rPr>
                      <w:t>2021</w:t>
                    </w:r>
                    <w:r>
                      <w:rPr>
                        <w:rFonts w:ascii="Times New Roman" w:cs="Times New Roman" w:eastAsiaTheme="minorEastAsia"/>
                        <w:kern w:val="2"/>
                        <w:sz w:val="18"/>
                        <w:szCs w:val="18"/>
                      </w:rPr>
                      <w:t>年</w:t>
                    </w:r>
                    <w:r>
                      <w:rPr>
                        <w:rFonts w:ascii="Times New Roman" w:hAnsi="Times New Roman" w:cs="Times New Roman" w:eastAsiaTheme="minorEastAsia"/>
                        <w:kern w:val="2"/>
                        <w:sz w:val="18"/>
                        <w:szCs w:val="18"/>
                      </w:rPr>
                      <w:t>1</w:t>
                    </w:r>
                    <w:r>
                      <w:rPr>
                        <w:rFonts w:ascii="Times New Roman" w:cs="Times New Roman" w:eastAsiaTheme="minorEastAsia"/>
                        <w:kern w:val="2"/>
                        <w:sz w:val="18"/>
                        <w:szCs w:val="18"/>
                      </w:rPr>
                      <w:t>月</w:t>
                    </w:r>
                    <w:r>
                      <w:rPr>
                        <w:rFonts w:ascii="Times New Roman" w:hAnsi="Times New Roman" w:cs="Times New Roman" w:eastAsiaTheme="minorEastAsia"/>
                        <w:kern w:val="2"/>
                        <w:sz w:val="18"/>
                        <w:szCs w:val="18"/>
                      </w:rPr>
                      <w:t>1</w:t>
                    </w:r>
                    <w:r>
                      <w:rPr>
                        <w:rFonts w:ascii="Times New Roman" w:cs="Times New Roman" w:eastAsiaTheme="minorEastAsia"/>
                        <w:kern w:val="2"/>
                        <w:sz w:val="18"/>
                        <w:szCs w:val="18"/>
                      </w:rPr>
                      <w:t>日起将作为合同履约成本的运输费列报于营业成本，并对对上年同期数进行追溯调整。</w:t>
                    </w:r>
                  </w:p>
                </w:tc>
                <w:tc>
                  <w:tcPr>
                    <w:tcW w:w="911" w:type="pct"/>
                    <w:vAlign w:val="center"/>
                  </w:tcPr>
                  <w:p>
                    <w:pPr>
                      <w:jc w:val="center"/>
                      <w:rPr>
                        <w:rFonts w:ascii="Times New Roman" w:hAnsi="Times New Roman" w:cs="Times New Roman"/>
                        <w:sz w:val="18"/>
                        <w:szCs w:val="18"/>
                      </w:rPr>
                    </w:pPr>
                    <w:r>
                      <w:rPr>
                        <w:rFonts w:ascii="Times New Roman" w:cs="Times New Roman"/>
                        <w:sz w:val="18"/>
                        <w:szCs w:val="18"/>
                      </w:rPr>
                      <w:t>不适用</w:t>
                    </w:r>
                  </w:p>
                </w:tc>
                <w:tc>
                  <w:tcPr>
                    <w:tcW w:w="1679" w:type="pct"/>
                    <w:vAlign w:val="center"/>
                  </w:tcPr>
                  <w:p>
                    <w:pPr>
                      <w:jc w:val="both"/>
                      <w:rPr>
                        <w:rFonts w:ascii="Times New Roman" w:hAnsi="Times New Roman" w:cs="Times New Roman"/>
                        <w:sz w:val="18"/>
                        <w:szCs w:val="18"/>
                      </w:rPr>
                    </w:pPr>
                    <w:r>
                      <w:rPr>
                        <w:rFonts w:ascii="Times New Roman" w:cs="Times New Roman"/>
                        <w:sz w:val="18"/>
                        <w:szCs w:val="18"/>
                      </w:rPr>
                      <w:t>详见下列说明</w:t>
                    </w:r>
                  </w:p>
                </w:tc>
              </w:tr>
            </w:sdtContent>
          </w:sdt>
          <w:sdt>
            <w:sdtPr>
              <w:rPr>
                <w:rFonts w:ascii="Times New Roman" w:hAnsi="Times New Roman" w:cs="Times New Roman" w:eastAsiaTheme="minorEastAsia"/>
                <w:kern w:val="2"/>
                <w:sz w:val="18"/>
                <w:szCs w:val="18"/>
              </w:rPr>
              <w:alias w:val="会计政策的变更"/>
              <w:tag w:val="_GBC_3ee3045c350e4d52ab819ea497aaf2f3"/>
              <w:id w:val="865724195"/>
              <w:lock w:val="sdtLocked"/>
            </w:sdtPr>
            <w:sdtEndPr>
              <w:rPr>
                <w:rFonts w:ascii="Times New Roman" w:hAnsi="Times New Roman" w:cs="Times New Roman"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410" w:type="pct"/>
                    <w:vAlign w:val="center"/>
                  </w:tcPr>
                  <w:p>
                    <w:pPr>
                      <w:jc w:val="both"/>
                      <w:rPr>
                        <w:rFonts w:ascii="Times New Roman" w:hAnsi="Times New Roman" w:cs="Times New Roman"/>
                        <w:sz w:val="18"/>
                        <w:szCs w:val="18"/>
                      </w:rPr>
                    </w:pPr>
                    <w:r>
                      <w:rPr>
                        <w:rFonts w:ascii="Times New Roman" w:cs="Times New Roman" w:eastAsiaTheme="minorEastAsia"/>
                        <w:kern w:val="2"/>
                        <w:sz w:val="18"/>
                        <w:szCs w:val="18"/>
                      </w:rPr>
                      <w:t>本公司自</w:t>
                    </w:r>
                    <w:r>
                      <w:rPr>
                        <w:rFonts w:ascii="Times New Roman" w:hAnsi="Times New Roman" w:cs="Times New Roman" w:eastAsiaTheme="minorEastAsia"/>
                        <w:kern w:val="2"/>
                        <w:sz w:val="18"/>
                        <w:szCs w:val="18"/>
                      </w:rPr>
                      <w:t xml:space="preserve"> 2021</w:t>
                    </w:r>
                    <w:r>
                      <w:rPr>
                        <w:rFonts w:ascii="Times New Roman" w:cs="Times New Roman" w:eastAsiaTheme="minorEastAsia"/>
                        <w:kern w:val="2"/>
                        <w:sz w:val="18"/>
                        <w:szCs w:val="18"/>
                      </w:rPr>
                      <w:t>年</w:t>
                    </w:r>
                    <w:r>
                      <w:rPr>
                        <w:rFonts w:ascii="Times New Roman" w:hAnsi="Times New Roman" w:cs="Times New Roman" w:eastAsiaTheme="minorEastAsia"/>
                        <w:kern w:val="2"/>
                        <w:sz w:val="18"/>
                        <w:szCs w:val="18"/>
                      </w:rPr>
                      <w:t>1</w:t>
                    </w:r>
                    <w:r>
                      <w:rPr>
                        <w:rFonts w:ascii="Times New Roman" w:cs="Times New Roman" w:eastAsiaTheme="minorEastAsia"/>
                        <w:kern w:val="2"/>
                        <w:sz w:val="18"/>
                        <w:szCs w:val="18"/>
                      </w:rPr>
                      <w:t>月</w:t>
                    </w:r>
                    <w:r>
                      <w:rPr>
                        <w:rFonts w:ascii="Times New Roman" w:hAnsi="Times New Roman" w:cs="Times New Roman" w:eastAsiaTheme="minorEastAsia"/>
                        <w:kern w:val="2"/>
                        <w:sz w:val="18"/>
                        <w:szCs w:val="18"/>
                      </w:rPr>
                      <w:t>1</w:t>
                    </w:r>
                    <w:r>
                      <w:rPr>
                        <w:rFonts w:ascii="Times New Roman" w:cs="Times New Roman" w:eastAsiaTheme="minorEastAsia"/>
                        <w:kern w:val="2"/>
                        <w:sz w:val="18"/>
                        <w:szCs w:val="18"/>
                      </w:rPr>
                      <w:t>日起执行财政部于</w:t>
                    </w:r>
                    <w:r>
                      <w:rPr>
                        <w:rFonts w:ascii="Times New Roman" w:hAnsi="Times New Roman" w:cs="Times New Roman" w:eastAsiaTheme="minorEastAsia"/>
                        <w:kern w:val="2"/>
                        <w:sz w:val="18"/>
                        <w:szCs w:val="18"/>
                      </w:rPr>
                      <w:t>2018</w:t>
                    </w:r>
                    <w:r>
                      <w:rPr>
                        <w:rFonts w:ascii="Times New Roman" w:cs="Times New Roman" w:eastAsiaTheme="minorEastAsia"/>
                        <w:kern w:val="2"/>
                        <w:sz w:val="18"/>
                        <w:szCs w:val="18"/>
                      </w:rPr>
                      <w:t>年颁布的《企业会计准第</w:t>
                    </w:r>
                    <w:r>
                      <w:rPr>
                        <w:rFonts w:ascii="Times New Roman" w:hAnsi="Times New Roman" w:cs="Times New Roman" w:eastAsiaTheme="minorEastAsia"/>
                        <w:kern w:val="2"/>
                        <w:sz w:val="18"/>
                        <w:szCs w:val="18"/>
                      </w:rPr>
                      <w:t>21</w:t>
                    </w:r>
                    <w:r>
                      <w:rPr>
                        <w:rFonts w:ascii="Times New Roman" w:cs="Times New Roman" w:eastAsiaTheme="minorEastAsia"/>
                        <w:kern w:val="2"/>
                        <w:sz w:val="18"/>
                        <w:szCs w:val="18"/>
                      </w:rPr>
                      <w:t>号</w:t>
                    </w:r>
                    <w:r>
                      <w:rPr>
                        <w:rFonts w:ascii="Times New Roman" w:hAnsi="Times New Roman" w:cs="Times New Roman" w:eastAsiaTheme="minorEastAsia"/>
                        <w:kern w:val="2"/>
                        <w:sz w:val="18"/>
                        <w:szCs w:val="18"/>
                      </w:rPr>
                      <w:t>——</w:t>
                    </w:r>
                    <w:r>
                      <w:rPr>
                        <w:rFonts w:ascii="Times New Roman" w:cs="Times New Roman" w:eastAsiaTheme="minorEastAsia"/>
                        <w:kern w:val="2"/>
                        <w:sz w:val="18"/>
                        <w:szCs w:val="18"/>
                      </w:rPr>
                      <w:t>租赁（修订）》</w:t>
                    </w:r>
                  </w:p>
                </w:tc>
                <w:tc>
                  <w:tcPr>
                    <w:tcW w:w="911" w:type="pct"/>
                    <w:vAlign w:val="center"/>
                  </w:tcPr>
                  <w:p>
                    <w:pPr>
                      <w:jc w:val="center"/>
                      <w:rPr>
                        <w:rFonts w:ascii="Times New Roman" w:hAnsi="Times New Roman" w:cs="Times New Roman"/>
                        <w:sz w:val="18"/>
                        <w:szCs w:val="18"/>
                      </w:rPr>
                    </w:pPr>
                    <w:r>
                      <w:rPr>
                        <w:rFonts w:ascii="Times New Roman" w:cs="Times New Roman"/>
                        <w:sz w:val="18"/>
                        <w:szCs w:val="18"/>
                      </w:rPr>
                      <w:t>不适用</w:t>
                    </w:r>
                  </w:p>
                </w:tc>
                <w:tc>
                  <w:tcPr>
                    <w:tcW w:w="1679" w:type="pct"/>
                    <w:vAlign w:val="center"/>
                  </w:tcPr>
                  <w:p>
                    <w:pPr>
                      <w:jc w:val="both"/>
                      <w:rPr>
                        <w:rFonts w:ascii="Times New Roman" w:hAnsi="Times New Roman" w:cs="Times New Roman"/>
                        <w:sz w:val="18"/>
                        <w:szCs w:val="18"/>
                      </w:rPr>
                    </w:pPr>
                    <w:r>
                      <w:rPr>
                        <w:rFonts w:ascii="Times New Roman" w:cs="Times New Roman"/>
                        <w:sz w:val="18"/>
                        <w:szCs w:val="18"/>
                      </w:rPr>
                      <w:t>详见下列说明</w:t>
                    </w:r>
                  </w:p>
                </w:tc>
              </w:tr>
            </w:sdtContent>
          </w:sdt>
        </w:tbl>
        <w:p>
          <w:pPr>
            <w:rPr>
              <w:szCs w:val="21"/>
            </w:rPr>
          </w:pPr>
          <w:r>
            <w:rPr>
              <w:rFonts w:hint="eastAsia"/>
              <w:szCs w:val="21"/>
            </w:rPr>
            <w:t>其他说明</w:t>
          </w:r>
        </w:p>
        <w:sdt>
          <w:sdtPr>
            <w:rPr>
              <w:rFonts w:ascii="宋体" w:hAnsi="宋体" w:cs="宋体"/>
              <w:kern w:val="0"/>
              <w:szCs w:val="24"/>
            </w:rPr>
            <w:alias w:val="会计政策的变更的其他说明"/>
            <w:tag w:val="_GBC_93e2fc5a38cb45958eae783eee8d98c3"/>
            <w:id w:val="865724196"/>
            <w:lock w:val="sdtLocked"/>
            <w:placeholder>
              <w:docPart w:val="GBC22222222222222222222222222222"/>
            </w:placeholder>
          </w:sdtPr>
          <w:sdtEndPr>
            <w:rPr>
              <w:rFonts w:ascii="宋体" w:hAnsi="宋体" w:cs="宋体"/>
              <w:kern w:val="0"/>
              <w:szCs w:val="21"/>
            </w:rPr>
          </w:sdtEndPr>
          <w:sdtContent>
            <w:p>
              <w:pPr>
                <w:pStyle w:val="55"/>
                <w:numPr>
                  <w:ilvl w:val="0"/>
                  <w:numId w:val="77"/>
                </w:numPr>
                <w:autoSpaceDE w:val="0"/>
                <w:autoSpaceDN w:val="0"/>
                <w:adjustRightInd w:val="0"/>
                <w:spacing w:line="400" w:lineRule="exact"/>
                <w:ind w:firstLineChars="0"/>
                <w:rPr>
                  <w:rFonts w:ascii="Times New Roman" w:hAnsi="Times New Roman"/>
                  <w:szCs w:val="21"/>
                  <w:lang w:val="zh-CN"/>
                </w:rPr>
              </w:pPr>
              <w:r>
                <w:rPr>
                  <w:rFonts w:ascii="Times New Roman"/>
                  <w:szCs w:val="21"/>
                  <w:lang w:val="zh-CN"/>
                </w:rPr>
                <w:t>执行财政部于</w:t>
              </w:r>
              <w:r>
                <w:rPr>
                  <w:rFonts w:ascii="Times New Roman" w:hAnsi="Times New Roman"/>
                  <w:szCs w:val="21"/>
                  <w:lang w:val="zh-CN"/>
                </w:rPr>
                <w:t>2021</w:t>
              </w:r>
              <w:r>
                <w:rPr>
                  <w:rFonts w:ascii="Times New Roman"/>
                  <w:szCs w:val="21"/>
                  <w:lang w:val="zh-CN"/>
                </w:rPr>
                <w:t>年</w:t>
              </w:r>
              <w:r>
                <w:rPr>
                  <w:rFonts w:ascii="Times New Roman" w:hAnsi="Times New Roman"/>
                  <w:szCs w:val="21"/>
                  <w:lang w:val="zh-CN"/>
                </w:rPr>
                <w:t>11</w:t>
              </w:r>
              <w:r>
                <w:rPr>
                  <w:rFonts w:ascii="Times New Roman"/>
                  <w:szCs w:val="21"/>
                  <w:lang w:val="zh-CN"/>
                </w:rPr>
                <w:t>月</w:t>
              </w:r>
              <w:r>
                <w:rPr>
                  <w:rFonts w:ascii="Times New Roman" w:hAnsi="Times New Roman"/>
                  <w:szCs w:val="21"/>
                  <w:lang w:val="zh-CN"/>
                </w:rPr>
                <w:t>2</w:t>
              </w:r>
              <w:r>
                <w:rPr>
                  <w:rFonts w:ascii="Times New Roman"/>
                  <w:szCs w:val="21"/>
                  <w:lang w:val="zh-CN"/>
                </w:rPr>
                <w:t>日颁布的《企业会计准则实施问答》</w:t>
              </w:r>
            </w:p>
            <w:p>
              <w:pPr>
                <w:autoSpaceDE w:val="0"/>
                <w:autoSpaceDN w:val="0"/>
                <w:adjustRightInd w:val="0"/>
                <w:spacing w:line="400" w:lineRule="exact"/>
                <w:ind w:firstLine="420" w:firstLineChars="200"/>
                <w:rPr>
                  <w:rFonts w:ascii="Times New Roman" w:cs="Times New Roman"/>
                  <w:szCs w:val="21"/>
                  <w:lang w:val="zh-CN"/>
                </w:rPr>
              </w:pPr>
              <w:r>
                <w:rPr>
                  <w:rFonts w:hint="eastAsia" w:ascii="Times New Roman" w:cs="Times New Roman"/>
                  <w:szCs w:val="21"/>
                  <w:lang w:val="zh-CN"/>
                </w:rPr>
                <w:t>财政部于</w:t>
              </w:r>
              <w:r>
                <w:rPr>
                  <w:rFonts w:ascii="Times New Roman" w:cs="Times New Roman"/>
                  <w:szCs w:val="21"/>
                  <w:lang w:val="zh-CN"/>
                </w:rPr>
                <w:t>2017年度修订了《企业会计准则第14号——收入》（以下简称“新收入准则”），根据财政部于2021年11月2日颁布的《企业会计准则实施问答》，针对发生在商品控制权转移给客户之前，且为履行销售合同而发生的运输费用，将其自销售费用全部重分类至营业成本。本公司自2021年1月1日起将作为合同履约成本的运输费用列报于营业成本，并对比较报表进行调整。执行该规定未对本公司财务状况和经营成果产生重大影响。</w:t>
              </w:r>
            </w:p>
            <w:p>
              <w:pPr>
                <w:autoSpaceDE w:val="0"/>
                <w:autoSpaceDN w:val="0"/>
                <w:adjustRightInd w:val="0"/>
                <w:spacing w:line="400" w:lineRule="exact"/>
                <w:ind w:firstLine="420" w:firstLineChars="200"/>
                <w:rPr>
                  <w:rFonts w:ascii="Times New Roman" w:hAnsi="Times New Roman" w:cs="Times New Roman"/>
                  <w:szCs w:val="21"/>
                  <w:lang w:val="zh-CN"/>
                </w:rPr>
              </w:pPr>
              <w:r>
                <w:rPr>
                  <w:rFonts w:hint="eastAsia" w:ascii="Times New Roman" w:hAnsi="Times New Roman" w:cs="Times New Roman"/>
                  <w:szCs w:val="21"/>
                  <w:lang w:val="zh-CN"/>
                </w:rPr>
                <w:t>（</w:t>
              </w:r>
              <w:r>
                <w:rPr>
                  <w:rFonts w:ascii="Times New Roman" w:hAnsi="Times New Roman" w:cs="Times New Roman"/>
                  <w:szCs w:val="21"/>
                  <w:lang w:val="zh-CN"/>
                </w:rPr>
                <w:t>1）对合并财务报表的影响</w:t>
              </w:r>
            </w:p>
            <w:tbl>
              <w:tblPr>
                <w:tblStyle w:val="107"/>
                <w:tblW w:w="4994" w:type="pct"/>
                <w:tblInd w:w="0" w:type="dxa"/>
                <w:tblBorders>
                  <w:top w:val="single" w:color="auto" w:sz="8" w:space="0"/>
                  <w:left w:val="none" w:color="auto" w:sz="0" w:space="0"/>
                  <w:bottom w:val="single" w:color="auto" w:sz="8"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064"/>
                <w:gridCol w:w="2155"/>
                <w:gridCol w:w="2693"/>
                <w:gridCol w:w="2126"/>
              </w:tblGrid>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42" w:type="pct"/>
                    <w:vMerge w:val="restart"/>
                    <w:shd w:val="clear" w:color="auto" w:fill="auto"/>
                    <w:vAlign w:val="center"/>
                  </w:tcPr>
                  <w:p>
                    <w:pPr>
                      <w:spacing w:line="460" w:lineRule="exact"/>
                      <w:ind w:firstLine="180" w:firstLineChars="100"/>
                      <w:jc w:val="center"/>
                      <w:rPr>
                        <w:rFonts w:ascii="Times New Roman" w:hAnsi="Times New Roman" w:cs="Times New Roman"/>
                        <w:color w:val="000000"/>
                        <w:sz w:val="18"/>
                        <w:szCs w:val="18"/>
                      </w:rPr>
                    </w:pPr>
                    <w:r>
                      <w:rPr>
                        <w:rFonts w:ascii="Times New Roman" w:cs="Times New Roman"/>
                        <w:color w:val="000000"/>
                        <w:sz w:val="18"/>
                        <w:szCs w:val="18"/>
                      </w:rPr>
                      <w:t>项目</w:t>
                    </w:r>
                  </w:p>
                </w:tc>
                <w:tc>
                  <w:tcPr>
                    <w:tcW w:w="3858" w:type="pct"/>
                    <w:gridSpan w:val="3"/>
                    <w:shd w:val="clear" w:color="auto" w:fill="auto"/>
                    <w:vAlign w:val="center"/>
                  </w:tcPr>
                  <w:p>
                    <w:pPr>
                      <w:spacing w:line="460" w:lineRule="exact"/>
                      <w:jc w:val="center"/>
                      <w:rPr>
                        <w:rFonts w:ascii="Times New Roman" w:hAnsi="Times New Roman" w:cs="Times New Roman"/>
                        <w:color w:val="000000"/>
                        <w:sz w:val="18"/>
                        <w:szCs w:val="18"/>
                      </w:rPr>
                    </w:pPr>
                    <w:r>
                      <w:rPr>
                        <w:rFonts w:hint="eastAsia" w:ascii="Times New Roman" w:cs="Times New Roman"/>
                        <w:color w:val="000000"/>
                        <w:sz w:val="18"/>
                        <w:szCs w:val="18"/>
                      </w:rPr>
                      <w:t>2020年度</w:t>
                    </w:r>
                    <w:r>
                      <w:rPr>
                        <w:rFonts w:ascii="Times New Roman" w:cs="Times New Roman"/>
                        <w:color w:val="000000"/>
                        <w:sz w:val="18"/>
                        <w:szCs w:val="18"/>
                      </w:rPr>
                      <w:t>合并利润表</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10" w:hRule="atLeast"/>
                </w:trPr>
                <w:tc>
                  <w:tcPr>
                    <w:tcW w:w="1142" w:type="pct"/>
                    <w:vMerge w:val="continue"/>
                    <w:vAlign w:val="center"/>
                  </w:tcPr>
                  <w:p>
                    <w:pPr>
                      <w:spacing w:line="460" w:lineRule="exact"/>
                      <w:rPr>
                        <w:rFonts w:ascii="Times New Roman" w:hAnsi="Times New Roman" w:cs="Times New Roman"/>
                        <w:color w:val="000000"/>
                        <w:sz w:val="18"/>
                        <w:szCs w:val="18"/>
                      </w:rPr>
                    </w:pPr>
                  </w:p>
                </w:tc>
                <w:tc>
                  <w:tcPr>
                    <w:tcW w:w="1192" w:type="pct"/>
                    <w:shd w:val="clear" w:color="auto" w:fill="auto"/>
                    <w:vAlign w:val="center"/>
                  </w:tcPr>
                  <w:p>
                    <w:pPr>
                      <w:spacing w:line="460" w:lineRule="exact"/>
                      <w:jc w:val="center"/>
                      <w:rPr>
                        <w:rFonts w:ascii="Times New Roman" w:hAnsi="Times New Roman" w:cs="Times New Roman"/>
                        <w:color w:val="000000"/>
                        <w:sz w:val="18"/>
                        <w:szCs w:val="18"/>
                      </w:rPr>
                    </w:pPr>
                    <w:r>
                      <w:rPr>
                        <w:rFonts w:ascii="Times New Roman" w:cs="Times New Roman"/>
                        <w:color w:val="000000"/>
                        <w:sz w:val="18"/>
                        <w:szCs w:val="18"/>
                      </w:rPr>
                      <w:t>调整前金额</w:t>
                    </w:r>
                  </w:p>
                </w:tc>
                <w:tc>
                  <w:tcPr>
                    <w:tcW w:w="1490" w:type="pct"/>
                    <w:shd w:val="clear" w:color="auto" w:fill="auto"/>
                    <w:vAlign w:val="center"/>
                  </w:tcPr>
                  <w:p>
                    <w:pPr>
                      <w:spacing w:line="460" w:lineRule="exact"/>
                      <w:jc w:val="center"/>
                      <w:rPr>
                        <w:rFonts w:ascii="Times New Roman" w:hAnsi="Times New Roman" w:cs="Times New Roman"/>
                        <w:color w:val="000000"/>
                        <w:sz w:val="18"/>
                        <w:szCs w:val="18"/>
                      </w:rPr>
                    </w:pPr>
                    <w:r>
                      <w:rPr>
                        <w:rFonts w:ascii="Times New Roman" w:cs="Times New Roman"/>
                        <w:color w:val="000000"/>
                        <w:sz w:val="18"/>
                        <w:szCs w:val="18"/>
                      </w:rPr>
                      <w:t>调整后金额</w:t>
                    </w:r>
                  </w:p>
                </w:tc>
                <w:tc>
                  <w:tcPr>
                    <w:tcW w:w="1176" w:type="pct"/>
                    <w:shd w:val="clear" w:color="auto" w:fill="auto"/>
                    <w:vAlign w:val="center"/>
                  </w:tcPr>
                  <w:p>
                    <w:pPr>
                      <w:spacing w:line="460" w:lineRule="exact"/>
                      <w:jc w:val="center"/>
                      <w:rPr>
                        <w:rFonts w:ascii="Times New Roman" w:hAnsi="Times New Roman" w:cs="Times New Roman"/>
                        <w:color w:val="000000"/>
                        <w:sz w:val="18"/>
                        <w:szCs w:val="18"/>
                      </w:rPr>
                    </w:pPr>
                    <w:r>
                      <w:rPr>
                        <w:rFonts w:ascii="Times New Roman" w:cs="Times New Roman"/>
                        <w:color w:val="000000"/>
                        <w:sz w:val="18"/>
                        <w:szCs w:val="18"/>
                      </w:rPr>
                      <w:t>调整金额</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42" w:type="pct"/>
                    <w:shd w:val="clear" w:color="auto" w:fill="auto"/>
                    <w:vAlign w:val="center"/>
                  </w:tcPr>
                  <w:p>
                    <w:pPr>
                      <w:spacing w:line="460" w:lineRule="exact"/>
                      <w:rPr>
                        <w:rFonts w:ascii="Times New Roman" w:hAnsi="Times New Roman" w:cs="Times New Roman"/>
                        <w:color w:val="000000"/>
                        <w:sz w:val="18"/>
                        <w:szCs w:val="18"/>
                      </w:rPr>
                    </w:pPr>
                    <w:r>
                      <w:rPr>
                        <w:rFonts w:ascii="Times New Roman" w:cs="Times New Roman"/>
                        <w:color w:val="000000"/>
                        <w:sz w:val="18"/>
                        <w:szCs w:val="18"/>
                      </w:rPr>
                      <w:t>营业成本</w:t>
                    </w:r>
                  </w:p>
                </w:tc>
                <w:tc>
                  <w:tcPr>
                    <w:tcW w:w="1192" w:type="pct"/>
                    <w:shd w:val="clear" w:color="auto" w:fill="auto"/>
                    <w:noWrap/>
                    <w:vAlign w:val="bottom"/>
                  </w:tcPr>
                  <w:p>
                    <w:pPr>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516,506,318.74</w:t>
                    </w:r>
                  </w:p>
                </w:tc>
                <w:tc>
                  <w:tcPr>
                    <w:tcW w:w="1490" w:type="pct"/>
                    <w:shd w:val="clear" w:color="auto" w:fill="auto"/>
                    <w:vAlign w:val="bottom"/>
                  </w:tcPr>
                  <w:p>
                    <w:pPr>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535,590,923.83</w:t>
                    </w:r>
                  </w:p>
                </w:tc>
                <w:tc>
                  <w:tcPr>
                    <w:tcW w:w="1176" w:type="pct"/>
                    <w:shd w:val="clear" w:color="auto" w:fill="auto"/>
                    <w:vAlign w:val="bottom"/>
                  </w:tcPr>
                  <w:p>
                    <w:pPr>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-19,084,605.09</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42" w:type="pct"/>
                    <w:shd w:val="clear" w:color="auto" w:fill="auto"/>
                    <w:vAlign w:val="center"/>
                  </w:tcPr>
                  <w:p>
                    <w:pPr>
                      <w:spacing w:line="460" w:lineRule="exact"/>
                      <w:rPr>
                        <w:rFonts w:ascii="Times New Roman" w:hAnsi="Times New Roman" w:cs="Times New Roman"/>
                        <w:color w:val="000000"/>
                        <w:sz w:val="18"/>
                        <w:szCs w:val="18"/>
                      </w:rPr>
                    </w:pPr>
                    <w:r>
                      <w:rPr>
                        <w:rFonts w:ascii="Times New Roman" w:cs="Times New Roman"/>
                        <w:color w:val="000000"/>
                        <w:sz w:val="18"/>
                        <w:szCs w:val="18"/>
                      </w:rPr>
                      <w:t>销售费用</w:t>
                    </w:r>
                  </w:p>
                </w:tc>
                <w:tc>
                  <w:tcPr>
                    <w:tcW w:w="1192" w:type="pct"/>
                    <w:shd w:val="clear" w:color="auto" w:fill="auto"/>
                    <w:vAlign w:val="bottom"/>
                  </w:tcPr>
                  <w:p>
                    <w:pPr>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103,739,839.36</w:t>
                    </w:r>
                  </w:p>
                </w:tc>
                <w:tc>
                  <w:tcPr>
                    <w:tcW w:w="1490" w:type="pct"/>
                    <w:shd w:val="clear" w:color="auto" w:fill="auto"/>
                    <w:vAlign w:val="bottom"/>
                  </w:tcPr>
                  <w:p>
                    <w:pPr>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84,655,234.27</w:t>
                    </w:r>
                  </w:p>
                </w:tc>
                <w:tc>
                  <w:tcPr>
                    <w:tcW w:w="1176" w:type="pct"/>
                    <w:shd w:val="clear" w:color="auto" w:fill="auto"/>
                    <w:noWrap/>
                    <w:vAlign w:val="bottom"/>
                  </w:tcPr>
                  <w:p>
                    <w:pPr>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19,084,605.09</w:t>
                    </w:r>
                  </w:p>
                </w:tc>
              </w:tr>
            </w:tbl>
            <w:p>
              <w:pPr>
                <w:autoSpaceDE w:val="0"/>
                <w:autoSpaceDN w:val="0"/>
                <w:adjustRightInd w:val="0"/>
                <w:spacing w:line="400" w:lineRule="exact"/>
                <w:ind w:firstLine="420" w:firstLineChars="200"/>
                <w:rPr>
                  <w:rFonts w:ascii="Times New Roman" w:hAnsi="Times New Roman" w:cs="Times New Roman"/>
                  <w:szCs w:val="21"/>
                  <w:lang w:val="zh-CN"/>
                </w:rPr>
              </w:pPr>
              <w:r>
                <w:rPr>
                  <w:rFonts w:hint="eastAsia" w:ascii="Times New Roman" w:hAnsi="Times New Roman" w:cs="Times New Roman"/>
                  <w:szCs w:val="21"/>
                  <w:lang w:val="zh-CN"/>
                </w:rPr>
                <w:t xml:space="preserve">（2）对母公司财务报表的影响 </w:t>
              </w:r>
            </w:p>
            <w:tbl>
              <w:tblPr>
                <w:tblStyle w:val="37"/>
                <w:tblW w:w="5000" w:type="pct"/>
                <w:tblInd w:w="0" w:type="dxa"/>
                <w:tblBorders>
                  <w:top w:val="single" w:color="auto" w:sz="8" w:space="0"/>
                  <w:left w:val="none" w:color="auto" w:sz="0" w:space="0"/>
                  <w:bottom w:val="single" w:color="auto" w:sz="8"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124"/>
                <w:gridCol w:w="2125"/>
                <w:gridCol w:w="2673"/>
                <w:gridCol w:w="2127"/>
              </w:tblGrid>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74" w:type="pct"/>
                    <w:vMerge w:val="restart"/>
                    <w:shd w:val="clear" w:color="auto" w:fill="auto"/>
                    <w:vAlign w:val="center"/>
                  </w:tcPr>
                  <w:p>
                    <w:pPr>
                      <w:spacing w:line="500" w:lineRule="exact"/>
                      <w:ind w:firstLine="180" w:firstLineChars="100"/>
                      <w:jc w:val="center"/>
                      <w:rPr>
                        <w:color w:val="000000"/>
                        <w:sz w:val="18"/>
                        <w:szCs w:val="18"/>
                      </w:rPr>
                    </w:pPr>
                    <w:r>
                      <w:rPr>
                        <w:rFonts w:hint="eastAsia"/>
                        <w:color w:val="000000"/>
                        <w:sz w:val="18"/>
                        <w:szCs w:val="18"/>
                      </w:rPr>
                      <w:t>项目</w:t>
                    </w:r>
                  </w:p>
                </w:tc>
                <w:tc>
                  <w:tcPr>
                    <w:tcW w:w="3826" w:type="pct"/>
                    <w:gridSpan w:val="3"/>
                    <w:shd w:val="clear" w:color="auto" w:fill="auto"/>
                    <w:vAlign w:val="center"/>
                  </w:tcPr>
                  <w:p>
                    <w:pPr>
                      <w:spacing w:line="500" w:lineRule="exact"/>
                      <w:jc w:val="center"/>
                      <w:rPr>
                        <w:color w:val="000000"/>
                        <w:sz w:val="18"/>
                        <w:szCs w:val="18"/>
                      </w:rPr>
                    </w:pPr>
                    <w:r>
                      <w:rPr>
                        <w:rFonts w:hint="eastAsia"/>
                        <w:color w:val="000000"/>
                        <w:sz w:val="18"/>
                        <w:szCs w:val="18"/>
                      </w:rPr>
                      <w:t>2020年度利润表</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10" w:hRule="atLeast"/>
                </w:trPr>
                <w:tc>
                  <w:tcPr>
                    <w:tcW w:w="1174" w:type="pct"/>
                    <w:vMerge w:val="continue"/>
                    <w:vAlign w:val="center"/>
                  </w:tcPr>
                  <w:p>
                    <w:pPr>
                      <w:spacing w:line="500" w:lineRule="exact"/>
                      <w:rPr>
                        <w:color w:val="000000"/>
                        <w:sz w:val="18"/>
                        <w:szCs w:val="18"/>
                      </w:rPr>
                    </w:pPr>
                  </w:p>
                </w:tc>
                <w:tc>
                  <w:tcPr>
                    <w:tcW w:w="1174" w:type="pct"/>
                    <w:shd w:val="clear" w:color="auto" w:fill="auto"/>
                    <w:vAlign w:val="center"/>
                  </w:tcPr>
                  <w:p>
                    <w:pPr>
                      <w:spacing w:line="500" w:lineRule="exact"/>
                      <w:jc w:val="center"/>
                      <w:rPr>
                        <w:color w:val="000000"/>
                        <w:sz w:val="18"/>
                        <w:szCs w:val="18"/>
                      </w:rPr>
                    </w:pPr>
                    <w:r>
                      <w:rPr>
                        <w:rFonts w:hint="eastAsia"/>
                        <w:color w:val="000000"/>
                        <w:sz w:val="18"/>
                        <w:szCs w:val="18"/>
                      </w:rPr>
                      <w:t>调整前金额</w:t>
                    </w:r>
                  </w:p>
                </w:tc>
                <w:tc>
                  <w:tcPr>
                    <w:tcW w:w="1477" w:type="pct"/>
                    <w:shd w:val="clear" w:color="auto" w:fill="auto"/>
                    <w:vAlign w:val="center"/>
                  </w:tcPr>
                  <w:p>
                    <w:pPr>
                      <w:spacing w:line="500" w:lineRule="exact"/>
                      <w:jc w:val="center"/>
                      <w:rPr>
                        <w:color w:val="000000"/>
                        <w:sz w:val="18"/>
                        <w:szCs w:val="18"/>
                      </w:rPr>
                    </w:pPr>
                    <w:r>
                      <w:rPr>
                        <w:rFonts w:hint="eastAsia"/>
                        <w:color w:val="000000"/>
                        <w:sz w:val="18"/>
                        <w:szCs w:val="18"/>
                      </w:rPr>
                      <w:t>调整后金额</w:t>
                    </w:r>
                  </w:p>
                </w:tc>
                <w:tc>
                  <w:tcPr>
                    <w:tcW w:w="1175" w:type="pct"/>
                    <w:shd w:val="clear" w:color="auto" w:fill="auto"/>
                    <w:vAlign w:val="center"/>
                  </w:tcPr>
                  <w:p>
                    <w:pPr>
                      <w:spacing w:line="500" w:lineRule="exact"/>
                      <w:jc w:val="center"/>
                      <w:rPr>
                        <w:color w:val="000000"/>
                        <w:sz w:val="18"/>
                        <w:szCs w:val="18"/>
                      </w:rPr>
                    </w:pPr>
                    <w:r>
                      <w:rPr>
                        <w:rFonts w:hint="eastAsia"/>
                        <w:color w:val="000000"/>
                        <w:sz w:val="18"/>
                        <w:szCs w:val="18"/>
                      </w:rPr>
                      <w:t>调整金额</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74" w:type="pct"/>
                    <w:shd w:val="clear" w:color="auto" w:fill="auto"/>
                    <w:vAlign w:val="center"/>
                  </w:tcPr>
                  <w:p>
                    <w:pPr>
                      <w:spacing w:line="500" w:lineRule="exact"/>
                      <w:rPr>
                        <w:color w:val="000000"/>
                        <w:sz w:val="18"/>
                        <w:szCs w:val="18"/>
                      </w:rPr>
                    </w:pPr>
                    <w:r>
                      <w:rPr>
                        <w:rFonts w:hint="eastAsia"/>
                        <w:color w:val="000000"/>
                        <w:sz w:val="18"/>
                        <w:szCs w:val="18"/>
                      </w:rPr>
                      <w:t>营业成本</w:t>
                    </w:r>
                  </w:p>
                </w:tc>
                <w:tc>
                  <w:tcPr>
                    <w:tcW w:w="1174" w:type="pct"/>
                    <w:shd w:val="clear" w:color="auto" w:fill="auto"/>
                    <w:noWrap/>
                    <w:vAlign w:val="bottom"/>
                  </w:tcPr>
                  <w:p>
                    <w:pPr>
                      <w:spacing w:line="500" w:lineRule="exact"/>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96,661,203.69</w:t>
                    </w:r>
                  </w:p>
                </w:tc>
                <w:tc>
                  <w:tcPr>
                    <w:tcW w:w="1477" w:type="pct"/>
                    <w:shd w:val="clear" w:color="auto" w:fill="auto"/>
                    <w:vAlign w:val="bottom"/>
                  </w:tcPr>
                  <w:p>
                    <w:pPr>
                      <w:spacing w:line="500" w:lineRule="exact"/>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103,087,965.93</w:t>
                    </w:r>
                  </w:p>
                </w:tc>
                <w:tc>
                  <w:tcPr>
                    <w:tcW w:w="1175" w:type="pct"/>
                    <w:shd w:val="clear" w:color="auto" w:fill="auto"/>
                    <w:vAlign w:val="bottom"/>
                  </w:tcPr>
                  <w:p>
                    <w:pPr>
                      <w:spacing w:line="500" w:lineRule="exact"/>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6,426,762.24</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1174" w:type="pct"/>
                    <w:shd w:val="clear" w:color="auto" w:fill="auto"/>
                    <w:vAlign w:val="center"/>
                  </w:tcPr>
                  <w:p>
                    <w:pPr>
                      <w:spacing w:line="500" w:lineRule="exact"/>
                      <w:rPr>
                        <w:color w:val="000000"/>
                        <w:sz w:val="18"/>
                        <w:szCs w:val="18"/>
                      </w:rPr>
                    </w:pPr>
                    <w:r>
                      <w:rPr>
                        <w:color w:val="000000"/>
                        <w:sz w:val="18"/>
                        <w:szCs w:val="18"/>
                      </w:rPr>
                      <w:t>销售费用</w:t>
                    </w:r>
                  </w:p>
                </w:tc>
                <w:tc>
                  <w:tcPr>
                    <w:tcW w:w="1174" w:type="pct"/>
                    <w:shd w:val="clear" w:color="auto" w:fill="auto"/>
                    <w:vAlign w:val="bottom"/>
                  </w:tcPr>
                  <w:p>
                    <w:pPr>
                      <w:spacing w:line="500" w:lineRule="exact"/>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54,300,514.38</w:t>
                    </w:r>
                  </w:p>
                </w:tc>
                <w:tc>
                  <w:tcPr>
                    <w:tcW w:w="1477" w:type="pct"/>
                    <w:shd w:val="clear" w:color="auto" w:fill="auto"/>
                    <w:vAlign w:val="bottom"/>
                  </w:tcPr>
                  <w:p>
                    <w:pPr>
                      <w:spacing w:line="500" w:lineRule="exact"/>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47,873,752.14</w:t>
                    </w:r>
                  </w:p>
                </w:tc>
                <w:tc>
                  <w:tcPr>
                    <w:tcW w:w="1175" w:type="pct"/>
                    <w:shd w:val="clear" w:color="auto" w:fill="auto"/>
                    <w:noWrap/>
                    <w:vAlign w:val="bottom"/>
                  </w:tcPr>
                  <w:p>
                    <w:pPr>
                      <w:spacing w:line="500" w:lineRule="exact"/>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-6,426,762.24</w:t>
                    </w:r>
                  </w:p>
                </w:tc>
              </w:tr>
            </w:tbl>
            <w:p>
              <w:pPr>
                <w:autoSpaceDE w:val="0"/>
                <w:autoSpaceDN w:val="0"/>
                <w:adjustRightInd w:val="0"/>
                <w:spacing w:line="400" w:lineRule="exact"/>
                <w:ind w:firstLine="420" w:firstLineChars="200"/>
                <w:rPr>
                  <w:rFonts w:ascii="Times New Roman" w:hAnsi="Times New Roman" w:cs="Times New Roman"/>
                  <w:szCs w:val="21"/>
                  <w:lang w:val="zh-CN"/>
                </w:rPr>
              </w:pPr>
              <w:r>
                <w:rPr>
                  <w:rFonts w:ascii="Times New Roman" w:hAnsi="Times New Roman" w:cs="Times New Roman"/>
                  <w:szCs w:val="21"/>
                  <w:lang w:val="zh-CN"/>
                </w:rPr>
                <w:fldChar w:fldCharType="begin"/>
              </w:r>
              <w:r>
                <w:rPr>
                  <w:rFonts w:ascii="Times New Roman" w:hAnsi="Times New Roman" w:cs="Times New Roman"/>
                  <w:szCs w:val="21"/>
                  <w:lang w:val="zh-CN"/>
                </w:rPr>
                <w:instrText xml:space="preserve"> = 2 \* GB3 </w:instrText>
              </w:r>
              <w:r>
                <w:rPr>
                  <w:rFonts w:ascii="Times New Roman" w:hAnsi="Times New Roman" w:cs="Times New Roman"/>
                  <w:szCs w:val="21"/>
                  <w:lang w:val="zh-CN"/>
                </w:rPr>
                <w:fldChar w:fldCharType="separate"/>
              </w:r>
              <w:r>
                <w:rPr>
                  <w:rFonts w:ascii="Times New Roman" w:cs="Times New Roman"/>
                  <w:szCs w:val="21"/>
                  <w:lang w:val="zh-CN"/>
                </w:rPr>
                <w:t>②</w:t>
              </w:r>
              <w:r>
                <w:rPr>
                  <w:rFonts w:ascii="Times New Roman" w:hAnsi="Times New Roman" w:cs="Times New Roman"/>
                  <w:szCs w:val="21"/>
                  <w:lang w:val="zh-CN"/>
                </w:rPr>
                <w:fldChar w:fldCharType="end"/>
              </w:r>
              <w:r>
                <w:rPr>
                  <w:rFonts w:ascii="Times New Roman" w:cs="Times New Roman"/>
                  <w:szCs w:val="21"/>
                  <w:lang w:val="zh-CN"/>
                </w:rPr>
                <w:t>执行《企业会计准则第</w:t>
              </w:r>
              <w:r>
                <w:rPr>
                  <w:rFonts w:ascii="Times New Roman" w:hAnsi="Times New Roman" w:cs="Times New Roman"/>
                  <w:szCs w:val="21"/>
                  <w:lang w:val="zh-CN"/>
                </w:rPr>
                <w:t>21</w:t>
              </w:r>
              <w:r>
                <w:rPr>
                  <w:rFonts w:ascii="Times New Roman" w:cs="Times New Roman"/>
                  <w:szCs w:val="21"/>
                  <w:lang w:val="zh-CN"/>
                </w:rPr>
                <w:t>号</w:t>
              </w:r>
              <w:r>
                <w:rPr>
                  <w:rFonts w:ascii="Times New Roman" w:hAnsi="Times New Roman" w:cs="Times New Roman"/>
                  <w:szCs w:val="21"/>
                  <w:lang w:val="zh-CN"/>
                </w:rPr>
                <w:t>——</w:t>
              </w:r>
              <w:r>
                <w:rPr>
                  <w:rFonts w:ascii="Times New Roman" w:cs="Times New Roman"/>
                  <w:szCs w:val="21"/>
                  <w:lang w:val="zh-CN"/>
                </w:rPr>
                <w:t>租赁》（修订）</w:t>
              </w:r>
            </w:p>
            <w:p>
              <w:pPr>
                <w:autoSpaceDE w:val="0"/>
                <w:autoSpaceDN w:val="0"/>
                <w:adjustRightInd w:val="0"/>
                <w:spacing w:line="400" w:lineRule="exact"/>
                <w:ind w:firstLine="420" w:firstLineChars="200"/>
                <w:rPr>
                  <w:rFonts w:ascii="Times New Roman" w:cs="Times New Roman"/>
                  <w:szCs w:val="21"/>
                  <w:lang w:val="zh-CN"/>
                </w:rPr>
              </w:pPr>
              <w:r>
                <w:rPr>
                  <w:rFonts w:hint="eastAsia" w:ascii="Times New Roman" w:cs="Times New Roman"/>
                  <w:szCs w:val="21"/>
                  <w:lang w:val="zh-CN"/>
                </w:rPr>
                <w:t>本公司自</w:t>
              </w:r>
              <w:r>
                <w:rPr>
                  <w:rFonts w:ascii="Times New Roman" w:cs="Times New Roman"/>
                  <w:szCs w:val="21"/>
                  <w:lang w:val="zh-CN"/>
                </w:rPr>
                <w:t xml:space="preserve"> 2021年1月1日起执行财政部于2018年颁布的《企业会计准第21号——租赁（修订），对会计政策相关内容进行了调整，根据新旧准则衔接规定，按照《企业会计准则第28号——会计政策、会计估计变更和差错更正》的规定采用追溯调整法处理。</w:t>
              </w:r>
            </w:p>
            <w:p>
              <w:pPr>
                <w:autoSpaceDE w:val="0"/>
                <w:autoSpaceDN w:val="0"/>
                <w:adjustRightInd w:val="0"/>
                <w:spacing w:line="400" w:lineRule="exact"/>
                <w:ind w:firstLine="420" w:firstLineChars="200"/>
                <w:rPr>
                  <w:rFonts w:ascii="Times New Roman" w:hAnsi="Times New Roman" w:cs="Times New Roman"/>
                  <w:color w:val="000000"/>
                  <w:szCs w:val="21"/>
                </w:rPr>
              </w:pPr>
              <w:r>
                <w:rPr>
                  <w:rFonts w:hint="eastAsia" w:ascii="Times New Roman" w:cs="Times New Roman"/>
                  <w:szCs w:val="21"/>
                  <w:lang w:val="zh-CN"/>
                </w:rPr>
                <w:t>上述会计政策更正对各年度合并财务报表项目影响如下：</w:t>
              </w:r>
            </w:p>
            <w:tbl>
              <w:tblPr>
                <w:tblStyle w:val="107"/>
                <w:tblW w:w="9120" w:type="dxa"/>
                <w:tblInd w:w="9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700"/>
                <w:gridCol w:w="2140"/>
                <w:gridCol w:w="2140"/>
                <w:gridCol w:w="214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tblHeader/>
                </w:trPr>
                <w:tc>
                  <w:tcPr>
                    <w:tcW w:w="2700" w:type="dxa"/>
                    <w:vMerge w:val="restart"/>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项目</w:t>
                    </w:r>
                  </w:p>
                </w:tc>
                <w:tc>
                  <w:tcPr>
                    <w:tcW w:w="6420" w:type="dxa"/>
                    <w:gridSpan w:val="3"/>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合并资产负债表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tblHeader/>
                </w:trPr>
                <w:tc>
                  <w:tcPr>
                    <w:tcW w:w="2700" w:type="dxa"/>
                    <w:vMerge w:val="continue"/>
                    <w:vAlign w:val="center"/>
                  </w:tcPr>
                  <w:p>
                    <w:pPr>
                      <w:spacing w:line="480" w:lineRule="exact"/>
                      <w:rPr>
                        <w:rFonts w:ascii="Times New Roman" w:hAnsi="Times New Roman" w:cs="Times New Roman"/>
                        <w:color w:val="000000"/>
                        <w:sz w:val="18"/>
                        <w:szCs w:val="18"/>
                      </w:rPr>
                    </w:pPr>
                  </w:p>
                </w:tc>
                <w:tc>
                  <w:tcPr>
                    <w:tcW w:w="2140" w:type="dxa"/>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hAnsi="Times New Roman" w:cs="Times New Roman"/>
                        <w:color w:val="000000"/>
                        <w:sz w:val="18"/>
                        <w:szCs w:val="18"/>
                      </w:rPr>
                      <w:t>2020</w:t>
                    </w:r>
                    <w:r>
                      <w:rPr>
                        <w:rFonts w:ascii="Times New Roman" w:cs="Times New Roman"/>
                        <w:color w:val="000000"/>
                        <w:sz w:val="18"/>
                        <w:szCs w:val="18"/>
                      </w:rPr>
                      <w:t>年</w:t>
                    </w:r>
                    <w:r>
                      <w:rPr>
                        <w:rFonts w:ascii="Times New Roman" w:hAnsi="Times New Roman" w:cs="Times New Roman"/>
                        <w:color w:val="000000"/>
                        <w:sz w:val="18"/>
                        <w:szCs w:val="18"/>
                      </w:rPr>
                      <w:t>12</w:t>
                    </w:r>
                    <w:r>
                      <w:rPr>
                        <w:rFonts w:ascii="Times New Roman" w:cs="Times New Roman"/>
                        <w:color w:val="000000"/>
                        <w:sz w:val="18"/>
                        <w:szCs w:val="18"/>
                      </w:rPr>
                      <w:t>月</w:t>
                    </w:r>
                    <w:r>
                      <w:rPr>
                        <w:rFonts w:ascii="Times New Roman" w:hAnsi="Times New Roman" w:cs="Times New Roman"/>
                        <w:color w:val="000000"/>
                        <w:sz w:val="18"/>
                        <w:szCs w:val="18"/>
                      </w:rPr>
                      <w:t>31</w:t>
                    </w:r>
                    <w:r>
                      <w:rPr>
                        <w:rFonts w:ascii="Times New Roman" w:cs="Times New Roman"/>
                        <w:color w:val="000000"/>
                        <w:sz w:val="18"/>
                        <w:szCs w:val="18"/>
                      </w:rPr>
                      <w:t>日</w:t>
                    </w:r>
                  </w:p>
                </w:tc>
                <w:tc>
                  <w:tcPr>
                    <w:tcW w:w="2140" w:type="dxa"/>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新租赁准则调整影响</w:t>
                    </w:r>
                  </w:p>
                </w:tc>
                <w:tc>
                  <w:tcPr>
                    <w:tcW w:w="2140" w:type="dxa"/>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r>
                      <w:rPr>
                        <w:rFonts w:ascii="Times New Roman" w:cs="Times New Roman"/>
                        <w:color w:val="000000"/>
                        <w:sz w:val="18"/>
                        <w:szCs w:val="18"/>
                      </w:rPr>
                      <w:t>年</w:t>
                    </w:r>
                    <w:r>
                      <w:rPr>
                        <w:rFonts w:ascii="Times New Roman" w:hAnsi="Times New Roman" w:cs="Times New Roman"/>
                        <w:color w:val="000000"/>
                        <w:sz w:val="18"/>
                        <w:szCs w:val="18"/>
                      </w:rPr>
                      <w:t>1</w:t>
                    </w:r>
                    <w:r>
                      <w:rPr>
                        <w:rFonts w:ascii="Times New Roman" w:cs="Times New Roman"/>
                        <w:color w:val="000000"/>
                        <w:sz w:val="18"/>
                        <w:szCs w:val="18"/>
                      </w:rPr>
                      <w:t>月</w:t>
                    </w:r>
                    <w:r>
                      <w:rPr>
                        <w:rFonts w:ascii="Times New Roman" w:hAnsi="Times New Roman" w:cs="Times New Roman"/>
                        <w:color w:val="000000"/>
                        <w:sz w:val="18"/>
                        <w:szCs w:val="18"/>
                      </w:rPr>
                      <w:t>1</w:t>
                    </w:r>
                    <w:r>
                      <w:rPr>
                        <w:rFonts w:ascii="Times New Roman" w:cs="Times New Roman"/>
                        <w:color w:val="000000"/>
                        <w:sz w:val="18"/>
                        <w:szCs w:val="18"/>
                      </w:rPr>
                      <w:t>日</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trPr>
                <w:tc>
                  <w:tcPr>
                    <w:tcW w:w="2700" w:type="dxa"/>
                    <w:shd w:val="clear" w:color="auto" w:fill="auto"/>
                    <w:vAlign w:val="center"/>
                  </w:tcPr>
                  <w:p>
                    <w:pPr>
                      <w:spacing w:line="480" w:lineRule="exact"/>
                      <w:ind w:firstLine="180" w:firstLineChars="100"/>
                      <w:rPr>
                        <w:rFonts w:ascii="Times New Roman" w:hAnsi="Times New Roman" w:cs="Times New Roman"/>
                        <w:color w:val="000000"/>
                        <w:sz w:val="18"/>
                        <w:szCs w:val="18"/>
                      </w:rPr>
                    </w:pPr>
                    <w:r>
                      <w:rPr>
                        <w:rFonts w:ascii="Times New Roman" w:cs="Times New Roman"/>
                        <w:color w:val="000000"/>
                        <w:sz w:val="18"/>
                        <w:szCs w:val="18"/>
                      </w:rPr>
                      <w:t>其他流动资产</w:t>
                    </w:r>
                  </w:p>
                </w:tc>
                <w:tc>
                  <w:tcPr>
                    <w:tcW w:w="2140" w:type="dxa"/>
                    <w:shd w:val="clear" w:color="auto" w:fill="auto"/>
                    <w:noWrap/>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4,486,019.37</w:t>
                    </w:r>
                  </w:p>
                </w:tc>
                <w:tc>
                  <w:tcPr>
                    <w:tcW w:w="2140" w:type="dxa"/>
                    <w:shd w:val="clear" w:color="auto" w:fill="auto"/>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-430,320.00</w:t>
                    </w:r>
                  </w:p>
                </w:tc>
                <w:tc>
                  <w:tcPr>
                    <w:tcW w:w="2140" w:type="dxa"/>
                    <w:shd w:val="clear" w:color="auto" w:fill="auto"/>
                    <w:vAlign w:val="center"/>
                  </w:tcPr>
                  <w:p>
                    <w:pPr>
                      <w:spacing w:line="480" w:lineRule="exact"/>
                      <w:ind w:firstLine="180" w:firstLineChars="100"/>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4,055,699.37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trPr>
                <w:tc>
                  <w:tcPr>
                    <w:tcW w:w="2700" w:type="dxa"/>
                    <w:shd w:val="clear" w:color="auto" w:fill="auto"/>
                    <w:vAlign w:val="center"/>
                  </w:tcPr>
                  <w:p>
                    <w:pPr>
                      <w:spacing w:line="480" w:lineRule="exact"/>
                      <w:ind w:firstLine="180" w:firstLineChars="100"/>
                      <w:rPr>
                        <w:rFonts w:ascii="Times New Roman" w:hAnsi="Times New Roman" w:cs="Times New Roman"/>
                        <w:color w:val="000000"/>
                        <w:sz w:val="18"/>
                        <w:szCs w:val="18"/>
                      </w:rPr>
                    </w:pPr>
                    <w:r>
                      <w:rPr>
                        <w:rFonts w:ascii="Times New Roman" w:cs="Times New Roman"/>
                        <w:color w:val="000000"/>
                        <w:sz w:val="18"/>
                        <w:szCs w:val="18"/>
                      </w:rPr>
                      <w:t>使用权资产</w:t>
                    </w:r>
                  </w:p>
                </w:tc>
                <w:tc>
                  <w:tcPr>
                    <w:tcW w:w="2140" w:type="dxa"/>
                    <w:shd w:val="clear" w:color="auto" w:fill="auto"/>
                    <w:noWrap/>
                    <w:vAlign w:val="center"/>
                  </w:tcPr>
                  <w:p>
                    <w:pPr>
                      <w:spacing w:line="480" w:lineRule="exact"/>
                      <w:jc w:val="right"/>
                      <w:rPr>
                        <w:rFonts w:ascii="Times New Roman" w:hAnsi="Times New Roman" w:cs="Times New Roman" w:eastAsiaTheme="minorEastAsia"/>
                        <w:color w:val="000000"/>
                        <w:sz w:val="18"/>
                        <w:szCs w:val="18"/>
                      </w:rPr>
                    </w:pPr>
                    <w:r>
                      <w:rPr>
                        <w:rFonts w:ascii="Times New Roman" w:cs="Times New Roman" w:hAnsiTheme="minorEastAsia" w:eastAsiaTheme="minorEastAsia"/>
                        <w:color w:val="000000"/>
                        <w:sz w:val="18"/>
                        <w:szCs w:val="18"/>
                      </w:rPr>
                      <w:t>　</w:t>
                    </w:r>
                  </w:p>
                </w:tc>
                <w:tc>
                  <w:tcPr>
                    <w:tcW w:w="2140" w:type="dxa"/>
                    <w:shd w:val="clear" w:color="auto" w:fill="auto"/>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2,454,860.59</w:t>
                    </w:r>
                  </w:p>
                </w:tc>
                <w:tc>
                  <w:tcPr>
                    <w:tcW w:w="2140" w:type="dxa"/>
                    <w:shd w:val="clear" w:color="auto" w:fill="auto"/>
                    <w:vAlign w:val="center"/>
                  </w:tcPr>
                  <w:p>
                    <w:pPr>
                      <w:spacing w:line="480" w:lineRule="exact"/>
                      <w:ind w:firstLine="180" w:firstLineChars="100"/>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2,454,860.59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trPr>
                <w:tc>
                  <w:tcPr>
                    <w:tcW w:w="2700" w:type="dxa"/>
                    <w:shd w:val="clear" w:color="auto" w:fill="auto"/>
                    <w:vAlign w:val="center"/>
                  </w:tcPr>
                  <w:p>
                    <w:pPr>
                      <w:spacing w:line="480" w:lineRule="exact"/>
                      <w:ind w:firstLine="180" w:firstLineChars="100"/>
                      <w:rPr>
                        <w:rFonts w:ascii="Times New Roman" w:hAnsi="Times New Roman" w:cs="Times New Roman"/>
                        <w:color w:val="000000"/>
                        <w:sz w:val="18"/>
                        <w:szCs w:val="18"/>
                      </w:rPr>
                    </w:pPr>
                    <w:r>
                      <w:rPr>
                        <w:rFonts w:ascii="Times New Roman" w:cs="Times New Roman"/>
                        <w:color w:val="000000"/>
                        <w:sz w:val="18"/>
                        <w:szCs w:val="18"/>
                      </w:rPr>
                      <w:t>一年内到期的非流动负债</w:t>
                    </w:r>
                  </w:p>
                </w:tc>
                <w:tc>
                  <w:tcPr>
                    <w:tcW w:w="2140" w:type="dxa"/>
                    <w:shd w:val="clear" w:color="auto" w:fill="auto"/>
                    <w:noWrap/>
                    <w:vAlign w:val="center"/>
                  </w:tcPr>
                  <w:p>
                    <w:pPr>
                      <w:spacing w:line="480" w:lineRule="exact"/>
                      <w:jc w:val="right"/>
                      <w:rPr>
                        <w:rFonts w:ascii="Times New Roman" w:hAnsi="Times New Roman" w:cs="Times New Roman" w:eastAsiaTheme="minorEastAsia"/>
                        <w:color w:val="000000"/>
                        <w:sz w:val="18"/>
                        <w:szCs w:val="18"/>
                      </w:rPr>
                    </w:pPr>
                    <w:r>
                      <w:rPr>
                        <w:rFonts w:ascii="Times New Roman" w:cs="Times New Roman" w:hAnsiTheme="minorEastAsia" w:eastAsiaTheme="minorEastAsia"/>
                        <w:color w:val="000000"/>
                        <w:sz w:val="18"/>
                        <w:szCs w:val="18"/>
                      </w:rPr>
                      <w:t>　</w:t>
                    </w:r>
                  </w:p>
                </w:tc>
                <w:tc>
                  <w:tcPr>
                    <w:tcW w:w="2140" w:type="dxa"/>
                    <w:shd w:val="clear" w:color="auto" w:fill="auto"/>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809,875.55</w:t>
                    </w:r>
                  </w:p>
                </w:tc>
                <w:tc>
                  <w:tcPr>
                    <w:tcW w:w="2140" w:type="dxa"/>
                    <w:shd w:val="clear" w:color="auto" w:fill="auto"/>
                    <w:vAlign w:val="center"/>
                  </w:tcPr>
                  <w:p>
                    <w:pPr>
                      <w:spacing w:line="480" w:lineRule="exact"/>
                      <w:ind w:firstLine="180" w:firstLineChars="100"/>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809,875.55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trPr>
                <w:tc>
                  <w:tcPr>
                    <w:tcW w:w="2700" w:type="dxa"/>
                    <w:shd w:val="clear" w:color="auto" w:fill="auto"/>
                    <w:vAlign w:val="center"/>
                  </w:tcPr>
                  <w:p>
                    <w:pPr>
                      <w:spacing w:line="480" w:lineRule="exact"/>
                      <w:ind w:firstLine="180" w:firstLineChars="100"/>
                      <w:rPr>
                        <w:rFonts w:ascii="Times New Roman" w:hAnsi="Times New Roman" w:cs="Times New Roman"/>
                        <w:color w:val="000000"/>
                        <w:sz w:val="18"/>
                        <w:szCs w:val="18"/>
                      </w:rPr>
                    </w:pPr>
                    <w:r>
                      <w:rPr>
                        <w:rFonts w:ascii="Times New Roman" w:cs="Times New Roman"/>
                        <w:color w:val="000000"/>
                        <w:sz w:val="18"/>
                        <w:szCs w:val="18"/>
                      </w:rPr>
                      <w:t>其他流动负债</w:t>
                    </w:r>
                  </w:p>
                </w:tc>
                <w:tc>
                  <w:tcPr>
                    <w:tcW w:w="2140" w:type="dxa"/>
                    <w:shd w:val="clear" w:color="auto" w:fill="auto"/>
                    <w:noWrap/>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24,652,879.75</w:t>
                    </w:r>
                  </w:p>
                </w:tc>
                <w:tc>
                  <w:tcPr>
                    <w:tcW w:w="2140" w:type="dxa"/>
                    <w:shd w:val="clear" w:color="auto" w:fill="auto"/>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203,040.00</w:t>
                    </w:r>
                  </w:p>
                </w:tc>
                <w:tc>
                  <w:tcPr>
                    <w:tcW w:w="2140" w:type="dxa"/>
                    <w:shd w:val="clear" w:color="auto" w:fill="auto"/>
                    <w:vAlign w:val="center"/>
                  </w:tcPr>
                  <w:p>
                    <w:pPr>
                      <w:spacing w:line="480" w:lineRule="exact"/>
                      <w:ind w:firstLine="180" w:firstLineChars="100"/>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24,855,919.75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trPr>
                <w:tc>
                  <w:tcPr>
                    <w:tcW w:w="2700" w:type="dxa"/>
                    <w:shd w:val="clear" w:color="auto" w:fill="auto"/>
                    <w:vAlign w:val="center"/>
                  </w:tcPr>
                  <w:p>
                    <w:pPr>
                      <w:spacing w:line="480" w:lineRule="exact"/>
                      <w:ind w:firstLine="180" w:firstLineChars="100"/>
                      <w:rPr>
                        <w:rFonts w:ascii="Times New Roman" w:hAnsi="Times New Roman" w:cs="Times New Roman"/>
                        <w:color w:val="000000"/>
                        <w:sz w:val="18"/>
                        <w:szCs w:val="18"/>
                      </w:rPr>
                    </w:pPr>
                    <w:r>
                      <w:rPr>
                        <w:rFonts w:ascii="Times New Roman" w:cs="Times New Roman"/>
                        <w:color w:val="000000"/>
                        <w:sz w:val="18"/>
                        <w:szCs w:val="18"/>
                      </w:rPr>
                      <w:t>租赁负债</w:t>
                    </w:r>
                  </w:p>
                </w:tc>
                <w:tc>
                  <w:tcPr>
                    <w:tcW w:w="2140" w:type="dxa"/>
                    <w:shd w:val="clear" w:color="auto" w:fill="auto"/>
                    <w:noWrap/>
                    <w:vAlign w:val="center"/>
                  </w:tcPr>
                  <w:p>
                    <w:pPr>
                      <w:spacing w:line="480" w:lineRule="exact"/>
                      <w:jc w:val="right"/>
                      <w:rPr>
                        <w:rFonts w:ascii="Times New Roman" w:hAnsi="Times New Roman" w:cs="Times New Roman" w:eastAsiaTheme="minorEastAsia"/>
                        <w:color w:val="000000"/>
                        <w:sz w:val="18"/>
                        <w:szCs w:val="18"/>
                      </w:rPr>
                    </w:pPr>
                    <w:r>
                      <w:rPr>
                        <w:rFonts w:ascii="Times New Roman" w:cs="Times New Roman" w:hAnsiTheme="minorEastAsia" w:eastAsiaTheme="minorEastAsia"/>
                        <w:color w:val="000000"/>
                        <w:sz w:val="18"/>
                        <w:szCs w:val="18"/>
                      </w:rPr>
                      <w:t>　</w:t>
                    </w:r>
                  </w:p>
                </w:tc>
                <w:tc>
                  <w:tcPr>
                    <w:tcW w:w="2140" w:type="dxa"/>
                    <w:shd w:val="clear" w:color="auto" w:fill="auto"/>
                    <w:vAlign w:val="bottom"/>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1,314,619.89</w:t>
                    </w:r>
                  </w:p>
                </w:tc>
                <w:tc>
                  <w:tcPr>
                    <w:tcW w:w="2140" w:type="dxa"/>
                    <w:shd w:val="clear" w:color="auto" w:fill="auto"/>
                    <w:vAlign w:val="bottom"/>
                  </w:tcPr>
                  <w:p>
                    <w:pPr>
                      <w:spacing w:line="480" w:lineRule="exact"/>
                      <w:ind w:firstLine="180" w:firstLineChars="100"/>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1,314,619.89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trPr>
                <w:tc>
                  <w:tcPr>
                    <w:tcW w:w="2700" w:type="dxa"/>
                    <w:shd w:val="clear" w:color="auto" w:fill="auto"/>
                    <w:vAlign w:val="center"/>
                  </w:tcPr>
                  <w:p>
                    <w:pPr>
                      <w:spacing w:line="480" w:lineRule="exact"/>
                      <w:ind w:firstLine="180" w:firstLineChars="100"/>
                      <w:rPr>
                        <w:rFonts w:ascii="Times New Roman" w:hAnsi="Times New Roman" w:cs="Times New Roman"/>
                        <w:color w:val="000000"/>
                        <w:sz w:val="18"/>
                        <w:szCs w:val="18"/>
                      </w:rPr>
                    </w:pPr>
                    <w:r>
                      <w:rPr>
                        <w:rFonts w:ascii="Times New Roman" w:cs="Times New Roman"/>
                        <w:color w:val="000000"/>
                        <w:sz w:val="18"/>
                        <w:szCs w:val="18"/>
                      </w:rPr>
                      <w:t>盈余公积</w:t>
                    </w:r>
                  </w:p>
                </w:tc>
                <w:tc>
                  <w:tcPr>
                    <w:tcW w:w="2140" w:type="dxa"/>
                    <w:shd w:val="clear" w:color="auto" w:fill="auto"/>
                    <w:noWrap/>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245,652,148.24</w:t>
                    </w:r>
                  </w:p>
                </w:tc>
                <w:tc>
                  <w:tcPr>
                    <w:tcW w:w="2140" w:type="dxa"/>
                    <w:shd w:val="clear" w:color="auto" w:fill="auto"/>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-30,299.49</w:t>
                    </w:r>
                  </w:p>
                </w:tc>
                <w:tc>
                  <w:tcPr>
                    <w:tcW w:w="2140" w:type="dxa"/>
                    <w:shd w:val="clear" w:color="auto" w:fill="auto"/>
                    <w:vAlign w:val="center"/>
                  </w:tcPr>
                  <w:p>
                    <w:pPr>
                      <w:spacing w:line="480" w:lineRule="exact"/>
                      <w:ind w:firstLine="180" w:firstLineChars="100"/>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245,621,848.75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trPr>
                <w:tc>
                  <w:tcPr>
                    <w:tcW w:w="2700" w:type="dxa"/>
                    <w:shd w:val="clear" w:color="auto" w:fill="auto"/>
                    <w:vAlign w:val="center"/>
                  </w:tcPr>
                  <w:p>
                    <w:pPr>
                      <w:spacing w:line="480" w:lineRule="exact"/>
                      <w:ind w:firstLine="180" w:firstLineChars="100"/>
                      <w:rPr>
                        <w:rFonts w:ascii="Times New Roman" w:hAnsi="Times New Roman" w:cs="Times New Roman"/>
                        <w:color w:val="000000"/>
                        <w:sz w:val="18"/>
                        <w:szCs w:val="18"/>
                      </w:rPr>
                    </w:pPr>
                    <w:r>
                      <w:rPr>
                        <w:rFonts w:ascii="Times New Roman" w:cs="Times New Roman"/>
                        <w:color w:val="000000"/>
                        <w:sz w:val="18"/>
                        <w:szCs w:val="18"/>
                      </w:rPr>
                      <w:t>未分配利润</w:t>
                    </w:r>
                  </w:p>
                </w:tc>
                <w:tc>
                  <w:tcPr>
                    <w:tcW w:w="2140" w:type="dxa"/>
                    <w:shd w:val="clear" w:color="auto" w:fill="auto"/>
                    <w:noWrap/>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155,531,354.76</w:t>
                    </w:r>
                  </w:p>
                </w:tc>
                <w:tc>
                  <w:tcPr>
                    <w:tcW w:w="2140" w:type="dxa"/>
                    <w:shd w:val="clear" w:color="auto" w:fill="auto"/>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-253,909.68</w:t>
                    </w:r>
                  </w:p>
                </w:tc>
                <w:tc>
                  <w:tcPr>
                    <w:tcW w:w="2140" w:type="dxa"/>
                    <w:shd w:val="clear" w:color="auto" w:fill="auto"/>
                    <w:vAlign w:val="center"/>
                  </w:tcPr>
                  <w:p>
                    <w:pPr>
                      <w:spacing w:line="480" w:lineRule="exact"/>
                      <w:ind w:firstLine="180" w:firstLineChars="100"/>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155,277,445.08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trPr>
                <w:tc>
                  <w:tcPr>
                    <w:tcW w:w="2700" w:type="dxa"/>
                    <w:shd w:val="clear" w:color="auto" w:fill="auto"/>
                    <w:vAlign w:val="center"/>
                  </w:tcPr>
                  <w:p>
                    <w:pPr>
                      <w:spacing w:line="480" w:lineRule="exact"/>
                      <w:ind w:firstLine="180" w:firstLineChars="100"/>
                      <w:rPr>
                        <w:rFonts w:ascii="Times New Roman" w:hAnsi="Times New Roman" w:cs="Times New Roman"/>
                        <w:color w:val="000000"/>
                        <w:sz w:val="18"/>
                        <w:szCs w:val="18"/>
                      </w:rPr>
                    </w:pPr>
                    <w:r>
                      <w:rPr>
                        <w:rFonts w:ascii="Times New Roman" w:cs="Times New Roman"/>
                        <w:color w:val="000000"/>
                        <w:sz w:val="18"/>
                        <w:szCs w:val="18"/>
                      </w:rPr>
                      <w:t>少数股东权益</w:t>
                    </w:r>
                  </w:p>
                </w:tc>
                <w:tc>
                  <w:tcPr>
                    <w:tcW w:w="2140" w:type="dxa"/>
                    <w:shd w:val="clear" w:color="auto" w:fill="auto"/>
                    <w:noWrap/>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-6,007,034.75</w:t>
                    </w:r>
                  </w:p>
                </w:tc>
                <w:tc>
                  <w:tcPr>
                    <w:tcW w:w="2140" w:type="dxa"/>
                    <w:shd w:val="clear" w:color="auto" w:fill="auto"/>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-18,785.68</w:t>
                    </w:r>
                  </w:p>
                </w:tc>
                <w:tc>
                  <w:tcPr>
                    <w:tcW w:w="2140" w:type="dxa"/>
                    <w:shd w:val="clear" w:color="auto" w:fill="auto"/>
                    <w:vAlign w:val="center"/>
                  </w:tcPr>
                  <w:p>
                    <w:pPr>
                      <w:spacing w:line="480" w:lineRule="exact"/>
                      <w:ind w:firstLine="180" w:firstLineChars="100"/>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-6,025,820.43</w:t>
                    </w:r>
                  </w:p>
                </w:tc>
              </w:tr>
            </w:tbl>
            <w:p>
              <w:pPr>
                <w:autoSpaceDE w:val="0"/>
                <w:autoSpaceDN w:val="0"/>
                <w:adjustRightInd w:val="0"/>
                <w:spacing w:line="480" w:lineRule="exact"/>
                <w:ind w:firstLine="420" w:firstLineChars="200"/>
                <w:rPr>
                  <w:rFonts w:ascii="Times New Roman" w:cs="Times New Roman"/>
                  <w:szCs w:val="21"/>
                  <w:lang w:val="zh-CN"/>
                </w:rPr>
              </w:pPr>
              <w:r>
                <w:rPr>
                  <w:rFonts w:hint="eastAsia" w:ascii="Times New Roman" w:cs="Times New Roman"/>
                  <w:szCs w:val="21"/>
                  <w:lang w:val="zh-CN"/>
                </w:rPr>
                <w:t>续：</w:t>
              </w:r>
            </w:p>
            <w:tbl>
              <w:tblPr>
                <w:tblStyle w:val="37"/>
                <w:tblW w:w="9214" w:type="dxa"/>
                <w:tblInd w:w="10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694"/>
                <w:gridCol w:w="2126"/>
                <w:gridCol w:w="2126"/>
                <w:gridCol w:w="226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2694" w:type="dxa"/>
                    <w:vMerge w:val="restart"/>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项目</w:t>
                    </w:r>
                  </w:p>
                </w:tc>
                <w:tc>
                  <w:tcPr>
                    <w:tcW w:w="6520" w:type="dxa"/>
                    <w:gridSpan w:val="3"/>
                    <w:shd w:val="clear" w:color="auto" w:fill="auto"/>
                    <w:noWrap/>
                    <w:vAlign w:val="center"/>
                  </w:tcPr>
                  <w:p>
                    <w:pPr>
                      <w:spacing w:line="480" w:lineRule="exact"/>
                      <w:jc w:val="center"/>
                      <w:rPr>
                        <w:rFonts w:ascii="Times New Roman" w:hAnsi="Times New Roman" w:cs="Times New Roman"/>
                        <w:color w:val="000000"/>
                        <w:sz w:val="18"/>
                        <w:szCs w:val="18"/>
                      </w:rPr>
                    </w:pPr>
                    <w:r>
                      <w:rPr>
                        <w:rFonts w:ascii="Times New Roman" w:hAnsi="Times New Roman" w:cs="Times New Roman"/>
                        <w:color w:val="000000"/>
                        <w:sz w:val="18"/>
                        <w:szCs w:val="18"/>
                      </w:rPr>
                      <w:t>2019</w:t>
                    </w:r>
                    <w:r>
                      <w:rPr>
                        <w:rFonts w:ascii="Times New Roman" w:cs="Times New Roman"/>
                        <w:color w:val="000000"/>
                        <w:sz w:val="18"/>
                        <w:szCs w:val="18"/>
                      </w:rPr>
                      <w:t>年</w:t>
                    </w:r>
                    <w:r>
                      <w:rPr>
                        <w:rFonts w:ascii="Times New Roman" w:hAnsi="Times New Roman" w:cs="Times New Roman"/>
                        <w:color w:val="000000"/>
                        <w:sz w:val="18"/>
                        <w:szCs w:val="18"/>
                      </w:rPr>
                      <w:t>12</w:t>
                    </w:r>
                    <w:r>
                      <w:rPr>
                        <w:rFonts w:ascii="Times New Roman" w:cs="Times New Roman"/>
                        <w:color w:val="000000"/>
                        <w:sz w:val="18"/>
                        <w:szCs w:val="18"/>
                      </w:rPr>
                      <w:t>月</w:t>
                    </w:r>
                    <w:r>
                      <w:rPr>
                        <w:rFonts w:ascii="Times New Roman" w:hAnsi="Times New Roman" w:cs="Times New Roman"/>
                        <w:color w:val="000000"/>
                        <w:sz w:val="18"/>
                        <w:szCs w:val="18"/>
                      </w:rPr>
                      <w:t>31</w:t>
                    </w:r>
                    <w:r>
                      <w:rPr>
                        <w:rFonts w:ascii="Times New Roman" w:cs="Times New Roman"/>
                        <w:color w:val="000000"/>
                        <w:sz w:val="18"/>
                        <w:szCs w:val="18"/>
                      </w:rPr>
                      <w:t>日</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694" w:type="dxa"/>
                    <w:vMerge w:val="continue"/>
                    <w:vAlign w:val="center"/>
                  </w:tcPr>
                  <w:p>
                    <w:pPr>
                      <w:spacing w:line="480" w:lineRule="exact"/>
                      <w:rPr>
                        <w:rFonts w:ascii="Times New Roman" w:hAnsi="Times New Roman" w:cs="Times New Roman"/>
                        <w:color w:val="000000"/>
                        <w:sz w:val="18"/>
                        <w:szCs w:val="18"/>
                      </w:rPr>
                    </w:pPr>
                  </w:p>
                </w:tc>
                <w:tc>
                  <w:tcPr>
                    <w:tcW w:w="2126" w:type="dxa"/>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调整前金额</w:t>
                    </w:r>
                  </w:p>
                </w:tc>
                <w:tc>
                  <w:tcPr>
                    <w:tcW w:w="2126" w:type="dxa"/>
                    <w:shd w:val="clear" w:color="auto" w:fill="auto"/>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新租赁准则调整影响</w:t>
                    </w:r>
                  </w:p>
                </w:tc>
                <w:tc>
                  <w:tcPr>
                    <w:tcW w:w="2268" w:type="dxa"/>
                    <w:shd w:val="clear" w:color="auto" w:fill="auto"/>
                    <w:noWrap/>
                    <w:vAlign w:val="center"/>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调整后金额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694" w:type="dxa"/>
                    <w:shd w:val="clear" w:color="auto" w:fill="auto"/>
                    <w:vAlign w:val="center"/>
                  </w:tcPr>
                  <w:p>
                    <w:pPr>
                      <w:spacing w:line="480" w:lineRule="exact"/>
                      <w:rPr>
                        <w:rFonts w:ascii="Times New Roman" w:hAnsi="Times New Roman" w:cs="Times New Roman"/>
                        <w:color w:val="000000"/>
                        <w:sz w:val="18"/>
                        <w:szCs w:val="18"/>
                      </w:rPr>
                    </w:pPr>
                    <w:r>
                      <w:rPr>
                        <w:rFonts w:ascii="Times New Roman" w:cs="Times New Roman"/>
                        <w:color w:val="000000"/>
                        <w:sz w:val="18"/>
                        <w:szCs w:val="18"/>
                      </w:rPr>
                      <w:t>盈余公积</w:t>
                    </w:r>
                  </w:p>
                </w:tc>
                <w:tc>
                  <w:tcPr>
                    <w:tcW w:w="2126" w:type="dxa"/>
                    <w:shd w:val="clear" w:color="auto" w:fill="auto"/>
                    <w:noWrap/>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245,652,148.24</w:t>
                    </w:r>
                  </w:p>
                </w:tc>
                <w:tc>
                  <w:tcPr>
                    <w:tcW w:w="2126" w:type="dxa"/>
                    <w:shd w:val="clear" w:color="auto" w:fill="auto"/>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-30,299.49</w:t>
                    </w:r>
                  </w:p>
                </w:tc>
                <w:tc>
                  <w:tcPr>
                    <w:tcW w:w="2268" w:type="dxa"/>
                    <w:shd w:val="clear" w:color="auto" w:fill="auto"/>
                    <w:vAlign w:val="center"/>
                  </w:tcPr>
                  <w:p>
                    <w:pPr>
                      <w:spacing w:line="48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245,621,848.75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2694" w:type="dxa"/>
                    <w:shd w:val="clear" w:color="auto" w:fill="auto"/>
                    <w:vAlign w:val="center"/>
                  </w:tcPr>
                  <w:p>
                    <w:pPr>
                      <w:spacing w:line="480" w:lineRule="exact"/>
                      <w:rPr>
                        <w:rFonts w:ascii="Times New Roman" w:hAnsi="Times New Roman" w:cs="Times New Roman"/>
                        <w:color w:val="000000"/>
                        <w:sz w:val="18"/>
                        <w:szCs w:val="18"/>
                      </w:rPr>
                    </w:pPr>
                    <w:r>
                      <w:rPr>
                        <w:rFonts w:ascii="Times New Roman" w:cs="Times New Roman"/>
                        <w:color w:val="000000"/>
                        <w:sz w:val="18"/>
                        <w:szCs w:val="18"/>
                      </w:rPr>
                      <w:t>未分配利润</w:t>
                    </w:r>
                  </w:p>
                </w:tc>
                <w:tc>
                  <w:tcPr>
                    <w:tcW w:w="2126" w:type="dxa"/>
                    <w:shd w:val="clear" w:color="auto" w:fill="auto"/>
                    <w:noWrap/>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96,793,046.06</w:t>
                    </w:r>
                  </w:p>
                </w:tc>
                <w:tc>
                  <w:tcPr>
                    <w:tcW w:w="2126" w:type="dxa"/>
                    <w:shd w:val="clear" w:color="auto" w:fill="auto"/>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-296,919.43</w:t>
                    </w:r>
                  </w:p>
                </w:tc>
                <w:tc>
                  <w:tcPr>
                    <w:tcW w:w="2268" w:type="dxa"/>
                    <w:shd w:val="clear" w:color="auto" w:fill="auto"/>
                    <w:vAlign w:val="center"/>
                  </w:tcPr>
                  <w:p>
                    <w:pPr>
                      <w:spacing w:line="48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96,496,126.63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2694" w:type="dxa"/>
                    <w:shd w:val="clear" w:color="auto" w:fill="auto"/>
                    <w:vAlign w:val="center"/>
                  </w:tcPr>
                  <w:p>
                    <w:pPr>
                      <w:spacing w:line="480" w:lineRule="exact"/>
                      <w:rPr>
                        <w:rFonts w:ascii="Times New Roman" w:hAnsi="Times New Roman" w:cs="Times New Roman"/>
                        <w:color w:val="000000"/>
                        <w:sz w:val="18"/>
                        <w:szCs w:val="18"/>
                      </w:rPr>
                    </w:pPr>
                    <w:r>
                      <w:rPr>
                        <w:rFonts w:ascii="Times New Roman" w:cs="Times New Roman"/>
                        <w:color w:val="000000"/>
                        <w:sz w:val="18"/>
                        <w:szCs w:val="18"/>
                      </w:rPr>
                      <w:t>少数股东权益</w:t>
                    </w:r>
                  </w:p>
                </w:tc>
                <w:tc>
                  <w:tcPr>
                    <w:tcW w:w="2126" w:type="dxa"/>
                    <w:shd w:val="clear" w:color="auto" w:fill="auto"/>
                    <w:noWrap/>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-6,187,339.84</w:t>
                    </w:r>
                  </w:p>
                </w:tc>
                <w:tc>
                  <w:tcPr>
                    <w:tcW w:w="2126" w:type="dxa"/>
                    <w:shd w:val="clear" w:color="auto" w:fill="auto"/>
                    <w:vAlign w:val="center"/>
                  </w:tcPr>
                  <w:p>
                    <w:pPr>
                      <w:spacing w:line="480" w:lineRule="exact"/>
                      <w:jc w:val="right"/>
                      <w:rPr>
                        <w:rFonts w:ascii="Times New Roman" w:hAnsi="Times New Roman" w:cs="Times New Roman"/>
                        <w:color w:val="000000"/>
                        <w:sz w:val="18"/>
                        <w:szCs w:val="18"/>
                      </w:rPr>
                    </w:pPr>
                    <w:r>
                      <w:rPr>
                        <w:rFonts w:ascii="Times New Roman" w:hAnsi="Times New Roman" w:cs="Times New Roman"/>
                        <w:color w:val="000000"/>
                        <w:sz w:val="18"/>
                        <w:szCs w:val="18"/>
                      </w:rPr>
                      <w:t>-21,628.54</w:t>
                    </w:r>
                  </w:p>
                </w:tc>
                <w:tc>
                  <w:tcPr>
                    <w:tcW w:w="2268" w:type="dxa"/>
                    <w:shd w:val="clear" w:color="auto" w:fill="auto"/>
                    <w:vAlign w:val="center"/>
                  </w:tcPr>
                  <w:p>
                    <w:pPr>
                      <w:spacing w:line="480" w:lineRule="exact"/>
                      <w:ind w:firstLine="180" w:firstLineChars="100"/>
                      <w:jc w:val="right"/>
                      <w:rPr>
                        <w:rFonts w:ascii="Times New Roman" w:hAnsi="Times New Roman" w:cs="Times New Roman"/>
                        <w:color w:val="000000"/>
                        <w:sz w:val="18"/>
                        <w:szCs w:val="18"/>
                      </w:rPr>
                    </w:pPr>
                    <w:r>
                      <w:rPr>
                        <w:rFonts w:ascii="Times New Roman" w:hAnsi="Times New Roman" w:cs="Times New Roman"/>
                        <w:color w:val="000000"/>
                        <w:sz w:val="18"/>
                        <w:szCs w:val="18"/>
                      </w:rPr>
                      <w:t>-6,208,968.38</w:t>
                    </w:r>
                  </w:p>
                </w:tc>
              </w:tr>
            </w:tbl>
            <w:p>
              <w:pPr>
                <w:rPr>
                  <w:szCs w:val="21"/>
                </w:rPr>
              </w:pPr>
            </w:p>
          </w:sdtContent>
        </w:sdt>
      </w:sdtContent>
    </w:sdt>
    <w:p>
      <w:pPr>
        <w:rPr>
          <w:szCs w:val="21"/>
        </w:rPr>
      </w:pPr>
    </w:p>
    <w:p>
      <w:pPr>
        <w:pStyle w:val="5"/>
        <w:numPr>
          <w:ilvl w:val="3"/>
          <w:numId w:val="76"/>
        </w:numPr>
        <w:ind w:left="426" w:hanging="426"/>
      </w:pPr>
      <w:r>
        <w:rPr>
          <w:rFonts w:hint="eastAsia"/>
        </w:rPr>
        <w:t>重要</w:t>
      </w:r>
      <w:r>
        <w:t>会计估计变更</w:t>
      </w:r>
    </w:p>
    <w:sdt>
      <w:sdtPr>
        <w:alias w:val="是否适用：重要会计估计变更[双击切换]"/>
        <w:tag w:val="_GBC_902f08bd36774074945386d2d1f9b67d"/>
        <w:id w:val="865724198"/>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
      <w:sdtPr>
        <w:rPr>
          <w:rFonts w:ascii="宋体" w:hAnsi="宋体" w:eastAsia="宋体" w:cs="宋体"/>
          <w:b w:val="0"/>
          <w:bCs w:val="0"/>
          <w:kern w:val="0"/>
          <w:szCs w:val="24"/>
        </w:rPr>
        <w:alias w:val="选项模块:首次执行新金融工具准则、新收入准则、新租赁准则调整首次执行当年年初财务报表相关项目情况"/>
        <w:tag w:val="_SEC_26cb0ff2f40c4cec8cc5f95eaa49a269"/>
        <w:id w:val="865724401"/>
        <w:lock w:val="sdtLocked"/>
        <w:placeholder>
          <w:docPart w:val="GBC22222222222222222222222222222"/>
        </w:placeholder>
      </w:sdtPr>
      <w:sdtEndPr>
        <w:rPr>
          <w:rFonts w:ascii="宋体" w:hAnsi="宋体" w:eastAsia="宋体" w:cs="宋体"/>
          <w:b w:val="0"/>
          <w:bCs w:val="0"/>
          <w:kern w:val="0"/>
          <w:szCs w:val="21"/>
        </w:rPr>
      </w:sdtEndPr>
      <w:sdtContent>
        <w:p>
          <w:pPr>
            <w:pStyle w:val="5"/>
            <w:numPr>
              <w:ilvl w:val="3"/>
              <w:numId w:val="76"/>
            </w:numPr>
            <w:ind w:left="426" w:hanging="426"/>
          </w:pPr>
          <w:bookmarkStart w:id="135" w:name="_Hlk10465969"/>
          <w:bookmarkEnd w:id="135"/>
          <w:bookmarkStart w:id="136" w:name="_Hlk24100246"/>
          <w:r>
            <w:rPr>
              <w:rFonts w:ascii="Times New Roman" w:hAnsi="Times New Roman"/>
            </w:rPr>
            <w:t>2021</w:t>
          </w:r>
          <w:r>
            <w:t>年</w:t>
          </w:r>
          <w:r>
            <w:rPr>
              <w:rFonts w:hint="eastAsia"/>
            </w:rPr>
            <w:t>起首次执行新租赁准则调整首次执行当年年初财务报表相关情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529222755"/>
            <w:lock w:val="sdtLocked"/>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bookmarkEnd w:id="136"/>
    <w:sdt>
      <w:sdtPr>
        <w:rPr>
          <w:rFonts w:hint="eastAsia" w:ascii="宋体" w:hAnsi="宋体" w:eastAsia="宋体" w:cs="宋体"/>
          <w:b w:val="0"/>
          <w:bCs w:val="0"/>
          <w:kern w:val="0"/>
          <w:szCs w:val="21"/>
        </w:rPr>
        <w:alias w:val="模块:首次执行新会计准则追溯调整前期比较数据的说明"/>
        <w:tag w:val="_SEC_f61c4970a1ac4db989642e895ccb27eb"/>
        <w:id w:val="865724404"/>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3"/>
              <w:numId w:val="76"/>
            </w:numPr>
            <w:ind w:left="426" w:hanging="426"/>
            <w:rPr>
              <w:rFonts w:cs="宋体"/>
              <w:bCs w:val="0"/>
              <w:kern w:val="0"/>
              <w:szCs w:val="21"/>
            </w:rPr>
          </w:pPr>
          <w:bookmarkStart w:id="137" w:name="_Hlk533668565"/>
          <w:r>
            <w:rPr>
              <w:rFonts w:ascii="Times New Roman" w:hAnsi="Times New Roman"/>
            </w:rPr>
            <w:t>2021</w:t>
          </w:r>
          <w:r>
            <w:t>年</w:t>
          </w:r>
          <w:r>
            <w:rPr>
              <w:rFonts w:hint="eastAsia"/>
            </w:rPr>
            <w:t>起首次执行新租赁准则追溯调整前期比较数据的说</w:t>
          </w:r>
          <w:r>
            <w:t>明</w:t>
          </w:r>
        </w:p>
        <w:sdt>
          <w:sdtPr>
            <w:rPr>
              <w:szCs w:val="21"/>
            </w:rPr>
            <w:alias w:val="是否适用：首次执行新会计准则调整前期比较数据的说明[双击切换]"/>
            <w:tag w:val="_GBC_1b2d18d8f09b4f03b8f1ed6811c0dee0"/>
            <w:id w:val="86572440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sdt>
            <w:sdtPr>
              <w:rPr>
                <w:szCs w:val="21"/>
              </w:rPr>
              <w:alias w:val="首次执行新会计准则调整前期比较数据的说明"/>
              <w:tag w:val="_GBC_b0c02d02d15c45b6b1b6572ee216acef"/>
              <w:id w:val="-451176481"/>
              <w:lock w:val="sdtLocked"/>
            </w:sdtPr>
            <w:sdtEndPr>
              <w:rPr>
                <w:szCs w:val="21"/>
              </w:rPr>
            </w:sdtEndPr>
            <w:sdtContent>
              <w:r>
                <w:rPr>
                  <w:rFonts w:hint="eastAsia"/>
                  <w:szCs w:val="21"/>
                </w:rPr>
                <w:t>详见上述</w:t>
              </w:r>
              <w:r>
                <w:rPr>
                  <w:rFonts w:ascii="Times New Roman" w:hAnsi="Times New Roman" w:cs="Times New Roman"/>
                  <w:szCs w:val="21"/>
                </w:rPr>
                <w:t>44.</w:t>
              </w:r>
              <w:r>
                <w:rPr>
                  <w:rFonts w:ascii="Times New Roman" w:cs="Times New Roman"/>
                  <w:szCs w:val="21"/>
                </w:rPr>
                <w:t>（</w:t>
              </w:r>
              <w:r>
                <w:rPr>
                  <w:rFonts w:ascii="Times New Roman" w:hAnsi="Times New Roman" w:cs="Times New Roman"/>
                  <w:szCs w:val="21"/>
                </w:rPr>
                <w:t>1</w:t>
              </w:r>
              <w:r>
                <w:rPr>
                  <w:rFonts w:ascii="Times New Roman" w:cs="Times New Roman"/>
                  <w:szCs w:val="21"/>
                </w:rPr>
                <w:t>）</w:t>
              </w:r>
              <w:r>
                <w:rPr>
                  <w:szCs w:val="21"/>
                </w:rPr>
                <w:t>重要会计政策变更</w:t>
              </w:r>
            </w:sdtContent>
          </w:sdt>
        </w:p>
        <w:p>
          <w:pPr>
            <w:rPr>
              <w:szCs w:val="21"/>
            </w:rPr>
          </w:pPr>
        </w:p>
      </w:sdtContent>
    </w:sdt>
    <w:bookmarkEnd w:id="137"/>
    <w:sdt>
      <w:sdtPr>
        <w:rPr>
          <w:rFonts w:hint="eastAsia" w:asciiTheme="minorHAnsi" w:hAnsiTheme="minorHAnsi" w:cstheme="minorBidi"/>
          <w:b w:val="0"/>
          <w:bCs w:val="0"/>
          <w:kern w:val="0"/>
          <w:szCs w:val="22"/>
        </w:rPr>
        <w:alias w:val="模块:其他"/>
        <w:tag w:val="_GBC_f9189f2c315949f484bded540173f7a8"/>
        <w:id w:val="865724406"/>
        <w:lock w:val="sdtLocked"/>
        <w:placeholder>
          <w:docPart w:val="GBC22222222222222222222222222222"/>
        </w:placeholder>
      </w:sdtPr>
      <w:sdtEndPr>
        <w:rPr>
          <w:rFonts w:hint="eastAsia" w:ascii="宋体" w:hAnsi="宋体" w:cs="Times New Roman"/>
          <w:b w:val="0"/>
          <w:bCs w:val="0"/>
          <w:kern w:val="0"/>
          <w:szCs w:val="21"/>
        </w:rPr>
      </w:sdtEndPr>
      <w:sdtContent>
        <w:p>
          <w:pPr>
            <w:pStyle w:val="4"/>
            <w:numPr>
              <w:ilvl w:val="0"/>
              <w:numId w:val="61"/>
            </w:numPr>
          </w:pPr>
          <w:r>
            <w:rPr>
              <w:rFonts w:hint="eastAsia"/>
            </w:rPr>
            <w:t>其他</w:t>
          </w:r>
        </w:p>
        <w:sdt>
          <w:sdtPr>
            <w:rPr>
              <w:rFonts w:hint="eastAsia"/>
              <w:szCs w:val="21"/>
            </w:rPr>
            <w:alias w:val="是否适用：公司主要会计政策、会计估计和前期差错的其他说明[双击切换]"/>
            <w:tag w:val="_GBC_bcb348c2b015461e9de30ce69ad888ae"/>
            <w:id w:val="86572440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pStyle w:val="3"/>
        <w:numPr>
          <w:ilvl w:val="0"/>
          <w:numId w:val="54"/>
        </w:numPr>
        <w:rPr>
          <w:rFonts w:ascii="宋体" w:hAnsi="宋体"/>
        </w:rPr>
      </w:pPr>
      <w:r>
        <w:rPr>
          <w:rFonts w:hint="eastAsia" w:ascii="宋体" w:hAnsi="宋体"/>
        </w:rPr>
        <w:t>税项</w:t>
      </w:r>
    </w:p>
    <w:sdt>
      <w:sdtPr>
        <w:rPr>
          <w:rFonts w:cs="宋体" w:asciiTheme="minorHAnsi" w:hAnsiTheme="minorHAnsi"/>
          <w:b w:val="0"/>
          <w:bCs w:val="0"/>
          <w:kern w:val="0"/>
          <w:szCs w:val="22"/>
        </w:rPr>
        <w:alias w:val="模块:主要税种及税率"/>
        <w:tag w:val="_GBC_21c965fa52af49a9865023fb4e05671a"/>
        <w:id w:val="865724414"/>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78"/>
            </w:numPr>
            <w:tabs>
              <w:tab w:val="left" w:pos="546"/>
            </w:tabs>
          </w:pPr>
          <w:r>
            <w:t>主要税种及税率</w:t>
          </w:r>
        </w:p>
        <w:p>
          <w:r>
            <w:t>主要税种及税率</w:t>
          </w:r>
          <w:r>
            <w:rPr>
              <w:rFonts w:hint="eastAsia"/>
            </w:rPr>
            <w:t>情况</w:t>
          </w:r>
        </w:p>
        <w:sdt>
          <w:sdtPr>
            <w:alias w:val="是否适用：主要税种及税率情况 [双击切换]"/>
            <w:tag w:val="_GBC_f900f926144b41b9ba020b5a24aff3c0"/>
            <w:id w:val="86572440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3145"/>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5758c089ae1414f99b1cc36321c29a1"/>
                <w:id w:val="865724408"/>
                <w:lock w:val="sdtLocked"/>
              </w:sdtPr>
              <w:sdtEndPr>
                <w:rPr>
                  <w:rFonts w:ascii="Times New Roman" w:hAnsi="Times New Roman" w:cs="Times New Roman"/>
                </w:rPr>
              </w:sdtEndPr>
              <w:sdtContent>
                <w:tc>
                  <w:tcPr>
                    <w:tcW w:w="1537" w:type="pct"/>
                    <w:vAlign w:val="center"/>
                  </w:tcPr>
                  <w:p>
                    <w:pPr>
                      <w:jc w:val="center"/>
                      <w:rPr>
                        <w:rFonts w:ascii="Times New Roman" w:hAnsi="Times New Roman" w:cs="Times New Roman"/>
                        <w:szCs w:val="21"/>
                      </w:rPr>
                    </w:pPr>
                    <w:r>
                      <w:rPr>
                        <w:rFonts w:ascii="Times New Roman" w:cs="Times New Roman"/>
                        <w:szCs w:val="21"/>
                      </w:rPr>
                      <w:t>税种</w:t>
                    </w:r>
                  </w:p>
                </w:tc>
              </w:sdtContent>
            </w:sdt>
            <w:sdt>
              <w:sdtPr>
                <w:rPr>
                  <w:rFonts w:ascii="Times New Roman" w:hAnsi="Times New Roman" w:cs="Times New Roman"/>
                </w:rPr>
                <w:tag w:val="_PLD_0e1599c84a4d47cc8f6f9b3d3069a1bd"/>
                <w:id w:val="865724409"/>
                <w:lock w:val="sdtLocked"/>
              </w:sdtPr>
              <w:sdtEndPr>
                <w:rPr>
                  <w:rFonts w:ascii="Times New Roman" w:hAnsi="Times New Roman" w:cs="Times New Roman"/>
                </w:rPr>
              </w:sdtEndPr>
              <w:sdtContent>
                <w:tc>
                  <w:tcPr>
                    <w:tcW w:w="1738" w:type="pct"/>
                    <w:vAlign w:val="center"/>
                  </w:tcPr>
                  <w:p>
                    <w:pPr>
                      <w:jc w:val="center"/>
                      <w:rPr>
                        <w:rFonts w:ascii="Times New Roman" w:hAnsi="Times New Roman" w:cs="Times New Roman"/>
                        <w:szCs w:val="21"/>
                      </w:rPr>
                    </w:pPr>
                    <w:r>
                      <w:rPr>
                        <w:rFonts w:ascii="Times New Roman" w:cs="Times New Roman"/>
                        <w:szCs w:val="21"/>
                      </w:rPr>
                      <w:t>计税依据</w:t>
                    </w:r>
                  </w:p>
                </w:tc>
              </w:sdtContent>
            </w:sdt>
            <w:sdt>
              <w:sdtPr>
                <w:rPr>
                  <w:rFonts w:ascii="Times New Roman" w:hAnsi="Times New Roman" w:cs="Times New Roman"/>
                </w:rPr>
                <w:tag w:val="_PLD_74e07bcec6714b078c64caa53447462a"/>
                <w:id w:val="865724410"/>
                <w:lock w:val="sdtLocked"/>
              </w:sdtPr>
              <w:sdtEndPr>
                <w:rPr>
                  <w:rFonts w:ascii="Times New Roman" w:hAnsi="Times New Roman" w:cs="Times New Roman"/>
                </w:rPr>
              </w:sdtEndPr>
              <w:sdtContent>
                <w:tc>
                  <w:tcPr>
                    <w:tcW w:w="1725" w:type="pct"/>
                    <w:vAlign w:val="center"/>
                  </w:tcPr>
                  <w:p>
                    <w:pPr>
                      <w:jc w:val="center"/>
                      <w:rPr>
                        <w:rFonts w:ascii="Times New Roman" w:hAnsi="Times New Roman" w:cs="Times New Roman"/>
                        <w:szCs w:val="21"/>
                      </w:rPr>
                    </w:pPr>
                    <w:r>
                      <w:rPr>
                        <w:rFonts w:ascii="Times New Roman" w:cs="Times New Roman"/>
                        <w:szCs w:val="21"/>
                      </w:rPr>
                      <w:t>税率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tcPr>
              <w:p>
                <w:pPr>
                  <w:rPr>
                    <w:rFonts w:ascii="Times New Roman" w:hAnsi="Times New Roman" w:cs="Times New Roman"/>
                    <w:szCs w:val="21"/>
                  </w:rPr>
                </w:pPr>
                <w:r>
                  <w:rPr>
                    <w:rFonts w:ascii="Times New Roman" w:cs="Times New Roman"/>
                    <w:szCs w:val="21"/>
                  </w:rPr>
                  <w:t>增值税</w:t>
                </w:r>
              </w:p>
            </w:tc>
            <w:tc>
              <w:tcPr>
                <w:tcW w:w="1738" w:type="pct"/>
                <w:vAlign w:val="center"/>
              </w:tcPr>
              <w:p>
                <w:pPr>
                  <w:jc w:val="center"/>
                  <w:rPr>
                    <w:rFonts w:ascii="Times New Roman" w:hAnsi="Times New Roman" w:cs="Times New Roman"/>
                    <w:sz w:val="24"/>
                  </w:rPr>
                </w:pPr>
                <w:r>
                  <w:rPr>
                    <w:rFonts w:ascii="Times New Roman" w:cs="Times New Roman"/>
                  </w:rPr>
                  <w:t>销售商品收入、</w:t>
                </w:r>
                <w:r>
                  <w:rPr>
                    <w:rFonts w:hint="eastAsia" w:ascii="Times New Roman" w:cs="Times New Roman"/>
                  </w:rPr>
                  <w:t>租金</w:t>
                </w:r>
                <w:r>
                  <w:rPr>
                    <w:rFonts w:ascii="Times New Roman" w:cs="Times New Roman"/>
                  </w:rPr>
                  <w:t>收入、利息收入</w:t>
                </w:r>
              </w:p>
            </w:tc>
            <w:tc>
              <w:tcPr>
                <w:tcW w:w="1725" w:type="pct"/>
                <w:vAlign w:val="center"/>
              </w:tcPr>
              <w:p>
                <w:pPr>
                  <w:jc w:val="right"/>
                  <w:rPr>
                    <w:rFonts w:ascii="Times New Roman" w:hAnsi="Times New Roman" w:cs="Times New Roman"/>
                    <w:sz w:val="24"/>
                  </w:rPr>
                </w:pPr>
                <w:r>
                  <w:rPr>
                    <w:rFonts w:hint="eastAsia" w:ascii="Times New Roman" w:hAnsi="Times New Roman" w:cs="Times New Roman"/>
                  </w:rPr>
                  <w:t>9、</w:t>
                </w:r>
                <w:r>
                  <w:rPr>
                    <w:rFonts w:ascii="Times New Roman" w:hAnsi="Times New Roman" w:cs="Times New Roman"/>
                  </w:rPr>
                  <w:t>13</w:t>
                </w:r>
                <w:r>
                  <w:rPr>
                    <w:rFonts w:hint="eastAsia" w:ascii="Times New Roman" w:hAnsi="Times New Roman" w:cs="Times New Roma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tcPr>
              <w:p>
                <w:pPr>
                  <w:rPr>
                    <w:rFonts w:ascii="Times New Roman" w:hAnsi="Times New Roman" w:cs="Times New Roman"/>
                    <w:szCs w:val="21"/>
                  </w:rPr>
                </w:pPr>
                <w:r>
                  <w:rPr>
                    <w:rFonts w:ascii="Times New Roman" w:cs="Times New Roman"/>
                    <w:szCs w:val="21"/>
                  </w:rPr>
                  <w:t>消费税</w:t>
                </w:r>
              </w:p>
            </w:tc>
            <w:tc>
              <w:tcPr>
                <w:tcW w:w="1738" w:type="pct"/>
                <w:vAlign w:val="center"/>
              </w:tcPr>
              <w:p>
                <w:pPr>
                  <w:jc w:val="center"/>
                  <w:rPr>
                    <w:rFonts w:ascii="Times New Roman" w:hAnsi="Times New Roman" w:cs="Times New Roman"/>
                    <w:szCs w:val="21"/>
                  </w:rPr>
                </w:pPr>
              </w:p>
            </w:tc>
            <w:tc>
              <w:tcPr>
                <w:tcW w:w="1725"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tcPr>
              <w:p>
                <w:pPr>
                  <w:rPr>
                    <w:rFonts w:ascii="Times New Roman" w:hAnsi="Times New Roman" w:cs="Times New Roman"/>
                    <w:szCs w:val="21"/>
                  </w:rPr>
                </w:pPr>
                <w:r>
                  <w:rPr>
                    <w:rFonts w:ascii="Times New Roman" w:cs="Times New Roman"/>
                    <w:szCs w:val="21"/>
                  </w:rPr>
                  <w:t>营业税</w:t>
                </w:r>
              </w:p>
            </w:tc>
            <w:tc>
              <w:tcPr>
                <w:tcW w:w="1738" w:type="pct"/>
                <w:vAlign w:val="center"/>
              </w:tcPr>
              <w:p>
                <w:pPr>
                  <w:jc w:val="center"/>
                  <w:rPr>
                    <w:rFonts w:ascii="Times New Roman" w:hAnsi="Times New Roman" w:cs="Times New Roman"/>
                    <w:szCs w:val="21"/>
                  </w:rPr>
                </w:pPr>
              </w:p>
            </w:tc>
            <w:tc>
              <w:tcPr>
                <w:tcW w:w="1725"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tcPr>
              <w:p>
                <w:pPr>
                  <w:rPr>
                    <w:rFonts w:ascii="Times New Roman" w:hAnsi="Times New Roman" w:cs="Times New Roman"/>
                    <w:szCs w:val="21"/>
                  </w:rPr>
                </w:pPr>
                <w:r>
                  <w:rPr>
                    <w:rFonts w:ascii="Times New Roman" w:cs="Times New Roman"/>
                    <w:szCs w:val="21"/>
                  </w:rPr>
                  <w:t>城市维护建设税</w:t>
                </w:r>
              </w:p>
            </w:tc>
            <w:tc>
              <w:tcPr>
                <w:tcW w:w="1738" w:type="pct"/>
                <w:vAlign w:val="center"/>
              </w:tcPr>
              <w:p>
                <w:pPr>
                  <w:jc w:val="center"/>
                  <w:rPr>
                    <w:rFonts w:ascii="Times New Roman" w:hAnsi="Times New Roman" w:cs="Times New Roman"/>
                    <w:sz w:val="24"/>
                  </w:rPr>
                </w:pPr>
                <w:r>
                  <w:rPr>
                    <w:rFonts w:ascii="Times New Roman" w:cs="Times New Roman"/>
                  </w:rPr>
                  <w:t>实缴流转税税额</w:t>
                </w:r>
              </w:p>
            </w:tc>
            <w:tc>
              <w:tcPr>
                <w:tcW w:w="1725" w:type="pct"/>
                <w:vAlign w:val="center"/>
              </w:tcPr>
              <w:p>
                <w:pPr>
                  <w:jc w:val="right"/>
                  <w:rPr>
                    <w:rFonts w:ascii="Times New Roman" w:hAnsi="Times New Roman" w:cs="Times New Roman"/>
                    <w:sz w:val="24"/>
                  </w:rPr>
                </w:pPr>
                <w:r>
                  <w:rPr>
                    <w:rFonts w:ascii="Times New Roman" w:hAnsi="Times New Roman" w:cs="Times New Roman"/>
                  </w:rPr>
                  <w:t>5</w:t>
                </w:r>
                <w:r>
                  <w:rPr>
                    <w:rFonts w:ascii="Times New Roman" w:cs="Times New Roman"/>
                  </w:rPr>
                  <w:t>、</w:t>
                </w:r>
                <w:r>
                  <w:rPr>
                    <w:rFonts w:ascii="Times New Roman" w:hAnsi="Times New Roman"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tcPr>
              <w:p>
                <w:pPr>
                  <w:rPr>
                    <w:rFonts w:ascii="Times New Roman" w:hAnsi="Times New Roman" w:cs="Times New Roman"/>
                    <w:szCs w:val="21"/>
                  </w:rPr>
                </w:pPr>
                <w:r>
                  <w:rPr>
                    <w:rFonts w:ascii="Times New Roman" w:cs="Times New Roman"/>
                    <w:szCs w:val="21"/>
                  </w:rPr>
                  <w:t>企业所得税</w:t>
                </w:r>
              </w:p>
            </w:tc>
            <w:tc>
              <w:tcPr>
                <w:tcW w:w="1738" w:type="pct"/>
                <w:vAlign w:val="center"/>
              </w:tcPr>
              <w:p>
                <w:pPr>
                  <w:jc w:val="center"/>
                  <w:rPr>
                    <w:rFonts w:ascii="Times New Roman" w:hAnsi="Times New Roman" w:cs="Times New Roman"/>
                    <w:sz w:val="24"/>
                  </w:rPr>
                </w:pPr>
                <w:r>
                  <w:rPr>
                    <w:rFonts w:ascii="Times New Roman" w:cs="Times New Roman"/>
                  </w:rPr>
                  <w:t>应纳税所得额</w:t>
                </w:r>
              </w:p>
            </w:tc>
            <w:tc>
              <w:tcPr>
                <w:tcW w:w="1725" w:type="pct"/>
                <w:vAlign w:val="center"/>
              </w:tcPr>
              <w:p>
                <w:pPr>
                  <w:jc w:val="right"/>
                  <w:rPr>
                    <w:rFonts w:ascii="Times New Roman" w:hAnsi="Times New Roman" w:cs="Times New Roman"/>
                    <w:sz w:val="24"/>
                  </w:rPr>
                </w:pPr>
                <w:r>
                  <w:rPr>
                    <w:rFonts w:ascii="Times New Roman" w:hAnsi="Times New Roman" w:cs="Times New Roman"/>
                  </w:rPr>
                  <w:t>15</w:t>
                </w:r>
                <w:r>
                  <w:rPr>
                    <w:rFonts w:ascii="Times New Roman" w:cs="Times New Roman"/>
                  </w:rPr>
                  <w:t>、</w:t>
                </w:r>
                <w:r>
                  <w:rPr>
                    <w:rFonts w:ascii="Times New Roman" w:hAnsi="Times New Roman" w:cs="Times New Roma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vAlign w:val="center"/>
              </w:tcPr>
              <w:p>
                <w:pPr>
                  <w:spacing w:line="480" w:lineRule="exact"/>
                  <w:rPr>
                    <w:rFonts w:ascii="Times New Roman" w:hAnsi="Times New Roman" w:cs="Times New Roman"/>
                    <w:color w:val="000000" w:themeColor="text1"/>
                    <w:spacing w:val="-4"/>
                    <w:sz w:val="18"/>
                    <w:szCs w:val="18"/>
                  </w:rPr>
                </w:pPr>
                <w:r>
                  <w:rPr>
                    <w:rFonts w:ascii="Times New Roman" w:cs="Times New Roman"/>
                    <w:color w:val="000000" w:themeColor="text1"/>
                    <w:spacing w:val="-4"/>
                    <w:sz w:val="18"/>
                    <w:szCs w:val="18"/>
                  </w:rPr>
                  <w:t>教育费附加</w:t>
                </w:r>
              </w:p>
            </w:tc>
            <w:tc>
              <w:tcPr>
                <w:tcW w:w="1738" w:type="pct"/>
                <w:vAlign w:val="center"/>
              </w:tcPr>
              <w:p>
                <w:pPr>
                  <w:jc w:val="center"/>
                  <w:rPr>
                    <w:rFonts w:ascii="Times New Roman" w:hAnsi="Times New Roman" w:cs="Times New Roman"/>
                    <w:sz w:val="24"/>
                  </w:rPr>
                </w:pPr>
                <w:r>
                  <w:rPr>
                    <w:rFonts w:ascii="Times New Roman" w:cs="Times New Roman"/>
                  </w:rPr>
                  <w:t>实缴流转税税额</w:t>
                </w:r>
              </w:p>
            </w:tc>
            <w:tc>
              <w:tcPr>
                <w:tcW w:w="1725" w:type="pct"/>
                <w:vAlign w:val="center"/>
              </w:tcPr>
              <w:p>
                <w:pPr>
                  <w:jc w:val="right"/>
                  <w:rPr>
                    <w:rFonts w:ascii="Times New Roman" w:hAnsi="Times New Roman" w:cs="Times New Roman"/>
                    <w:sz w:val="24"/>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tcPr>
              <w:p>
                <w:pPr>
                  <w:rPr>
                    <w:rFonts w:ascii="Times New Roman" w:hAnsi="Times New Roman" w:cs="Times New Roman"/>
                    <w:szCs w:val="21"/>
                  </w:rPr>
                </w:pPr>
                <w:r>
                  <w:rPr>
                    <w:rFonts w:ascii="Times New Roman" w:cs="Times New Roman"/>
                  </w:rPr>
                  <w:t>地方教育费附加</w:t>
                </w:r>
              </w:p>
            </w:tc>
            <w:tc>
              <w:tcPr>
                <w:tcW w:w="1738" w:type="pct"/>
                <w:vAlign w:val="center"/>
              </w:tcPr>
              <w:p>
                <w:pPr>
                  <w:jc w:val="center"/>
                  <w:rPr>
                    <w:rFonts w:ascii="Times New Roman" w:hAnsi="Times New Roman" w:cs="Times New Roman"/>
                    <w:szCs w:val="21"/>
                  </w:rPr>
                </w:pPr>
                <w:r>
                  <w:rPr>
                    <w:rFonts w:ascii="Times New Roman" w:cs="Times New Roman"/>
                  </w:rPr>
                  <w:t>实缴流转税税额</w:t>
                </w:r>
              </w:p>
            </w:tc>
            <w:tc>
              <w:tcPr>
                <w:tcW w:w="1725" w:type="pct"/>
                <w:vAlign w:val="center"/>
              </w:tcPr>
              <w:p>
                <w:pPr>
                  <w:jc w:val="right"/>
                  <w:rPr>
                    <w:rFonts w:ascii="Times New Roman" w:hAnsi="Times New Roman" w:cs="Times New Roman"/>
                    <w:szCs w:val="21"/>
                  </w:rPr>
                </w:pPr>
                <w:r>
                  <w:rPr>
                    <w:rFonts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pct"/>
              </w:tcPr>
              <w:p>
                <w:pPr>
                  <w:rPr>
                    <w:rFonts w:ascii="Times New Roman" w:hAnsi="Times New Roman" w:cs="Times New Roman"/>
                    <w:szCs w:val="21"/>
                  </w:rPr>
                </w:pPr>
                <w:r>
                  <w:rPr>
                    <w:rFonts w:ascii="Times New Roman" w:cs="Times New Roman"/>
                  </w:rPr>
                  <w:t>房产税</w:t>
                </w:r>
              </w:p>
            </w:tc>
            <w:tc>
              <w:tcPr>
                <w:tcW w:w="1738" w:type="pct"/>
                <w:vAlign w:val="center"/>
              </w:tcPr>
              <w:p>
                <w:pPr>
                  <w:jc w:val="center"/>
                  <w:rPr>
                    <w:rFonts w:ascii="Times New Roman" w:hAnsi="Times New Roman" w:cs="Times New Roman"/>
                    <w:szCs w:val="21"/>
                  </w:rPr>
                </w:pPr>
                <w:r>
                  <w:rPr>
                    <w:rFonts w:ascii="Times New Roman" w:cs="Times New Roman"/>
                  </w:rPr>
                  <w:t>按照房产原值的</w:t>
                </w:r>
                <w:r>
                  <w:rPr>
                    <w:rFonts w:ascii="Times New Roman" w:hAnsi="Times New Roman" w:cs="Times New Roman"/>
                  </w:rPr>
                  <w:t>70%</w:t>
                </w:r>
                <w:r>
                  <w:rPr>
                    <w:rFonts w:ascii="Times New Roman" w:cs="Times New Roman"/>
                  </w:rPr>
                  <w:t>（或租金收入）为纳税基准</w:t>
                </w:r>
              </w:p>
            </w:tc>
            <w:tc>
              <w:tcPr>
                <w:tcW w:w="1725" w:type="pct"/>
                <w:vAlign w:val="center"/>
              </w:tcPr>
              <w:p>
                <w:pPr>
                  <w:jc w:val="right"/>
                  <w:rPr>
                    <w:rFonts w:ascii="Times New Roman" w:hAnsi="Times New Roman" w:cs="Times New Roman"/>
                    <w:szCs w:val="21"/>
                  </w:rPr>
                </w:pPr>
                <w:r>
                  <w:rPr>
                    <w:rFonts w:ascii="Times New Roman" w:hAnsi="Times New Roman" w:cs="Times New Roman"/>
                  </w:rPr>
                  <w:t>1.2</w:t>
                </w:r>
                <w:r>
                  <w:rPr>
                    <w:rFonts w:ascii="Times New Roman" w:cs="Times New Roman"/>
                  </w:rPr>
                  <w:t>、</w:t>
                </w:r>
                <w:r>
                  <w:rPr>
                    <w:rFonts w:ascii="Times New Roman" w:hAnsi="Times New Roman" w:cs="Times New Roman"/>
                  </w:rPr>
                  <w:t>12</w:t>
                </w:r>
              </w:p>
            </w:tc>
          </w:tr>
        </w:tbl>
        <w:p>
          <w:pPr>
            <w:spacing w:line="400" w:lineRule="exact"/>
            <w:ind w:firstLine="420" w:firstLineChars="200"/>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根据财政部、税务总局、海关总署发布的《关于深化增值税改革有关政策的公告》（财政部税务总局海关总署公告</w:t>
          </w:r>
          <w:r>
            <w:rPr>
              <w:rFonts w:ascii="Times New Roman" w:hAnsi="Times New Roman" w:cs="Times New Roman" w:eastAsiaTheme="minorEastAsia"/>
              <w:color w:val="000000"/>
              <w:szCs w:val="21"/>
            </w:rPr>
            <w:t>2019</w:t>
          </w:r>
          <w:r>
            <w:rPr>
              <w:rFonts w:ascii="Times New Roman" w:cs="Times New Roman" w:hAnsiTheme="minorEastAsia" w:eastAsiaTheme="minorEastAsia"/>
              <w:color w:val="000000"/>
              <w:szCs w:val="21"/>
            </w:rPr>
            <w:t>年第</w:t>
          </w:r>
          <w:r>
            <w:rPr>
              <w:rFonts w:ascii="Times New Roman" w:hAnsi="Times New Roman" w:cs="Times New Roman" w:eastAsiaTheme="minorEastAsia"/>
              <w:color w:val="000000"/>
              <w:szCs w:val="21"/>
            </w:rPr>
            <w:t>39</w:t>
          </w:r>
          <w:r>
            <w:rPr>
              <w:rFonts w:ascii="Times New Roman" w:cs="Times New Roman" w:hAnsiTheme="minorEastAsia" w:eastAsiaTheme="minorEastAsia"/>
              <w:color w:val="000000"/>
              <w:szCs w:val="21"/>
            </w:rPr>
            <w:t>号），本公司自</w:t>
          </w:r>
          <w:r>
            <w:rPr>
              <w:rFonts w:ascii="Times New Roman" w:hAnsi="Times New Roman" w:cs="Times New Roman" w:eastAsiaTheme="minorEastAsia"/>
              <w:color w:val="000000"/>
              <w:szCs w:val="21"/>
            </w:rPr>
            <w:t>2019</w:t>
          </w:r>
          <w:r>
            <w:rPr>
              <w:rFonts w:ascii="Times New Roman" w:cs="Times New Roman" w:hAnsiTheme="minorEastAsia" w:eastAsiaTheme="minorEastAsia"/>
              <w:color w:val="000000"/>
              <w:szCs w:val="21"/>
            </w:rPr>
            <w:t>年</w:t>
          </w:r>
          <w:r>
            <w:rPr>
              <w:rFonts w:ascii="Times New Roman" w:hAnsi="Times New Roman" w:cs="Times New Roman" w:eastAsiaTheme="minorEastAsia"/>
              <w:color w:val="000000"/>
              <w:szCs w:val="21"/>
            </w:rPr>
            <w:t>4</w:t>
          </w:r>
          <w:r>
            <w:rPr>
              <w:rFonts w:ascii="Times New Roman" w:cs="Times New Roman" w:hAnsiTheme="minorEastAsia" w:eastAsiaTheme="minorEastAsia"/>
              <w:color w:val="000000"/>
              <w:szCs w:val="21"/>
            </w:rPr>
            <w:t>月</w:t>
          </w:r>
          <w:r>
            <w:rPr>
              <w:rFonts w:ascii="Times New Roman" w:hAnsi="Times New Roman" w:cs="Times New Roman" w:eastAsiaTheme="minorEastAsia"/>
              <w:color w:val="000000"/>
              <w:szCs w:val="21"/>
            </w:rPr>
            <w:t>1</w:t>
          </w:r>
          <w:r>
            <w:rPr>
              <w:rFonts w:ascii="Times New Roman" w:cs="Times New Roman" w:hAnsiTheme="minorEastAsia" w:eastAsiaTheme="minorEastAsia"/>
              <w:color w:val="000000"/>
              <w:szCs w:val="21"/>
            </w:rPr>
            <w:t>日起发生增值税应税销售行为或者进口货物，原使用税率</w:t>
          </w:r>
          <w:r>
            <w:rPr>
              <w:rFonts w:ascii="Times New Roman" w:hAnsi="Times New Roman" w:cs="Times New Roman" w:eastAsiaTheme="minorEastAsia"/>
              <w:color w:val="000000"/>
              <w:szCs w:val="21"/>
            </w:rPr>
            <w:t>16%</w:t>
          </w:r>
          <w:r>
            <w:rPr>
              <w:rFonts w:ascii="Times New Roman" w:cs="Times New Roman" w:hAnsiTheme="minorEastAsia" w:eastAsiaTheme="minorEastAsia"/>
              <w:color w:val="000000"/>
              <w:szCs w:val="21"/>
            </w:rPr>
            <w:t>、</w:t>
          </w:r>
          <w:r>
            <w:rPr>
              <w:rFonts w:ascii="Times New Roman" w:hAnsi="Times New Roman" w:cs="Times New Roman" w:eastAsiaTheme="minorEastAsia"/>
              <w:color w:val="000000"/>
              <w:szCs w:val="21"/>
            </w:rPr>
            <w:t>10%</w:t>
          </w:r>
          <w:r>
            <w:rPr>
              <w:rFonts w:ascii="Times New Roman" w:cs="Times New Roman" w:hAnsiTheme="minorEastAsia" w:eastAsiaTheme="minorEastAsia"/>
              <w:color w:val="000000"/>
              <w:szCs w:val="21"/>
            </w:rPr>
            <w:t>税率的，税率分别调至为</w:t>
          </w:r>
          <w:r>
            <w:rPr>
              <w:rFonts w:ascii="Times New Roman" w:hAnsi="Times New Roman" w:cs="Times New Roman" w:eastAsiaTheme="minorEastAsia"/>
              <w:color w:val="000000"/>
              <w:szCs w:val="21"/>
            </w:rPr>
            <w:t>13%</w:t>
          </w:r>
          <w:r>
            <w:rPr>
              <w:rFonts w:ascii="Times New Roman" w:cs="Times New Roman" w:hAnsiTheme="minorEastAsia" w:eastAsiaTheme="minorEastAsia"/>
              <w:color w:val="000000"/>
              <w:szCs w:val="21"/>
            </w:rPr>
            <w:t>、</w:t>
          </w:r>
          <w:r>
            <w:rPr>
              <w:rFonts w:ascii="Times New Roman" w:hAnsi="Times New Roman" w:cs="Times New Roman" w:eastAsiaTheme="minorEastAsia"/>
              <w:color w:val="000000"/>
              <w:szCs w:val="21"/>
            </w:rPr>
            <w:t>9%</w:t>
          </w:r>
          <w:r>
            <w:rPr>
              <w:rFonts w:ascii="Times New Roman" w:cs="Times New Roman" w:hAnsiTheme="minorEastAsia" w:eastAsiaTheme="minorEastAsia"/>
              <w:color w:val="000000"/>
              <w:szCs w:val="21"/>
            </w:rPr>
            <w:t>。</w:t>
          </w:r>
        </w:p>
        <w:p>
          <w:pPr>
            <w:spacing w:line="400" w:lineRule="exact"/>
            <w:ind w:firstLine="420" w:firstLineChars="200"/>
            <w:rPr>
              <w:rFonts w:ascii="Times New Roman" w:hAnsi="Times New Roman" w:cs="Times New Roman"/>
              <w:szCs w:val="21"/>
            </w:rPr>
          </w:pPr>
        </w:p>
        <w:p>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865724411"/>
            <w:lock w:val="sdtLocked"/>
            <w:placeholder>
              <w:docPart w:val="GBC22222222222222222222222222222"/>
            </w:placeholder>
          </w:sdtPr>
          <w:sdtEndPr>
            <w:rPr>
              <w:szCs w:val="21"/>
            </w:rPr>
          </w:sdtEndPr>
          <w:sdtContent>
            <w:p>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865724417"/>
        <w:lock w:val="sdtLocked"/>
        <w:placeholder>
          <w:docPart w:val="GBC22222222222222222222222222222"/>
        </w:placeholder>
      </w:sdtPr>
      <w:sdtEndPr>
        <w:rPr>
          <w:rFonts w:hint="eastAsia" w:cs="Times New Roman" w:asciiTheme="minorEastAsia" w:hAnsiTheme="minorEastAsia" w:eastAsiaTheme="minorEastAsia"/>
          <w:b w:val="0"/>
          <w:bCs w:val="0"/>
          <w:kern w:val="2"/>
          <w:sz w:val="21"/>
          <w:szCs w:val="21"/>
        </w:rPr>
      </w:sdtEndPr>
      <w:sdtContent>
        <w:p>
          <w:pPr>
            <w:pStyle w:val="4"/>
            <w:numPr>
              <w:ilvl w:val="0"/>
              <w:numId w:val="78"/>
            </w:numPr>
            <w:tabs>
              <w:tab w:val="left" w:pos="546"/>
            </w:tabs>
          </w:pPr>
          <w:r>
            <w:t>税收优惠</w:t>
          </w:r>
        </w:p>
        <w:sdt>
          <w:sdtPr>
            <w:rPr>
              <w:rFonts w:hint="eastAsia"/>
              <w:szCs w:val="21"/>
            </w:rPr>
            <w:alias w:val="是否适用：税收优惠[双击切换]"/>
            <w:tag w:val="_GBC_7b649dcf8ab54475bffc51edb3c33588"/>
            <w:id w:val="86572441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865724416"/>
            <w:lock w:val="sdtLocked"/>
            <w:placeholder>
              <w:docPart w:val="GBC22222222222222222222222222222"/>
            </w:placeholder>
          </w:sdtPr>
          <w:sdtEndPr>
            <w:rPr>
              <w:rFonts w:hint="default" w:ascii="Times New Roman" w:hAnsi="Times New Roman" w:cs="Times New Roman"/>
              <w:szCs w:val="21"/>
            </w:rPr>
          </w:sdtEndPr>
          <w:sdtContent>
            <w:p>
              <w:pPr>
                <w:widowControl w:val="0"/>
                <w:snapToGrid w:val="0"/>
                <w:spacing w:line="480" w:lineRule="exact"/>
                <w:ind w:firstLine="420" w:firstLineChars="200"/>
                <w:jc w:val="both"/>
                <w:rPr>
                  <w:rFonts w:asciiTheme="minorEastAsia" w:hAnsiTheme="minorEastAsia" w:eastAsiaTheme="minorEastAsia"/>
                  <w:color w:val="000000"/>
                  <w:sz w:val="24"/>
                </w:rPr>
              </w:pPr>
              <w:r>
                <w:rPr>
                  <w:rFonts w:hint="eastAsia" w:asciiTheme="minorEastAsia" w:hAnsiTheme="minorEastAsia" w:eastAsiaTheme="minorEastAsia"/>
                  <w:color w:val="000000"/>
                  <w:sz w:val="24"/>
                </w:rPr>
                <w:t>1、企业所得税</w:t>
              </w:r>
            </w:p>
            <w:p>
              <w:pPr>
                <w:widowControl w:val="0"/>
                <w:snapToGrid w:val="0"/>
                <w:spacing w:line="480" w:lineRule="exact"/>
                <w:ind w:firstLine="420" w:firstLineChars="200"/>
                <w:jc w:val="both"/>
                <w:rPr>
                  <w:rFonts w:asciiTheme="minorEastAsia" w:hAnsiTheme="minorEastAsia" w:eastAsiaTheme="minorEastAsia"/>
                  <w:color w:val="000000"/>
                  <w:sz w:val="24"/>
                </w:rPr>
              </w:pPr>
              <w:r>
                <w:rPr>
                  <w:rFonts w:hint="eastAsia" w:ascii="Times New Roman" w:cs="Times New Roman" w:hAnsiTheme="minorEastAsia" w:eastAsiaTheme="minorEastAsia"/>
                  <w:color w:val="000000"/>
                  <w:szCs w:val="21"/>
                </w:rPr>
                <w:t>根据财政部、税务总局、国家发展改革委2020年第23号《关于延续西部大开发企业所得税政策的公告》，自2021年1月1日至2030年12月31日，对设在西部地区的鼓励类产业企业减按15%的税率征收企业所得税，本公司下属子公司广西两面针亿康药业股份有限公司，享受此优惠税率。</w:t>
              </w:r>
            </w:p>
            <w:p>
              <w:pPr>
                <w:rPr>
                  <w:rFonts w:ascii="Times New Roman" w:hAnsi="Times New Roman" w:cs="Times New Roman"/>
                  <w:szCs w:val="21"/>
                </w:rPr>
              </w:pPr>
            </w:p>
          </w:sdtContent>
        </w:sdt>
        <w:p>
          <w:pPr>
            <w:rPr>
              <w:rFonts w:asciiTheme="minorEastAsia" w:hAnsiTheme="minorEastAsia" w:eastAsiaTheme="minorEastAsia"/>
              <w:szCs w:val="21"/>
            </w:rPr>
          </w:pPr>
        </w:p>
      </w:sdtContent>
    </w:sdt>
    <w:sdt>
      <w:sdtPr>
        <w:rPr>
          <w:rFonts w:ascii="宋体" w:hAnsi="宋体" w:cs="宋体"/>
          <w:b w:val="0"/>
          <w:bCs w:val="0"/>
          <w:kern w:val="0"/>
          <w:sz w:val="24"/>
          <w:szCs w:val="22"/>
        </w:rPr>
        <w:alias w:val="模块:其他说明"/>
        <w:tag w:val="_GBC_9fdef48633e142f68e18dc5da08c2deb"/>
        <w:id w:val="865724419"/>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78"/>
            </w:numPr>
            <w:tabs>
              <w:tab w:val="left" w:pos="546"/>
            </w:tabs>
            <w:rPr>
              <w:rFonts w:asciiTheme="minorEastAsia" w:hAnsiTheme="minorEastAsia" w:eastAsiaTheme="minorEastAsia"/>
            </w:rPr>
          </w:pPr>
          <w:r>
            <w:t>其他</w:t>
          </w:r>
        </w:p>
        <w:sdt>
          <w:sdtPr>
            <w:rPr>
              <w:rFonts w:hint="eastAsia"/>
              <w:szCs w:val="21"/>
            </w:rPr>
            <w:alias w:val="是否适用：税项说明[双击切换]"/>
            <w:tag w:val="_GBC_cb15d487e8d84ad7877bd8820156d381"/>
            <w:id w:val="86572441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
    <w:p/>
    <w:p>
      <w:pPr>
        <w:pStyle w:val="3"/>
        <w:numPr>
          <w:ilvl w:val="0"/>
          <w:numId w:val="54"/>
        </w:numPr>
      </w:pPr>
      <w:r>
        <w:rPr>
          <w:rFonts w:hint="eastAsia"/>
        </w:rPr>
        <w:t>合并财务报表项目注释</w:t>
      </w:r>
    </w:p>
    <w:sdt>
      <w:sdtPr>
        <w:rPr>
          <w:rFonts w:hint="eastAsia" w:ascii="宋体" w:hAnsi="宋体" w:cs="宋体"/>
          <w:b w:val="0"/>
          <w:bCs w:val="0"/>
          <w:kern w:val="0"/>
          <w:szCs w:val="21"/>
        </w:rPr>
        <w:alias w:val="模块:货币资金"/>
        <w:tag w:val="_GBC_e001074b3db146e59ba240ad8dd14b68"/>
        <w:id w:val="865724432"/>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79"/>
            </w:numPr>
            <w:rPr>
              <w:szCs w:val="21"/>
            </w:rPr>
          </w:pPr>
          <w:r>
            <w:rPr>
              <w:szCs w:val="21"/>
            </w:rPr>
            <w:t>货币资金</w:t>
          </w:r>
        </w:p>
        <w:sdt>
          <w:sdtPr>
            <w:rPr>
              <w:rFonts w:hint="eastAsia"/>
              <w:szCs w:val="21"/>
            </w:rPr>
            <w:alias w:val="是否适用：货币资金[双击切换]"/>
            <w:tag w:val="_GBC_7583a9a918ef405ba2d26448cc628ff5"/>
            <w:id w:val="865724420"/>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8657244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8657244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276"/>
            <w:gridCol w:w="3379"/>
            <w:gridCol w:w="3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ascii="Times New Roman" w:hAnsi="Times New Roman" w:cs="Times New Roman"/>
                </w:rPr>
                <w:tag w:val="_PLD_640e7daf451b4f14ba49162bfbbd1e72"/>
                <w:id w:val="865724423"/>
                <w:lock w:val="sdtLocked"/>
              </w:sdtPr>
              <w:sdtEndPr>
                <w:rPr>
                  <w:rFonts w:ascii="Times New Roman" w:hAnsi="Times New Roman" w:cs="Times New Roman"/>
                </w:rPr>
              </w:sdtEndPr>
              <w:sdtContent>
                <w:tc>
                  <w:tcPr>
                    <w:tcW w:w="1256" w:type="pct"/>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79d1e78073b542bda1ea85bf8925b2cd"/>
                <w:id w:val="865724424"/>
                <w:lock w:val="sdtLocked"/>
              </w:sdtPr>
              <w:sdtEndPr>
                <w:rPr>
                  <w:rFonts w:ascii="Times New Roman" w:hAnsi="Times New Roman" w:cs="Times New Roman"/>
                </w:rPr>
              </w:sdtEndPr>
              <w:sdtContent>
                <w:tc>
                  <w:tcPr>
                    <w:tcW w:w="1865" w:type="pct"/>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725adef951424bb094850d632de69fd0"/>
                <w:id w:val="865724425"/>
                <w:lock w:val="sdtLocked"/>
              </w:sdtPr>
              <w:sdtEndPr>
                <w:rPr>
                  <w:rFonts w:ascii="Times New Roman" w:hAnsi="Times New Roman" w:cs="Times New Roman"/>
                </w:rPr>
              </w:sdtEndPr>
              <w:sdtContent>
                <w:tc>
                  <w:tcPr>
                    <w:tcW w:w="1879" w:type="pct"/>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55b07f50e1e44a558dc393086d2f0e7f"/>
                <w:id w:val="865724426"/>
                <w:lock w:val="sdtLocked"/>
              </w:sdtPr>
              <w:sdtEndPr>
                <w:rPr>
                  <w:rFonts w:ascii="Times New Roman" w:hAnsi="Times New Roman" w:cs="Times New Roman"/>
                </w:rPr>
              </w:sdtEndPr>
              <w:sdtContent>
                <w:tc>
                  <w:tcPr>
                    <w:tcW w:w="1256" w:type="pct"/>
                    <w:shd w:val="clear" w:color="auto" w:fill="auto"/>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库存现金</w:t>
                    </w:r>
                  </w:p>
                </w:tc>
              </w:sdtContent>
            </w:sdt>
            <w:tc>
              <w:tcPr>
                <w:tcW w:w="1865" w:type="pct"/>
                <w:shd w:val="clear" w:color="auto" w:fill="auto"/>
                <w:vAlign w:val="center"/>
              </w:tcPr>
              <w:p>
                <w:pPr>
                  <w:jc w:val="right"/>
                  <w:rPr>
                    <w:rFonts w:ascii="Times New Roman" w:hAnsi="Times New Roman" w:cs="Times New Roman"/>
                    <w:sz w:val="24"/>
                  </w:rPr>
                </w:pPr>
                <w:r>
                  <w:rPr>
                    <w:rFonts w:ascii="Times New Roman" w:hAnsi="Times New Roman" w:cs="Times New Roman"/>
                  </w:rPr>
                  <w:t>28,210.29</w:t>
                </w:r>
              </w:p>
            </w:tc>
            <w:tc>
              <w:tcPr>
                <w:tcW w:w="1879" w:type="pct"/>
                <w:shd w:val="clear" w:color="auto" w:fill="auto"/>
                <w:vAlign w:val="center"/>
              </w:tcPr>
              <w:p>
                <w:pPr>
                  <w:jc w:val="right"/>
                  <w:rPr>
                    <w:rFonts w:ascii="Times New Roman" w:hAnsi="Times New Roman" w:cs="Times New Roman"/>
                    <w:sz w:val="24"/>
                  </w:rPr>
                </w:pPr>
                <w:r>
                  <w:rPr>
                    <w:rFonts w:ascii="Times New Roman" w:hAnsi="Times New Roman" w:cs="Times New Roman"/>
                  </w:rPr>
                  <w:t>14,663.88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29d0fc45c2044da8ab0120f52fea8366"/>
                <w:id w:val="865724427"/>
                <w:lock w:val="sdtLocked"/>
              </w:sdtPr>
              <w:sdtEndPr>
                <w:rPr>
                  <w:rFonts w:ascii="Times New Roman" w:hAnsi="Times New Roman" w:cs="Times New Roman"/>
                </w:rPr>
              </w:sdtEndPr>
              <w:sdtContent>
                <w:tc>
                  <w:tcPr>
                    <w:tcW w:w="1256" w:type="pct"/>
                    <w:shd w:val="clear" w:color="auto" w:fill="auto"/>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银行存款</w:t>
                    </w:r>
                  </w:p>
                </w:tc>
              </w:sdtContent>
            </w:sdt>
            <w:tc>
              <w:tcPr>
                <w:tcW w:w="1865" w:type="pct"/>
                <w:shd w:val="clear" w:color="auto" w:fill="auto"/>
                <w:vAlign w:val="center"/>
              </w:tcPr>
              <w:p>
                <w:pPr>
                  <w:jc w:val="right"/>
                  <w:rPr>
                    <w:rFonts w:ascii="Times New Roman" w:hAnsi="Times New Roman" w:cs="Times New Roman"/>
                    <w:sz w:val="24"/>
                  </w:rPr>
                </w:pPr>
                <w:r>
                  <w:rPr>
                    <w:rFonts w:ascii="Times New Roman" w:hAnsi="Times New Roman" w:cs="Times New Roman"/>
                  </w:rPr>
                  <w:t>1,225,454,063.77</w:t>
                </w:r>
              </w:p>
            </w:tc>
            <w:tc>
              <w:tcPr>
                <w:tcW w:w="1879" w:type="pct"/>
                <w:shd w:val="clear" w:color="auto" w:fill="auto"/>
                <w:vAlign w:val="center"/>
              </w:tcPr>
              <w:p>
                <w:pPr>
                  <w:jc w:val="right"/>
                  <w:rPr>
                    <w:rFonts w:ascii="Times New Roman" w:hAnsi="Times New Roman" w:cs="Times New Roman"/>
                    <w:sz w:val="24"/>
                  </w:rPr>
                </w:pPr>
                <w:r>
                  <w:rPr>
                    <w:rFonts w:ascii="Times New Roman" w:hAnsi="Times New Roman" w:cs="Times New Roman"/>
                  </w:rPr>
                  <w:t>612,398,943.48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c1e18aed267f4e76a33b93512faddc98"/>
                <w:id w:val="865724428"/>
                <w:lock w:val="sdtLocked"/>
              </w:sdtPr>
              <w:sdtEndPr>
                <w:rPr>
                  <w:rFonts w:ascii="Times New Roman" w:hAnsi="Times New Roman" w:cs="Times New Roman"/>
                </w:rPr>
              </w:sdtEndPr>
              <w:sdtContent>
                <w:tc>
                  <w:tcPr>
                    <w:tcW w:w="1256" w:type="pct"/>
                    <w:shd w:val="clear" w:color="auto" w:fill="auto"/>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其他货币资金</w:t>
                    </w:r>
                  </w:p>
                </w:tc>
              </w:sdtContent>
            </w:sdt>
            <w:tc>
              <w:tcPr>
                <w:tcW w:w="1865" w:type="pct"/>
                <w:shd w:val="clear" w:color="auto" w:fill="auto"/>
                <w:vAlign w:val="center"/>
              </w:tcPr>
              <w:p>
                <w:pPr>
                  <w:jc w:val="right"/>
                  <w:rPr>
                    <w:rFonts w:ascii="Times New Roman" w:hAnsi="Times New Roman" w:cs="Times New Roman"/>
                    <w:sz w:val="24"/>
                  </w:rPr>
                </w:pPr>
                <w:r>
                  <w:rPr>
                    <w:rFonts w:ascii="Times New Roman" w:hAnsi="Times New Roman" w:cs="Times New Roman"/>
                  </w:rPr>
                  <w:t>1,646,359.94</w:t>
                </w:r>
              </w:p>
            </w:tc>
            <w:tc>
              <w:tcPr>
                <w:tcW w:w="1879" w:type="pct"/>
                <w:shd w:val="clear" w:color="auto" w:fill="auto"/>
                <w:vAlign w:val="center"/>
              </w:tcPr>
              <w:p>
                <w:pPr>
                  <w:jc w:val="right"/>
                  <w:rPr>
                    <w:rFonts w:ascii="Times New Roman" w:hAnsi="Times New Roman" w:cs="Times New Roman"/>
                    <w:sz w:val="24"/>
                  </w:rPr>
                </w:pPr>
                <w:r>
                  <w:rPr>
                    <w:rFonts w:ascii="Times New Roman" w:hAnsi="Times New Roman" w:cs="Times New Roman"/>
                  </w:rPr>
                  <w:t>5,199,751.53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4aea35e6574448b9a1396c2c1b22290f"/>
                <w:id w:val="865724429"/>
                <w:lock w:val="sdtLocked"/>
              </w:sdtPr>
              <w:sdtEndPr>
                <w:rPr>
                  <w:rFonts w:ascii="Times New Roman" w:hAnsi="Times New Roman" w:cs="Times New Roman"/>
                </w:rPr>
              </w:sdtEndPr>
              <w:sdtContent>
                <w:tc>
                  <w:tcPr>
                    <w:tcW w:w="1256" w:type="pct"/>
                    <w:shd w:val="clear" w:color="auto" w:fill="auto"/>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合计</w:t>
                    </w:r>
                  </w:p>
                </w:tc>
              </w:sdtContent>
            </w:sdt>
            <w:tc>
              <w:tcPr>
                <w:tcW w:w="1865" w:type="pct"/>
                <w:shd w:val="clear" w:color="auto" w:fill="auto"/>
                <w:vAlign w:val="center"/>
              </w:tcPr>
              <w:p>
                <w:pPr>
                  <w:jc w:val="right"/>
                  <w:rPr>
                    <w:rFonts w:ascii="Times New Roman" w:hAnsi="Times New Roman" w:cs="Times New Roman"/>
                    <w:sz w:val="24"/>
                  </w:rPr>
                </w:pPr>
                <w:r>
                  <w:rPr>
                    <w:rFonts w:ascii="Times New Roman" w:hAnsi="Times New Roman" w:cs="Times New Roman"/>
                  </w:rPr>
                  <w:t>1,227,128,634.00</w:t>
                </w:r>
              </w:p>
            </w:tc>
            <w:tc>
              <w:tcPr>
                <w:tcW w:w="1879" w:type="pct"/>
                <w:shd w:val="clear" w:color="auto" w:fill="auto"/>
                <w:vAlign w:val="center"/>
              </w:tcPr>
              <w:p>
                <w:pPr>
                  <w:jc w:val="right"/>
                  <w:rPr>
                    <w:rFonts w:ascii="Times New Roman" w:hAnsi="Times New Roman" w:cs="Times New Roman"/>
                    <w:sz w:val="24"/>
                  </w:rPr>
                </w:pPr>
                <w:r>
                  <w:rPr>
                    <w:rFonts w:ascii="Times New Roman" w:hAnsi="Times New Roman" w:cs="Times New Roman"/>
                  </w:rPr>
                  <w:t>617,613,358.89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bde21157aed743d5a01686780a359fcc"/>
                <w:id w:val="865724430"/>
                <w:lock w:val="sdtLocked"/>
              </w:sdtPr>
              <w:sdtEndPr>
                <w:rPr>
                  <w:rFonts w:ascii="Times New Roman" w:hAnsi="Times New Roman" w:cs="Times New Roman"/>
                </w:rPr>
              </w:sdtEndPr>
              <w:sdtContent>
                <w:tc>
                  <w:tcPr>
                    <w:tcW w:w="1256" w:type="pct"/>
                    <w:shd w:val="clear" w:color="auto" w:fill="auto"/>
                  </w:tcPr>
                  <w:p>
                    <w:pPr>
                      <w:autoSpaceDE w:val="0"/>
                      <w:autoSpaceDN w:val="0"/>
                      <w:adjustRightInd w:val="0"/>
                      <w:snapToGrid w:val="0"/>
                      <w:spacing w:line="240" w:lineRule="atLeast"/>
                      <w:ind w:firstLine="210" w:firstLineChars="100"/>
                      <w:jc w:val="center"/>
                      <w:rPr>
                        <w:rFonts w:ascii="Times New Roman" w:hAnsi="Times New Roman" w:cs="Times New Roman"/>
                        <w:szCs w:val="21"/>
                      </w:rPr>
                    </w:pPr>
                    <w:r>
                      <w:rPr>
                        <w:rFonts w:ascii="Times New Roman" w:cs="Times New Roman"/>
                        <w:szCs w:val="21"/>
                      </w:rPr>
                      <w:t>其中：存放在境外的款项总额</w:t>
                    </w:r>
                  </w:p>
                </w:tc>
              </w:sdtContent>
            </w:sdt>
            <w:tc>
              <w:tcPr>
                <w:tcW w:w="1865" w:type="pct"/>
                <w:shd w:val="clear" w:color="auto" w:fill="auto"/>
                <w:vAlign w:val="center"/>
              </w:tcPr>
              <w:p>
                <w:pPr>
                  <w:autoSpaceDE w:val="0"/>
                  <w:autoSpaceDN w:val="0"/>
                  <w:adjustRightInd w:val="0"/>
                  <w:snapToGrid w:val="0"/>
                  <w:spacing w:line="240" w:lineRule="atLeast"/>
                  <w:jc w:val="right"/>
                  <w:rPr>
                    <w:rFonts w:ascii="Times New Roman" w:hAnsi="Times New Roman" w:cs="Times New Roman"/>
                    <w:szCs w:val="21"/>
                  </w:rPr>
                </w:pPr>
              </w:p>
              <w:p>
                <w:pPr>
                  <w:jc w:val="right"/>
                  <w:rPr>
                    <w:rFonts w:ascii="Times New Roman" w:hAnsi="Times New Roman" w:cs="Times New Roman"/>
                    <w:szCs w:val="21"/>
                  </w:rPr>
                </w:pPr>
                <w:r>
                  <w:rPr>
                    <w:rFonts w:ascii="Times New Roman" w:hAnsi="Times New Roman" w:cs="Times New Roman"/>
                    <w:szCs w:val="21"/>
                  </w:rPr>
                  <w:t>0.00</w:t>
                </w:r>
              </w:p>
            </w:tc>
            <w:tc>
              <w:tcPr>
                <w:tcW w:w="1879" w:type="pct"/>
                <w:shd w:val="clear" w:color="auto" w:fill="auto"/>
                <w:vAlign w:val="center"/>
              </w:tcPr>
              <w:p>
                <w:pPr>
                  <w:autoSpaceDE w:val="0"/>
                  <w:autoSpaceDN w:val="0"/>
                  <w:adjustRightInd w:val="0"/>
                  <w:snapToGrid w:val="0"/>
                  <w:spacing w:line="240" w:lineRule="atLeast"/>
                  <w:jc w:val="right"/>
                  <w:rPr>
                    <w:rFonts w:ascii="Times New Roman" w:hAnsi="Times New Roman" w:cs="Times New Roman"/>
                    <w:szCs w:val="21"/>
                  </w:rPr>
                </w:pPr>
                <w:r>
                  <w:rPr>
                    <w:rFonts w:ascii="Times New Roman" w:hAnsi="Times New Roman" w:cs="Times New Roman"/>
                    <w:szCs w:val="21"/>
                  </w:rPr>
                  <w:t>0.00</w:t>
                </w:r>
              </w:p>
            </w:tc>
          </w:tr>
        </w:tbl>
        <w:p>
          <w:pPr>
            <w:rPr>
              <w:szCs w:val="21"/>
            </w:rPr>
          </w:pPr>
          <w:r>
            <w:rPr>
              <w:rFonts w:hint="eastAsia"/>
              <w:szCs w:val="21"/>
            </w:rPr>
            <w:t>其他说明</w:t>
          </w:r>
        </w:p>
        <w:sdt>
          <w:sdtPr>
            <w:rPr>
              <w:szCs w:val="21"/>
            </w:rPr>
            <w:alias w:val="货币资金的说明"/>
            <w:tag w:val="_GBC_672a863055084dfabbc1ba40f04a68b4"/>
            <w:id w:val="865724431"/>
            <w:lock w:val="sdtLocked"/>
            <w:placeholder>
              <w:docPart w:val="GBC22222222222222222222222222222"/>
            </w:placeholder>
          </w:sdtPr>
          <w:sdtEndPr>
            <w:rPr>
              <w:szCs w:val="21"/>
            </w:rPr>
          </w:sdtEndPr>
          <w:sdtContent>
            <w:p>
              <w:pPr>
                <w:spacing w:line="500" w:lineRule="exact"/>
                <w:ind w:firstLine="420" w:firstLineChars="200"/>
                <w:rPr>
                  <w:color w:val="000000"/>
                  <w:sz w:val="24"/>
                </w:rPr>
              </w:pPr>
              <w:r>
                <w:rPr>
                  <w:rFonts w:hint="eastAsia"/>
                  <w:color w:val="000000"/>
                  <w:szCs w:val="21"/>
                </w:rPr>
                <w:t>其他货币资金分类列示：</w:t>
              </w:r>
            </w:p>
            <w:tbl>
              <w:tblPr>
                <w:tblStyle w:val="10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044"/>
                <w:gridCol w:w="2743"/>
                <w:gridCol w:w="274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785" w:type="pct"/>
                    <w:vAlign w:val="center"/>
                  </w:tcPr>
                  <w:p>
                    <w:pPr>
                      <w:widowControl w:val="0"/>
                      <w:tabs>
                        <w:tab w:val="left" w:pos="196"/>
                        <w:tab w:val="left" w:pos="426"/>
                        <w:tab w:val="left" w:pos="1134"/>
                      </w:tabs>
                      <w:snapToGrid w:val="0"/>
                      <w:spacing w:line="400" w:lineRule="exact"/>
                      <w:jc w:val="center"/>
                      <w:rPr>
                        <w:rFonts w:ascii="Times New Roman" w:hAnsi="Times New Roman" w:cs="Times New Roman"/>
                        <w:sz w:val="18"/>
                        <w:szCs w:val="18"/>
                      </w:rPr>
                    </w:pPr>
                    <w:r>
                      <w:rPr>
                        <w:rFonts w:ascii="Times New Roman" w:hAnsi="Arial Narrow" w:cs="Times New Roman"/>
                        <w:sz w:val="18"/>
                        <w:szCs w:val="18"/>
                      </w:rPr>
                      <w:t>项目</w:t>
                    </w:r>
                  </w:p>
                </w:tc>
                <w:tc>
                  <w:tcPr>
                    <w:tcW w:w="1608" w:type="pct"/>
                    <w:vAlign w:val="center"/>
                  </w:tcPr>
                  <w:p>
                    <w:pPr>
                      <w:widowControl w:val="0"/>
                      <w:tabs>
                        <w:tab w:val="left" w:pos="196"/>
                        <w:tab w:val="left" w:pos="426"/>
                        <w:tab w:val="left" w:pos="1134"/>
                      </w:tabs>
                      <w:snapToGrid w:val="0"/>
                      <w:spacing w:line="400" w:lineRule="exact"/>
                      <w:jc w:val="center"/>
                      <w:rPr>
                        <w:rFonts w:ascii="Times New Roman" w:hAnsi="Times New Roman" w:cs="Times New Roman"/>
                        <w:sz w:val="18"/>
                        <w:szCs w:val="18"/>
                      </w:rPr>
                    </w:pPr>
                    <w:r>
                      <w:rPr>
                        <w:rFonts w:ascii="Times New Roman" w:hAnsi="Times New Roman" w:cs="Times New Roman"/>
                        <w:sz w:val="18"/>
                        <w:szCs w:val="18"/>
                      </w:rPr>
                      <w:t>期末余额</w:t>
                    </w:r>
                  </w:p>
                </w:tc>
                <w:tc>
                  <w:tcPr>
                    <w:tcW w:w="1607" w:type="pct"/>
                    <w:vAlign w:val="center"/>
                  </w:tcPr>
                  <w:p>
                    <w:pPr>
                      <w:widowControl w:val="0"/>
                      <w:tabs>
                        <w:tab w:val="left" w:pos="196"/>
                        <w:tab w:val="left" w:pos="426"/>
                        <w:tab w:val="left" w:pos="1134"/>
                      </w:tabs>
                      <w:snapToGrid w:val="0"/>
                      <w:spacing w:line="400" w:lineRule="exact"/>
                      <w:jc w:val="center"/>
                      <w:rPr>
                        <w:rFonts w:ascii="Times New Roman" w:hAnsi="Times New Roman" w:cs="Times New Roman"/>
                        <w:sz w:val="18"/>
                        <w:szCs w:val="18"/>
                      </w:rPr>
                    </w:pPr>
                    <w:r>
                      <w:rPr>
                        <w:rFonts w:ascii="Times New Roman" w:hAnsi="Times New Roman" w:cs="Times New Roman"/>
                        <w:sz w:val="18"/>
                        <w:szCs w:val="18"/>
                      </w:rPr>
                      <w:t>期初余额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785" w:type="pct"/>
                    <w:vAlign w:val="center"/>
                  </w:tcPr>
                  <w:p>
                    <w:pPr>
                      <w:widowControl w:val="0"/>
                      <w:tabs>
                        <w:tab w:val="left" w:pos="196"/>
                        <w:tab w:val="left" w:pos="426"/>
                        <w:tab w:val="left" w:pos="1134"/>
                      </w:tabs>
                      <w:snapToGrid w:val="0"/>
                      <w:spacing w:line="400" w:lineRule="exact"/>
                      <w:rPr>
                        <w:rFonts w:ascii="Times New Roman" w:hAnsi="Times New Roman" w:cs="Times New Roman"/>
                        <w:sz w:val="18"/>
                        <w:szCs w:val="18"/>
                      </w:rPr>
                    </w:pPr>
                    <w:r>
                      <w:rPr>
                        <w:rFonts w:ascii="Times New Roman" w:hAnsi="Arial Narrow" w:cs="Times New Roman"/>
                        <w:sz w:val="18"/>
                        <w:szCs w:val="18"/>
                      </w:rPr>
                      <w:t>存出投资款</w:t>
                    </w:r>
                  </w:p>
                </w:tc>
                <w:tc>
                  <w:tcPr>
                    <w:tcW w:w="1608"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33,396.00</w:t>
                    </w:r>
                  </w:p>
                </w:tc>
                <w:tc>
                  <w:tcPr>
                    <w:tcW w:w="1607"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33,278.41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785" w:type="pct"/>
                    <w:vAlign w:val="center"/>
                  </w:tcPr>
                  <w:p>
                    <w:pPr>
                      <w:widowControl w:val="0"/>
                      <w:tabs>
                        <w:tab w:val="left" w:pos="196"/>
                        <w:tab w:val="left" w:pos="426"/>
                        <w:tab w:val="left" w:pos="1134"/>
                      </w:tabs>
                      <w:snapToGrid w:val="0"/>
                      <w:spacing w:line="400" w:lineRule="exact"/>
                      <w:rPr>
                        <w:rFonts w:ascii="Times New Roman" w:hAnsi="Times New Roman" w:cs="Times New Roman"/>
                        <w:sz w:val="18"/>
                        <w:szCs w:val="18"/>
                      </w:rPr>
                    </w:pPr>
                    <w:r>
                      <w:rPr>
                        <w:rFonts w:ascii="Times New Roman" w:hAnsi="Arial Narrow" w:cs="Times New Roman"/>
                        <w:sz w:val="18"/>
                        <w:szCs w:val="18"/>
                      </w:rPr>
                      <w:t>银行承兑保证金</w:t>
                    </w:r>
                  </w:p>
                </w:tc>
                <w:tc>
                  <w:tcPr>
                    <w:tcW w:w="1608"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1,612,963.94</w:t>
                    </w:r>
                  </w:p>
                </w:tc>
                <w:tc>
                  <w:tcPr>
                    <w:tcW w:w="1607"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5,092,819.63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785" w:type="pct"/>
                    <w:vAlign w:val="center"/>
                  </w:tcPr>
                  <w:p>
                    <w:pPr>
                      <w:widowControl w:val="0"/>
                      <w:tabs>
                        <w:tab w:val="left" w:pos="196"/>
                        <w:tab w:val="left" w:pos="426"/>
                        <w:tab w:val="left" w:pos="1134"/>
                      </w:tabs>
                      <w:snapToGrid w:val="0"/>
                      <w:spacing w:line="400" w:lineRule="exact"/>
                      <w:rPr>
                        <w:rFonts w:ascii="Times New Roman" w:hAnsi="Times New Roman" w:cs="Times New Roman"/>
                        <w:sz w:val="18"/>
                        <w:szCs w:val="18"/>
                      </w:rPr>
                    </w:pPr>
                    <w:r>
                      <w:rPr>
                        <w:rFonts w:ascii="Times New Roman" w:hAnsi="Arial Narrow" w:cs="Times New Roman"/>
                        <w:sz w:val="18"/>
                        <w:szCs w:val="18"/>
                      </w:rPr>
                      <w:t>其他</w:t>
                    </w:r>
                  </w:p>
                </w:tc>
                <w:tc>
                  <w:tcPr>
                    <w:tcW w:w="1608" w:type="pct"/>
                    <w:vAlign w:val="center"/>
                  </w:tcPr>
                  <w:p>
                    <w:pPr>
                      <w:widowControl w:val="0"/>
                      <w:spacing w:line="400" w:lineRule="exact"/>
                      <w:jc w:val="right"/>
                      <w:rPr>
                        <w:rFonts w:ascii="Times New Roman" w:hAnsi="Times New Roman" w:cs="Times New Roman" w:eastAsiaTheme="minorEastAsia"/>
                        <w:color w:val="000000"/>
                        <w:sz w:val="18"/>
                        <w:szCs w:val="18"/>
                      </w:rPr>
                    </w:pPr>
                  </w:p>
                </w:tc>
                <w:tc>
                  <w:tcPr>
                    <w:tcW w:w="1607"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73,653.49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785" w:type="pct"/>
                    <w:vAlign w:val="center"/>
                  </w:tcPr>
                  <w:p>
                    <w:pPr>
                      <w:widowControl w:val="0"/>
                      <w:tabs>
                        <w:tab w:val="left" w:pos="196"/>
                        <w:tab w:val="left" w:pos="426"/>
                        <w:tab w:val="left" w:pos="1134"/>
                      </w:tabs>
                      <w:snapToGrid w:val="0"/>
                      <w:spacing w:line="400" w:lineRule="exact"/>
                      <w:jc w:val="center"/>
                      <w:rPr>
                        <w:rFonts w:ascii="Times New Roman" w:hAnsi="Times New Roman" w:cs="Times New Roman"/>
                        <w:sz w:val="18"/>
                        <w:szCs w:val="18"/>
                      </w:rPr>
                    </w:pPr>
                    <w:r>
                      <w:rPr>
                        <w:rFonts w:ascii="Times New Roman" w:hAnsi="Arial Narrow" w:cs="Times New Roman"/>
                        <w:sz w:val="18"/>
                        <w:szCs w:val="18"/>
                      </w:rPr>
                      <w:t>合计</w:t>
                    </w:r>
                  </w:p>
                </w:tc>
                <w:tc>
                  <w:tcPr>
                    <w:tcW w:w="1608"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1,646,359.94</w:t>
                    </w:r>
                  </w:p>
                </w:tc>
                <w:tc>
                  <w:tcPr>
                    <w:tcW w:w="1607"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5,199,751.53</w:t>
                    </w:r>
                  </w:p>
                </w:tc>
              </w:tr>
            </w:tbl>
            <w:p>
              <w:pPr>
                <w:rPr>
                  <w:szCs w:val="21"/>
                </w:rPr>
              </w:pPr>
            </w:p>
          </w:sdtContent>
        </w:sdt>
      </w:sdtContent>
    </w:sdt>
    <w:p>
      <w:pPr>
        <w:rPr>
          <w:szCs w:val="21"/>
        </w:rPr>
      </w:pPr>
    </w:p>
    <w:sdt>
      <w:sdtPr>
        <w:rPr>
          <w:rFonts w:hint="eastAsia" w:ascii="宋体" w:hAnsi="宋体" w:cs="宋体"/>
          <w:b w:val="0"/>
          <w:bCs w:val="0"/>
          <w:kern w:val="0"/>
          <w:szCs w:val="21"/>
        </w:rPr>
        <w:alias w:val="模块:交易性金融资产"/>
        <w:tag w:val="_SEC_5d6c5a8a108d4b628932fa3be459b540"/>
        <w:id w:val="865724449"/>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79"/>
            </w:numPr>
            <w:rPr>
              <w:szCs w:val="21"/>
            </w:rPr>
          </w:pPr>
          <w:r>
            <w:rPr>
              <w:rFonts w:hint="eastAsia"/>
              <w:szCs w:val="21"/>
            </w:rPr>
            <w:t>交易性金融资产</w:t>
          </w:r>
        </w:p>
        <w:sdt>
          <w:sdtPr>
            <w:alias w:val="是否适用：交易性金融资产[双击切换]"/>
            <w:tag w:val="_GBC_c852c730c6fa4a3e8930f5cbbab9909f"/>
            <w:id w:val="86572443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8657244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交易性金融资产"/>
              <w:tag w:val="_GBC_e8e3367ec5e14f73842c7a3ca8b264a2"/>
              <w:id w:val="86572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0"/>
            <w:gridCol w:w="2688"/>
            <w:gridCol w:w="2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b99f59eccaa43478dfbfc184cd2ce48"/>
                <w:id w:val="865724436"/>
                <w:lock w:val="sdtLocked"/>
              </w:sdtPr>
              <w:sdtEndPr>
                <w:rPr>
                  <w:rFonts w:ascii="Times New Roman" w:hAnsi="Times New Roman" w:cs="Times New Roman"/>
                </w:rPr>
              </w:sdtEndPr>
              <w:sdtContent>
                <w:tc>
                  <w:tcPr>
                    <w:tcW w:w="2017" w:type="pc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caf9d9000b3e44c1817249ef4121d5db"/>
                <w:id w:val="865724437"/>
                <w:lock w:val="sdtLocked"/>
              </w:sdtPr>
              <w:sdtEndPr>
                <w:rPr>
                  <w:rFonts w:ascii="Times New Roman" w:hAnsi="Times New Roman" w:cs="Times New Roman"/>
                </w:rPr>
              </w:sdtEndPr>
              <w:sdtContent>
                <w:tc>
                  <w:tcPr>
                    <w:tcW w:w="1485" w:type="pct"/>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fd58d8f4bb044aef9b5735371503f591"/>
                <w:id w:val="865724438"/>
                <w:lock w:val="sdtLocked"/>
              </w:sdtPr>
              <w:sdtEndPr>
                <w:rPr>
                  <w:rFonts w:ascii="Times New Roman" w:hAnsi="Times New Roman" w:cs="Times New Roman"/>
                </w:rPr>
              </w:sdtEndPr>
              <w:sdtContent>
                <w:tc>
                  <w:tcPr>
                    <w:tcW w:w="1498" w:type="pct"/>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8420aae6b734a4daabe60833bfcc50e"/>
                <w:id w:val="865724439"/>
                <w:lock w:val="sdtLocked"/>
              </w:sdtPr>
              <w:sdtEndPr>
                <w:rPr>
                  <w:rFonts w:ascii="Times New Roman" w:hAnsi="Times New Roman" w:cs="Times New Roman"/>
                </w:rPr>
              </w:sdtEndPr>
              <w:sdtContent>
                <w:tc>
                  <w:tcPr>
                    <w:tcW w:w="2017" w:type="pct"/>
                    <w:shd w:val="clear" w:color="auto" w:fill="auto"/>
                  </w:tcPr>
                  <w:p>
                    <w:pPr>
                      <w:autoSpaceDE w:val="0"/>
                      <w:autoSpaceDN w:val="0"/>
                      <w:adjustRightInd w:val="0"/>
                      <w:rPr>
                        <w:rFonts w:ascii="Times New Roman" w:hAnsi="Times New Roman" w:cs="Times New Roman"/>
                        <w:szCs w:val="21"/>
                      </w:rPr>
                    </w:pPr>
                    <w:r>
                      <w:rPr>
                        <w:rFonts w:ascii="Times New Roman" w:cs="Times New Roman"/>
                        <w:szCs w:val="21"/>
                      </w:rPr>
                      <w:t>以公允价值计量且其变动计入当期损益的金融资产</w:t>
                    </w:r>
                  </w:p>
                </w:tc>
              </w:sdtContent>
            </w:sdt>
            <w:tc>
              <w:tcPr>
                <w:tcW w:w="1485" w:type="pct"/>
                <w:shd w:val="clear" w:color="auto" w:fill="auto"/>
                <w:vAlign w:val="center"/>
              </w:tcPr>
              <w:p>
                <w:pPr>
                  <w:jc w:val="right"/>
                  <w:rPr>
                    <w:rFonts w:ascii="Times New Roman" w:hAnsi="Times New Roman" w:cs="Times New Roman"/>
                    <w:sz w:val="24"/>
                  </w:rPr>
                </w:pPr>
                <w:r>
                  <w:rPr>
                    <w:rFonts w:ascii="Times New Roman" w:hAnsi="Times New Roman" w:cs="Times New Roman"/>
                  </w:rPr>
                  <w:t>240,812,391.20</w:t>
                </w:r>
              </w:p>
            </w:tc>
            <w:tc>
              <w:tcPr>
                <w:tcW w:w="1498" w:type="pct"/>
                <w:shd w:val="clear" w:color="auto" w:fill="auto"/>
                <w:vAlign w:val="center"/>
              </w:tcPr>
              <w:p>
                <w:pPr>
                  <w:jc w:val="right"/>
                  <w:rPr>
                    <w:rFonts w:ascii="Times New Roman" w:hAnsi="Times New Roman" w:cs="Times New Roman"/>
                    <w:sz w:val="24"/>
                  </w:rPr>
                </w:pPr>
                <w:r>
                  <w:rPr>
                    <w:rFonts w:ascii="Times New Roman" w:hAnsi="Times New Roman" w:cs="Times New Roman"/>
                  </w:rPr>
                  <w:t>298,973,030.20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47bedd0b80c463ab365e4b926d8c081"/>
                <w:id w:val="865724440"/>
                <w:lock w:val="sdtLocked"/>
              </w:sdtPr>
              <w:sdtEndPr>
                <w:rPr>
                  <w:rFonts w:ascii="Times New Roman" w:hAnsi="Times New Roman" w:cs="Times New Roman"/>
                </w:rPr>
              </w:sdtEndPr>
              <w:sdtContent>
                <w:tc>
                  <w:tcPr>
                    <w:tcW w:w="5000" w:type="pct"/>
                    <w:gridSpan w:val="3"/>
                    <w:shd w:val="clear" w:color="auto" w:fill="auto"/>
                  </w:tcPr>
                  <w:p>
                    <w:pPr>
                      <w:rPr>
                        <w:rFonts w:ascii="Times New Roman" w:hAnsi="Times New Roman" w:cs="Times New Roman"/>
                        <w:szCs w:val="21"/>
                      </w:rPr>
                    </w:pPr>
                    <w:r>
                      <w:rPr>
                        <w:rFonts w:ascii="Times New Roman" w:cs="Times New Roman"/>
                        <w:szCs w:val="21"/>
                      </w:rPr>
                      <w:t>其中：</w:t>
                    </w:r>
                  </w:p>
                </w:tc>
              </w:sdtContent>
            </w:sdt>
          </w:tr>
          <w:sdt>
            <w:sdtPr>
              <w:rPr>
                <w:rFonts w:ascii="Times New Roman" w:hAnsi="Times New Roman" w:cs="Times New Roman"/>
                <w:szCs w:val="21"/>
              </w:rPr>
              <w:alias w:val="交易性金融资产中以公允价值计量且其变动计入当期损益的金融资产明细"/>
              <w:tag w:val="_TUP_2d020e784b2244ceacd7226fcf76765e"/>
              <w:id w:val="86572444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tcPr>
                  <w:p>
                    <w:pPr>
                      <w:autoSpaceDE w:val="0"/>
                      <w:autoSpaceDN w:val="0"/>
                      <w:adjustRightInd w:val="0"/>
                      <w:ind w:firstLine="567" w:firstLineChars="270"/>
                      <w:rPr>
                        <w:rFonts w:ascii="Times New Roman" w:hAnsi="Times New Roman" w:cs="Times New Roman"/>
                        <w:szCs w:val="21"/>
                      </w:rPr>
                    </w:pPr>
                    <w:r>
                      <w:rPr>
                        <w:rFonts w:ascii="Times New Roman" w:cs="Times New Roman"/>
                      </w:rPr>
                      <w:t>权益工具投资</w:t>
                    </w:r>
                  </w:p>
                </w:tc>
                <w:tc>
                  <w:tcPr>
                    <w:tcW w:w="1485" w:type="pct"/>
                    <w:shd w:val="clear" w:color="auto" w:fill="auto"/>
                  </w:tcPr>
                  <w:p>
                    <w:pPr>
                      <w:jc w:val="right"/>
                      <w:rPr>
                        <w:rFonts w:ascii="Times New Roman" w:hAnsi="Times New Roman" w:cs="Times New Roman"/>
                        <w:szCs w:val="21"/>
                      </w:rPr>
                    </w:pPr>
                    <w:r>
                      <w:rPr>
                        <w:rFonts w:ascii="Times New Roman" w:hAnsi="Times New Roman" w:cs="Times New Roman"/>
                      </w:rPr>
                      <w:t>228,942,968.11</w:t>
                    </w:r>
                  </w:p>
                </w:tc>
                <w:tc>
                  <w:tcPr>
                    <w:tcW w:w="1498" w:type="pct"/>
                    <w:shd w:val="clear" w:color="auto" w:fill="auto"/>
                  </w:tcPr>
                  <w:p>
                    <w:pPr>
                      <w:jc w:val="right"/>
                      <w:rPr>
                        <w:rFonts w:ascii="Times New Roman" w:hAnsi="Times New Roman" w:cs="Times New Roman"/>
                        <w:szCs w:val="21"/>
                      </w:rPr>
                    </w:pPr>
                    <w:r>
                      <w:rPr>
                        <w:rFonts w:ascii="Times New Roman" w:hAnsi="Times New Roman" w:cs="Times New Roman"/>
                      </w:rPr>
                      <w:t>254,829,068.48</w:t>
                    </w:r>
                  </w:p>
                </w:tc>
              </w:tr>
            </w:sdtContent>
          </w:sdt>
          <w:sdt>
            <w:sdtPr>
              <w:rPr>
                <w:rFonts w:ascii="Times New Roman" w:hAnsi="Times New Roman" w:cs="Times New Roman"/>
                <w:szCs w:val="21"/>
              </w:rPr>
              <w:alias w:val="交易性金融资产中以公允价值计量且其变动计入当期损益的金融资产明细"/>
              <w:tag w:val="_TUP_2d020e784b2244ceacd7226fcf76765e"/>
              <w:id w:val="86572444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tcPr>
                  <w:p>
                    <w:pPr>
                      <w:autoSpaceDE w:val="0"/>
                      <w:autoSpaceDN w:val="0"/>
                      <w:adjustRightInd w:val="0"/>
                      <w:ind w:firstLine="567" w:firstLineChars="270"/>
                      <w:rPr>
                        <w:rFonts w:ascii="Times New Roman" w:hAnsi="Times New Roman" w:cs="Times New Roman"/>
                        <w:szCs w:val="21"/>
                      </w:rPr>
                    </w:pPr>
                    <w:r>
                      <w:rPr>
                        <w:rFonts w:ascii="Times New Roman" w:cs="Times New Roman"/>
                        <w:szCs w:val="21"/>
                      </w:rPr>
                      <w:t>其他</w:t>
                    </w:r>
                  </w:p>
                </w:tc>
                <w:tc>
                  <w:tcPr>
                    <w:tcW w:w="1485" w:type="pct"/>
                    <w:shd w:val="clear" w:color="auto" w:fill="auto"/>
                  </w:tcPr>
                  <w:p>
                    <w:pPr>
                      <w:jc w:val="right"/>
                      <w:rPr>
                        <w:rFonts w:ascii="Times New Roman" w:hAnsi="Times New Roman" w:cs="Times New Roman"/>
                        <w:szCs w:val="21"/>
                      </w:rPr>
                    </w:pPr>
                    <w:r>
                      <w:rPr>
                        <w:rFonts w:ascii="Times New Roman" w:hAnsi="Times New Roman" w:cs="Times New Roman"/>
                      </w:rPr>
                      <w:t>11,869,423.09</w:t>
                    </w:r>
                  </w:p>
                </w:tc>
                <w:tc>
                  <w:tcPr>
                    <w:tcW w:w="1498" w:type="pct"/>
                    <w:shd w:val="clear" w:color="auto" w:fill="auto"/>
                  </w:tcPr>
                  <w:p>
                    <w:pPr>
                      <w:jc w:val="right"/>
                      <w:rPr>
                        <w:rFonts w:ascii="Times New Roman" w:hAnsi="Times New Roman" w:cs="Times New Roman"/>
                        <w:szCs w:val="21"/>
                      </w:rPr>
                    </w:pPr>
                    <w:r>
                      <w:rPr>
                        <w:rFonts w:ascii="Times New Roman" w:hAnsi="Times New Roman" w:cs="Times New Roman"/>
                      </w:rPr>
                      <w:t>44,143,961.72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93ef04ba51e4641ae29356d5a160628"/>
                <w:id w:val="865724443"/>
                <w:lock w:val="sdtLocked"/>
              </w:sdtPr>
              <w:sdtEndPr>
                <w:rPr>
                  <w:rFonts w:ascii="Times New Roman" w:hAnsi="Times New Roman" w:cs="Times New Roman"/>
                </w:rPr>
              </w:sdtEndPr>
              <w:sdtContent>
                <w:tc>
                  <w:tcPr>
                    <w:tcW w:w="2017" w:type="pct"/>
                    <w:shd w:val="clear" w:color="auto" w:fill="auto"/>
                  </w:tcPr>
                  <w:p>
                    <w:pPr>
                      <w:autoSpaceDE w:val="0"/>
                      <w:autoSpaceDN w:val="0"/>
                      <w:adjustRightInd w:val="0"/>
                      <w:rPr>
                        <w:rFonts w:ascii="Times New Roman" w:hAnsi="Times New Roman" w:cs="Times New Roman"/>
                        <w:szCs w:val="21"/>
                      </w:rPr>
                    </w:pPr>
                    <w:r>
                      <w:rPr>
                        <w:rFonts w:ascii="Times New Roman" w:cs="Times New Roman"/>
                        <w:szCs w:val="21"/>
                      </w:rPr>
                      <w:t>指定以公允价值计量且其变动计入当期损益的金融资产</w:t>
                    </w:r>
                  </w:p>
                </w:tc>
              </w:sdtContent>
            </w:sdt>
            <w:tc>
              <w:tcPr>
                <w:tcW w:w="1485" w:type="pct"/>
                <w:shd w:val="clear" w:color="auto" w:fill="auto"/>
              </w:tcPr>
              <w:p>
                <w:pPr>
                  <w:jc w:val="right"/>
                  <w:rPr>
                    <w:rFonts w:ascii="Times New Roman" w:hAnsi="Times New Roman" w:cs="Times New Roman"/>
                    <w:szCs w:val="21"/>
                  </w:rPr>
                </w:pPr>
              </w:p>
            </w:tc>
            <w:tc>
              <w:tcPr>
                <w:tcW w:w="1498" w:type="pct"/>
                <w:shd w:val="clear" w:color="auto" w:fill="auto"/>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f1663a7b621f4b3eb912bf6125dd9966"/>
                <w:id w:val="865724444"/>
                <w:lock w:val="sdtLocked"/>
              </w:sdtPr>
              <w:sdtEndPr>
                <w:rPr>
                  <w:rFonts w:ascii="Times New Roman" w:hAnsi="Times New Roman" w:cs="Times New Roman"/>
                </w:rPr>
              </w:sdtEndPr>
              <w:sdtContent>
                <w:tc>
                  <w:tcPr>
                    <w:tcW w:w="5000" w:type="pct"/>
                    <w:gridSpan w:val="3"/>
                    <w:shd w:val="clear" w:color="auto" w:fill="auto"/>
                  </w:tcPr>
                  <w:p>
                    <w:pPr>
                      <w:rPr>
                        <w:rFonts w:ascii="Times New Roman" w:hAnsi="Times New Roman" w:cs="Times New Roman"/>
                        <w:szCs w:val="21"/>
                      </w:rPr>
                    </w:pPr>
                    <w:r>
                      <w:rPr>
                        <w:rFonts w:ascii="Times New Roman" w:cs="Times New Roman"/>
                        <w:szCs w:val="21"/>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fc885ae386134e1581e7b7c55917b72b"/>
                <w:id w:val="865724447"/>
                <w:lock w:val="sdtLocked"/>
              </w:sdtPr>
              <w:sdtEndPr>
                <w:rPr>
                  <w:rFonts w:ascii="Times New Roman" w:hAnsi="Times New Roman" w:cs="Times New Roman"/>
                </w:rPr>
              </w:sdtEndPr>
              <w:sdtContent>
                <w:tc>
                  <w:tcPr>
                    <w:tcW w:w="2017" w:type="pct"/>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1485" w:type="pct"/>
                <w:shd w:val="clear" w:color="auto" w:fill="auto"/>
                <w:vAlign w:val="center"/>
              </w:tcPr>
              <w:p>
                <w:pPr>
                  <w:jc w:val="right"/>
                  <w:rPr>
                    <w:rFonts w:ascii="Times New Roman" w:hAnsi="Times New Roman" w:cs="Times New Roman"/>
                    <w:sz w:val="24"/>
                  </w:rPr>
                </w:pPr>
                <w:r>
                  <w:rPr>
                    <w:rFonts w:ascii="Times New Roman" w:hAnsi="Times New Roman" w:cs="Times New Roman"/>
                  </w:rPr>
                  <w:t>240,812,391.20</w:t>
                </w:r>
              </w:p>
            </w:tc>
            <w:tc>
              <w:tcPr>
                <w:tcW w:w="1498" w:type="pct"/>
                <w:shd w:val="clear" w:color="auto" w:fill="auto"/>
                <w:vAlign w:val="center"/>
              </w:tcPr>
              <w:p>
                <w:pPr>
                  <w:jc w:val="right"/>
                  <w:rPr>
                    <w:rFonts w:ascii="Times New Roman" w:hAnsi="Times New Roman" w:cs="Times New Roman"/>
                    <w:sz w:val="24"/>
                  </w:rPr>
                </w:pPr>
                <w:r>
                  <w:rPr>
                    <w:rFonts w:ascii="Times New Roman" w:hAnsi="Times New Roman" w:cs="Times New Roman"/>
                  </w:rPr>
                  <w:t>298,973,030.20</w:t>
                </w:r>
              </w:p>
            </w:tc>
          </w:tr>
        </w:tbl>
        <w:p>
          <w:pPr>
            <w:spacing w:line="490" w:lineRule="exact"/>
            <w:ind w:firstLine="480" w:firstLineChars="200"/>
            <w:rPr>
              <w:color w:val="000000"/>
              <w:sz w:val="24"/>
            </w:rPr>
          </w:pPr>
          <w:r>
            <w:rPr>
              <w:rFonts w:hint="eastAsia"/>
              <w:color w:val="000000"/>
              <w:sz w:val="24"/>
            </w:rPr>
            <w:t>交易性金融资产具体明细：</w:t>
          </w:r>
        </w:p>
        <w:tbl>
          <w:tblPr>
            <w:tblStyle w:val="10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084"/>
            <w:gridCol w:w="2521"/>
            <w:gridCol w:w="292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808" w:type="pct"/>
                <w:vAlign w:val="center"/>
              </w:tcPr>
              <w:p>
                <w:pPr>
                  <w:widowControl w:val="0"/>
                  <w:tabs>
                    <w:tab w:val="left" w:pos="196"/>
                    <w:tab w:val="left" w:pos="426"/>
                    <w:tab w:val="left" w:pos="1134"/>
                  </w:tabs>
                  <w:snapToGrid w:val="0"/>
                  <w:spacing w:line="40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项目</w:t>
                </w:r>
              </w:p>
            </w:tc>
            <w:tc>
              <w:tcPr>
                <w:tcW w:w="1478" w:type="pct"/>
                <w:vAlign w:val="center"/>
              </w:tcPr>
              <w:p>
                <w:pPr>
                  <w:widowControl w:val="0"/>
                  <w:tabs>
                    <w:tab w:val="left" w:pos="196"/>
                    <w:tab w:val="left" w:pos="426"/>
                    <w:tab w:val="left" w:pos="1134"/>
                  </w:tabs>
                  <w:snapToGrid w:val="0"/>
                  <w:spacing w:line="40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期末投资成本</w:t>
                </w:r>
              </w:p>
            </w:tc>
            <w:tc>
              <w:tcPr>
                <w:tcW w:w="1714" w:type="pct"/>
                <w:vAlign w:val="center"/>
              </w:tcPr>
              <w:p>
                <w:pPr>
                  <w:widowControl w:val="0"/>
                  <w:tabs>
                    <w:tab w:val="left" w:pos="196"/>
                    <w:tab w:val="left" w:pos="426"/>
                    <w:tab w:val="left" w:pos="1134"/>
                  </w:tabs>
                  <w:snapToGrid w:val="0"/>
                  <w:spacing w:line="40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期末公允价值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808" w:type="pct"/>
                <w:vAlign w:val="center"/>
              </w:tcPr>
              <w:p>
                <w:pPr>
                  <w:widowControl w:val="0"/>
                  <w:snapToGrid w:val="0"/>
                  <w:spacing w:line="400" w:lineRule="exact"/>
                  <w:jc w:val="both"/>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股票投资</w:t>
                </w:r>
              </w:p>
            </w:tc>
            <w:tc>
              <w:tcPr>
                <w:tcW w:w="1478"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 xml:space="preserve">         26,055,601.96 </w:t>
                </w:r>
              </w:p>
            </w:tc>
            <w:tc>
              <w:tcPr>
                <w:tcW w:w="1714"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 xml:space="preserve">   228,942,968.11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808" w:type="pct"/>
                <w:vAlign w:val="center"/>
              </w:tcPr>
              <w:p>
                <w:pPr>
                  <w:widowControl w:val="0"/>
                  <w:snapToGrid w:val="0"/>
                  <w:spacing w:line="400" w:lineRule="exact"/>
                  <w:jc w:val="both"/>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基金投资</w:t>
                </w:r>
              </w:p>
            </w:tc>
            <w:tc>
              <w:tcPr>
                <w:tcW w:w="1478"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 xml:space="preserve">         11,869,423.09 </w:t>
                </w:r>
              </w:p>
            </w:tc>
            <w:tc>
              <w:tcPr>
                <w:tcW w:w="1714"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 xml:space="preserve">    11,869,423.09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808" w:type="pct"/>
                <w:vAlign w:val="center"/>
              </w:tcPr>
              <w:p>
                <w:pPr>
                  <w:widowControl w:val="0"/>
                  <w:tabs>
                    <w:tab w:val="left" w:pos="196"/>
                    <w:tab w:val="left" w:pos="426"/>
                    <w:tab w:val="left" w:pos="1134"/>
                  </w:tabs>
                  <w:snapToGrid w:val="0"/>
                  <w:spacing w:line="40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合计</w:t>
                </w:r>
              </w:p>
            </w:tc>
            <w:tc>
              <w:tcPr>
                <w:tcW w:w="1478"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 xml:space="preserve">         37,925,025.05 </w:t>
                </w:r>
              </w:p>
            </w:tc>
            <w:tc>
              <w:tcPr>
                <w:tcW w:w="1714" w:type="pct"/>
                <w:vAlign w:val="center"/>
              </w:tcPr>
              <w:p>
                <w:pPr>
                  <w:widowControl w:val="0"/>
                  <w:spacing w:line="40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 xml:space="preserve">   240,812,391.20 </w:t>
                </w:r>
              </w:p>
            </w:tc>
          </w:tr>
        </w:tbl>
        <w:p/>
        <w:p>
          <w:r>
            <w:rPr>
              <w:rFonts w:hint="eastAsia"/>
            </w:rPr>
            <w:t>其他</w:t>
          </w:r>
          <w:r>
            <w:t>说明</w:t>
          </w:r>
          <w:r>
            <w:rPr>
              <w:rFonts w:hint="eastAsia"/>
            </w:rPr>
            <w:t>：</w:t>
          </w:r>
        </w:p>
        <w:sdt>
          <w:sdtPr>
            <w:alias w:val="是否适用：交易性金融资产的说明[双击切换]"/>
            <w:tag w:val="_GBC_9bed9315a85147e7ac11c2b4bac78358"/>
            <w:id w:val="865724448"/>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1"/>
        </w:rPr>
        <w:alias w:val="模块:衍生金融资产"/>
        <w:tag w:val="_SEC_2f4f1660c2f84fe39c4b376a5cc1b1a7"/>
        <w:id w:val="865724451"/>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79"/>
            </w:numPr>
            <w:rPr>
              <w:szCs w:val="21"/>
            </w:rPr>
          </w:pPr>
          <w:r>
            <w:rPr>
              <w:rFonts w:hint="eastAsia"/>
              <w:szCs w:val="21"/>
            </w:rPr>
            <w:t>衍生金融资产</w:t>
          </w:r>
        </w:p>
        <w:sdt>
          <w:sdtPr>
            <w:alias w:val="是否适用：衍生金融资产[双击切换]"/>
            <w:tag w:val="_GBC_d17bfaab262c4a499d0afca62045c5e0"/>
            <w:id w:val="865724450"/>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ind w:left="1470" w:right="25" w:rightChars="12" w:hanging="1470" w:hangingChars="700"/>
            <w:rPr>
              <w:szCs w:val="21"/>
            </w:rPr>
          </w:pPr>
        </w:p>
        <w:p>
          <w:pPr>
            <w:snapToGrid w:val="0"/>
            <w:spacing w:line="240" w:lineRule="atLeast"/>
            <w:ind w:left="1470" w:right="25" w:rightChars="12" w:hanging="1470" w:hangingChars="700"/>
            <w:rPr>
              <w:szCs w:val="21"/>
            </w:rPr>
          </w:pPr>
        </w:p>
      </w:sdtContent>
    </w:sdt>
    <w:p>
      <w:pPr>
        <w:pStyle w:val="4"/>
        <w:numPr>
          <w:ilvl w:val="0"/>
          <w:numId w:val="79"/>
        </w:numPr>
        <w:rPr>
          <w:rFonts w:ascii="宋体" w:hAnsi="宋体" w:cs="宋体"/>
          <w:kern w:val="0"/>
          <w:szCs w:val="21"/>
        </w:rPr>
      </w:pPr>
      <w:r>
        <w:rPr>
          <w:rFonts w:hint="eastAsia" w:ascii="宋体" w:hAnsi="宋体" w:cs="宋体"/>
          <w:kern w:val="0"/>
          <w:szCs w:val="21"/>
        </w:rPr>
        <w:t>应收票据</w:t>
      </w:r>
    </w:p>
    <w:sdt>
      <w:sdtPr>
        <w:rPr>
          <w:rFonts w:hint="eastAsia" w:ascii="宋体" w:hAnsi="宋体" w:eastAsia="宋体" w:cs="宋体"/>
          <w:b w:val="0"/>
          <w:bCs w:val="0"/>
          <w:kern w:val="0"/>
          <w:szCs w:val="24"/>
        </w:rPr>
        <w:alias w:val="模块:应收票据分类列示"/>
        <w:tag w:val="_SEC_4f1c8160429242738fa8e81ef0aab280"/>
        <w:id w:val="865724463"/>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3"/>
              <w:numId w:val="80"/>
            </w:numPr>
            <w:ind w:left="426" w:hanging="426"/>
          </w:pPr>
          <w:r>
            <w:rPr>
              <w:rFonts w:hint="eastAsia"/>
            </w:rPr>
            <w:t>应收票据分类列示</w:t>
          </w:r>
        </w:p>
        <w:sdt>
          <w:sdtPr>
            <w:alias w:val="是否适用：应收票据分类列示[双击切换]"/>
            <w:tag w:val="_GBC_bdf010020d484a01ae60c52d7465a06a"/>
            <w:id w:val="86572445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8657244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8657244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91"/>
            <w:gridCol w:w="3131"/>
            <w:gridCol w:w="2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bd44f6beac5e4b8688c30e166c6780c8"/>
                <w:id w:val="865724455"/>
                <w:lock w:val="sdtLocked"/>
              </w:sdtPr>
              <w:sdtEndPr>
                <w:rPr>
                  <w:rFonts w:ascii="Times New Roman" w:hAnsi="Times New Roman" w:cs="Times New Roman"/>
                </w:rPr>
              </w:sdtEndPr>
              <w:sdtContent>
                <w:tc>
                  <w:tcPr>
                    <w:tcW w:w="1651" w:type="pct"/>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dea2f5c6a1cb487287096a3435e5e8de"/>
                <w:id w:val="865724456"/>
                <w:lock w:val="sdtLocked"/>
              </w:sdtPr>
              <w:sdtEndPr>
                <w:rPr>
                  <w:rFonts w:ascii="Times New Roman" w:hAnsi="Times New Roman" w:cs="Times New Roman"/>
                </w:rPr>
              </w:sdtEndPr>
              <w:sdtContent>
                <w:tc>
                  <w:tcPr>
                    <w:tcW w:w="1728" w:type="pct"/>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5d16922842b04d10836d1bc80b3b3b4e"/>
                <w:id w:val="865724457"/>
                <w:lock w:val="sdtLocked"/>
              </w:sdtPr>
              <w:sdtEndPr>
                <w:rPr>
                  <w:rFonts w:ascii="Times New Roman" w:hAnsi="Times New Roman" w:cs="Times New Roman"/>
                </w:rPr>
              </w:sdtEndPr>
              <w:sdtContent>
                <w:tc>
                  <w:tcPr>
                    <w:tcW w:w="1621" w:type="pct"/>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6a83fc5bb974487788e5e58a59a3eb5f"/>
                <w:id w:val="865724458"/>
                <w:lock w:val="sdtLocked"/>
              </w:sdtPr>
              <w:sdtEndPr>
                <w:rPr>
                  <w:rFonts w:ascii="Times New Roman" w:hAnsi="Times New Roman" w:cs="Times New Roman"/>
                </w:rPr>
              </w:sdtEndPr>
              <w:sdtContent>
                <w:tc>
                  <w:tcPr>
                    <w:tcW w:w="1651" w:type="pct"/>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银行承兑票据</w:t>
                    </w:r>
                  </w:p>
                </w:tc>
              </w:sdtContent>
            </w:sdt>
            <w:tc>
              <w:tcPr>
                <w:tcW w:w="1728" w:type="pct"/>
                <w:vAlign w:val="center"/>
              </w:tcPr>
              <w:p>
                <w:pPr>
                  <w:jc w:val="right"/>
                  <w:rPr>
                    <w:rFonts w:ascii="Times New Roman" w:hAnsi="Times New Roman" w:cs="Times New Roman"/>
                    <w:sz w:val="24"/>
                  </w:rPr>
                </w:pPr>
                <w:r>
                  <w:rPr>
                    <w:rFonts w:ascii="Times New Roman" w:hAnsi="Times New Roman" w:cs="Times New Roman"/>
                  </w:rPr>
                  <w:t>800,000.00</w:t>
                </w:r>
              </w:p>
            </w:tc>
            <w:tc>
              <w:tcPr>
                <w:tcW w:w="1621" w:type="pct"/>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aad9336fa56348e9b260b413a50411a8"/>
                <w:id w:val="865724459"/>
                <w:lock w:val="sdtLocked"/>
              </w:sdtPr>
              <w:sdtEndPr>
                <w:rPr>
                  <w:rFonts w:ascii="Times New Roman" w:hAnsi="Times New Roman" w:cs="Times New Roman"/>
                </w:rPr>
              </w:sdtEndPr>
              <w:sdtContent>
                <w:tc>
                  <w:tcPr>
                    <w:tcW w:w="1651" w:type="pct"/>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商业承兑票据</w:t>
                    </w:r>
                  </w:p>
                </w:tc>
              </w:sdtContent>
            </w:sdt>
            <w:tc>
              <w:tcPr>
                <w:tcW w:w="1728" w:type="pct"/>
                <w:vAlign w:val="center"/>
              </w:tcPr>
              <w:p>
                <w:pPr>
                  <w:jc w:val="right"/>
                  <w:rPr>
                    <w:rFonts w:ascii="Times New Roman" w:hAnsi="Times New Roman" w:cs="Times New Roman"/>
                    <w:sz w:val="24"/>
                  </w:rPr>
                </w:pPr>
              </w:p>
            </w:tc>
            <w:tc>
              <w:tcPr>
                <w:tcW w:w="1621" w:type="pct"/>
                <w:vAlign w:val="center"/>
              </w:tcPr>
              <w:p>
                <w:pPr>
                  <w:jc w:val="right"/>
                  <w:rPr>
                    <w:rFonts w:ascii="Times New Roman" w:hAnsi="Times New Roman" w:cs="Times New Roman"/>
                    <w:sz w:val="24"/>
                  </w:rPr>
                </w:pPr>
                <w:r>
                  <w:rPr>
                    <w:rFonts w:ascii="Times New Roman" w:hAnsi="Times New Roman" w:cs="Times New Roman"/>
                  </w:rPr>
                  <w:t>224,923.44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dfdd4d3895f64e489d74e6caea548a3b"/>
                <w:id w:val="865724462"/>
                <w:lock w:val="sdtLocked"/>
              </w:sdtPr>
              <w:sdtEndPr>
                <w:rPr>
                  <w:rFonts w:ascii="Times New Roman" w:hAnsi="Times New Roman" w:cs="Times New Roman"/>
                </w:rPr>
              </w:sdtEndPr>
              <w:sdtContent>
                <w:tc>
                  <w:tcPr>
                    <w:tcW w:w="1651" w:type="pct"/>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合计</w:t>
                    </w:r>
                  </w:p>
                </w:tc>
              </w:sdtContent>
            </w:sdt>
            <w:tc>
              <w:tcPr>
                <w:tcW w:w="1728" w:type="pct"/>
                <w:vAlign w:val="center"/>
              </w:tcPr>
              <w:p>
                <w:pPr>
                  <w:jc w:val="right"/>
                  <w:rPr>
                    <w:rFonts w:ascii="Times New Roman" w:hAnsi="Times New Roman" w:cs="Times New Roman"/>
                    <w:sz w:val="24"/>
                  </w:rPr>
                </w:pPr>
                <w:r>
                  <w:rPr>
                    <w:rFonts w:ascii="Times New Roman" w:hAnsi="Times New Roman" w:cs="Times New Roman"/>
                  </w:rPr>
                  <w:t>800,000.00</w:t>
                </w:r>
              </w:p>
            </w:tc>
            <w:tc>
              <w:tcPr>
                <w:tcW w:w="1621" w:type="pct"/>
                <w:vAlign w:val="center"/>
              </w:tcPr>
              <w:p>
                <w:pPr>
                  <w:jc w:val="right"/>
                  <w:rPr>
                    <w:rFonts w:ascii="Times New Roman" w:hAnsi="Times New Roman" w:cs="Times New Roman"/>
                    <w:sz w:val="24"/>
                  </w:rPr>
                </w:pPr>
                <w:r>
                  <w:rPr>
                    <w:rFonts w:ascii="Times New Roman" w:hAnsi="Times New Roman" w:cs="Times New Roman"/>
                  </w:rPr>
                  <w:t>224,923.44</w:t>
                </w:r>
              </w:p>
            </w:tc>
          </w:tr>
        </w:tbl>
        <w:p>
          <w:pPr>
            <w:snapToGrid w:val="0"/>
            <w:spacing w:line="240" w:lineRule="atLeast"/>
            <w:rPr>
              <w:szCs w:val="21"/>
            </w:rPr>
          </w:pPr>
        </w:p>
      </w:sdtContent>
    </w:sdt>
    <w:sdt>
      <w:sdtPr>
        <w:rPr>
          <w:rFonts w:ascii="宋体" w:hAnsi="宋体" w:eastAsia="宋体" w:cs="宋体"/>
          <w:b w:val="0"/>
          <w:bCs w:val="0"/>
          <w:kern w:val="0"/>
          <w:szCs w:val="24"/>
        </w:rPr>
        <w:alias w:val="模块:期末公司已质押的应收票据"/>
        <w:tag w:val="_SEC_aafb834414ab47688643694210fed9bf"/>
        <w:id w:val="865724465"/>
        <w:lock w:val="sdtLocked"/>
        <w:placeholder>
          <w:docPart w:val="GBC22222222222222222222222222222"/>
        </w:placeholder>
      </w:sdtPr>
      <w:sdtEndPr>
        <w:rPr>
          <w:rFonts w:ascii="宋体" w:hAnsi="宋体" w:eastAsia="宋体" w:cs="宋体"/>
          <w:b w:val="0"/>
          <w:bCs w:val="0"/>
          <w:kern w:val="0"/>
          <w:szCs w:val="21"/>
        </w:rPr>
      </w:sdtEndPr>
      <w:sdtContent>
        <w:p>
          <w:pPr>
            <w:pStyle w:val="5"/>
            <w:numPr>
              <w:ilvl w:val="3"/>
              <w:numId w:val="80"/>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865724464"/>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期末公司已背书或贴现且在资产负债表日尚未到期的应收票据"/>
        <w:tag w:val="_SEC_45d50989d4a042519489cf69f1b044ed"/>
        <w:id w:val="865724467"/>
        <w:lock w:val="sdtLocked"/>
        <w:placeholder>
          <w:docPart w:val="GBC22222222222222222222222222222"/>
        </w:placeholder>
      </w:sdtPr>
      <w:sdtEndPr>
        <w:rPr>
          <w:rFonts w:hint="default" w:ascii="Times New Roman" w:hAnsi="Times New Roman" w:eastAsia="宋体" w:cs="宋体"/>
          <w:b w:val="0"/>
          <w:bCs w:val="0"/>
          <w:kern w:val="0"/>
          <w:szCs w:val="24"/>
        </w:rPr>
      </w:sdtEndPr>
      <w:sdtContent>
        <w:p>
          <w:pPr>
            <w:pStyle w:val="5"/>
            <w:numPr>
              <w:ilvl w:val="3"/>
              <w:numId w:val="80"/>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865724466"/>
            <w:lock w:val="sdtLocked"/>
            <w:placeholder>
              <w:docPart w:val="GBC22222222222222222222222222222"/>
            </w:placeholder>
          </w:sdtPr>
          <w:sdtContent>
            <w:p>
              <w:pPr>
                <w:rPr>
                  <w:rFonts w:ascii="Times New Roman" w:hAnsi="Times New Roman" w:cs="Times New Roman"/>
                  <w:kern w:val="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期末公司因出票人未履约而将其转应收账款的票据"/>
        <w:tag w:val="_SEC_c28e226da8c4479fa309249d7ef50c92"/>
        <w:id w:val="865724477"/>
        <w:lock w:val="sdtLocked"/>
        <w:placeholder>
          <w:docPart w:val="GBC22222222222222222222222222222"/>
        </w:placeholder>
      </w:sdtPr>
      <w:sdtEndPr>
        <w:rPr>
          <w:rFonts w:hint="default" w:eastAsia="宋体" w:asciiTheme="minorHAnsi" w:hAnsiTheme="minorHAnsi" w:cstheme="minorBidi"/>
          <w:b w:val="0"/>
          <w:bCs w:val="0"/>
          <w:kern w:val="0"/>
          <w:szCs w:val="22"/>
        </w:rPr>
      </w:sdtEndPr>
      <w:sdtContent>
        <w:p>
          <w:pPr>
            <w:pStyle w:val="5"/>
            <w:numPr>
              <w:ilvl w:val="3"/>
              <w:numId w:val="80"/>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86572446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alias w:val="单位：财务附注：期末公司因出票人无力履约而将其转为应收账款的票据"/>
              <w:tag w:val="_GBC_e5573057e3ec48e6bcdf710cd7a023cf"/>
              <w:id w:val="8657244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期末公司因出票人无力履约而将其转为应收账款的票据"/>
              <w:tag w:val="_GBC_2a27972729dc458a9d7552a20b150d6e"/>
              <w:id w:val="865724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64"/>
            <w:gridCol w:w="47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a5b2dc2b1ef54a619517421d9c2c88e0"/>
                <w:id w:val="865724471"/>
                <w:lock w:val="sdtLocked"/>
              </w:sdtPr>
              <w:sdtContent>
                <w:tc>
                  <w:tcPr>
                    <w:tcW w:w="2356" w:type="pct"/>
                    <w:tcBorders>
                      <w:top w:val="single" w:color="auto" w:sz="4" w:space="0"/>
                      <w:left w:val="single" w:color="auto" w:sz="4" w:space="0"/>
                      <w:bottom w:val="single" w:color="auto" w:sz="6" w:space="0"/>
                      <w:right w:val="single" w:color="auto" w:sz="6" w:space="0"/>
                    </w:tcBorders>
                    <w:shd w:val="clear" w:color="auto" w:fill="auto"/>
                    <w:vAlign w:val="center"/>
                  </w:tcPr>
                  <w:p>
                    <w:pPr>
                      <w:jc w:val="center"/>
                      <w:rPr>
                        <w:szCs w:val="21"/>
                      </w:rPr>
                    </w:pPr>
                    <w:r>
                      <w:rPr>
                        <w:rFonts w:hint="eastAsia"/>
                        <w:szCs w:val="21"/>
                      </w:rPr>
                      <w:t>项目</w:t>
                    </w:r>
                  </w:p>
                </w:tc>
              </w:sdtContent>
            </w:sdt>
            <w:sdt>
              <w:sdtPr>
                <w:tag w:val="_PLD_92394863f97e495ca8d4877171b64ce4"/>
                <w:id w:val="865724472"/>
                <w:lock w:val="sdtLocked"/>
              </w:sdtPr>
              <w:sdtContent>
                <w:tc>
                  <w:tcPr>
                    <w:tcW w:w="2644" w:type="pct"/>
                    <w:tcBorders>
                      <w:top w:val="single" w:color="auto" w:sz="4" w:space="0"/>
                      <w:left w:val="single" w:color="auto" w:sz="6" w:space="0"/>
                      <w:bottom w:val="single" w:color="auto" w:sz="6" w:space="0"/>
                      <w:right w:val="single" w:color="auto" w:sz="4" w:space="0"/>
                    </w:tcBorders>
                    <w:shd w:val="clear" w:color="auto" w:fill="auto"/>
                    <w:vAlign w:val="center"/>
                  </w:tcPr>
                  <w:p>
                    <w:pPr>
                      <w:jc w:val="center"/>
                      <w:rPr>
                        <w:szCs w:val="21"/>
                      </w:rPr>
                    </w:pPr>
                    <w:r>
                      <w:rPr>
                        <w:rFonts w:hint="eastAsia"/>
                      </w:rPr>
                      <w:t>期末转应收账款金额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0137aaa95d0546938e9e896a4b437342"/>
                <w:id w:val="865724473"/>
                <w:lock w:val="sdtLocked"/>
              </w:sdtPr>
              <w:sdtContent>
                <w:tc>
                  <w:tcPr>
                    <w:tcW w:w="2356" w:type="pct"/>
                    <w:tcBorders>
                      <w:top w:val="single" w:color="auto" w:sz="6" w:space="0"/>
                      <w:left w:val="single" w:color="auto" w:sz="4" w:space="0"/>
                      <w:bottom w:val="single" w:color="auto" w:sz="6" w:space="0"/>
                      <w:right w:val="single" w:color="auto" w:sz="6" w:space="0"/>
                    </w:tcBorders>
                    <w:shd w:val="clear" w:color="auto" w:fill="auto"/>
                    <w:vAlign w:val="center"/>
                  </w:tcPr>
                  <w:p>
                    <w:r>
                      <w:rPr>
                        <w:rFonts w:hint="eastAsia"/>
                      </w:rPr>
                      <w:t>商业承兑票据</w:t>
                    </w:r>
                  </w:p>
                </w:tc>
              </w:sdtContent>
            </w:sdt>
            <w:tc>
              <w:tcPr>
                <w:tcW w:w="2644" w:type="pct"/>
                <w:tcBorders>
                  <w:top w:val="single" w:color="auto" w:sz="6" w:space="0"/>
                  <w:left w:val="single" w:color="auto" w:sz="6" w:space="0"/>
                  <w:bottom w:val="single" w:color="auto" w:sz="6" w:space="0"/>
                  <w:right w:val="single" w:color="auto" w:sz="4" w:space="0"/>
                </w:tcBorders>
                <w:shd w:val="clear" w:color="auto" w:fill="auto"/>
              </w:tcPr>
              <w:p>
                <w:pPr>
                  <w:jc w:val="right"/>
                  <w:rPr>
                    <w:rFonts w:ascii="Times New Roman" w:hAnsi="Times New Roman" w:cs="Times New Roman"/>
                    <w:szCs w:val="21"/>
                  </w:rPr>
                </w:pPr>
                <w:r>
                  <w:rPr>
                    <w:rFonts w:ascii="Times New Roman" w:hAnsi="Times New Roman" w:cs="Times New Roman"/>
                    <w:szCs w:val="21"/>
                  </w:rPr>
                  <w:t>254,699.66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69cddc50079942c5977e04f9c4972967"/>
                <w:id w:val="865724476"/>
                <w:lock w:val="sdtLocked"/>
              </w:sdtPr>
              <w:sdtContent>
                <w:tc>
                  <w:tcPr>
                    <w:tcW w:w="2356" w:type="pct"/>
                    <w:tcBorders>
                      <w:top w:val="single" w:color="auto" w:sz="6" w:space="0"/>
                      <w:left w:val="single" w:color="auto" w:sz="4" w:space="0"/>
                      <w:bottom w:val="single" w:color="auto" w:sz="4" w:space="0"/>
                      <w:right w:val="single" w:color="auto" w:sz="6" w:space="0"/>
                    </w:tcBorders>
                    <w:shd w:val="clear" w:color="auto" w:fill="auto"/>
                    <w:vAlign w:val="center"/>
                  </w:tcPr>
                  <w:p>
                    <w:pPr>
                      <w:jc w:val="center"/>
                    </w:pPr>
                    <w:r>
                      <w:rPr>
                        <w:rFonts w:hint="eastAsia"/>
                      </w:rPr>
                      <w:t>合计</w:t>
                    </w:r>
                  </w:p>
                </w:tc>
              </w:sdtContent>
            </w:sdt>
            <w:tc>
              <w:tcPr>
                <w:tcW w:w="2644" w:type="pct"/>
                <w:tcBorders>
                  <w:top w:val="single" w:color="auto" w:sz="6" w:space="0"/>
                  <w:left w:val="single" w:color="auto" w:sz="6" w:space="0"/>
                  <w:bottom w:val="single" w:color="auto" w:sz="4" w:space="0"/>
                  <w:right w:val="single" w:color="auto" w:sz="4" w:space="0"/>
                </w:tcBorders>
                <w:shd w:val="clear" w:color="auto" w:fill="auto"/>
              </w:tcPr>
              <w:p>
                <w:pPr>
                  <w:jc w:val="right"/>
                  <w:rPr>
                    <w:rFonts w:ascii="Times New Roman" w:hAnsi="Times New Roman" w:cs="Times New Roman"/>
                    <w:szCs w:val="21"/>
                  </w:rPr>
                </w:pPr>
                <w:r>
                  <w:rPr>
                    <w:rFonts w:ascii="Times New Roman" w:hAnsi="Times New Roman" w:cs="Times New Roman"/>
                    <w:szCs w:val="21"/>
                  </w:rPr>
                  <w:t>254,699.66</w:t>
                </w:r>
              </w:p>
            </w:tc>
          </w:tr>
        </w:tbl>
        <w:p>
          <w:pPr>
            <w:rPr>
              <w:rFonts w:asciiTheme="minorHAnsi" w:hAnsiTheme="minorHAnsi" w:cstheme="minorBidi"/>
              <w:b/>
              <w:bCs/>
              <w:szCs w:val="22"/>
            </w:rPr>
          </w:pPr>
        </w:p>
      </w:sdtContent>
    </w:sdt>
    <w:sdt>
      <w:sdtPr>
        <w:rPr>
          <w:rFonts w:ascii="宋体" w:hAnsi="宋体" w:eastAsia="宋体" w:cs="宋体"/>
          <w:b w:val="0"/>
          <w:bCs w:val="0"/>
          <w:kern w:val="0"/>
          <w:szCs w:val="24"/>
        </w:rPr>
        <w:alias w:val="模块:按坏账计提方法分类披露"/>
        <w:tag w:val="_SEC_63927a21dd56431cb79b634520f50ece"/>
        <w:id w:val="865724479"/>
        <w:lock w:val="sdtLocked"/>
        <w:placeholder>
          <w:docPart w:val="GBC22222222222222222222222222222"/>
        </w:placeholder>
      </w:sdtPr>
      <w:sdtEndPr>
        <w:rPr>
          <w:rFonts w:ascii="宋体" w:hAnsi="宋体" w:eastAsia="宋体" w:cs="宋体"/>
          <w:b w:val="0"/>
          <w:bCs w:val="0"/>
          <w:kern w:val="0"/>
          <w:szCs w:val="24"/>
        </w:rPr>
      </w:sdtEndPr>
      <w:sdtContent>
        <w:p>
          <w:pPr>
            <w:pStyle w:val="5"/>
            <w:numPr>
              <w:ilvl w:val="3"/>
              <w:numId w:val="80"/>
            </w:numPr>
            <w:ind w:left="426" w:hanging="426"/>
          </w:pPr>
          <w:bookmarkStart w:id="138" w:name="_Hlk533596246"/>
          <w:r>
            <w:t>按坏账计提方法分类披露</w:t>
          </w:r>
        </w:p>
        <w:sdt>
          <w:sdtPr>
            <w:alias w:val="是否适用：应收票据按坏账计提方法分类披露[双击切换]"/>
            <w:tag w:val="_GBC_806abc31b942462ba4b46f92c99312a5"/>
            <w:id w:val="86572447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38"/>
    <w:sdt>
      <w:sdtPr>
        <w:rPr>
          <w:rFonts w:hint="eastAsia"/>
        </w:rPr>
        <w:alias w:val="模块:按单项计提坏账准备"/>
        <w:tag w:val="_SEC_2e0b02c8d30f4e60bebed0d7a5a961af"/>
        <w:id w:val="865724481"/>
        <w:lock w:val="sdtLocked"/>
        <w:placeholder>
          <w:docPart w:val="GBC22222222222222222222222222222"/>
        </w:placeholder>
      </w:sdtPr>
      <w:sdtEndPr>
        <w:rPr>
          <w:rFonts w:hint="default"/>
          <w:szCs w:val="21"/>
        </w:rPr>
      </w:sdtEndPr>
      <w:sdtContent>
        <w:p>
          <w:bookmarkStart w:id="139" w:name="_Hlk533597423"/>
          <w:r>
            <w:rPr>
              <w:rFonts w:hint="eastAsia"/>
            </w:rPr>
            <w:t>按单项计提坏账准备：</w:t>
          </w:r>
        </w:p>
        <w:sdt>
          <w:sdtPr>
            <w:rPr>
              <w:rFonts w:hint="eastAsia"/>
            </w:rPr>
            <w:alias w:val="是否适用：按单项计提坏账准备的应收票据详细情况[双击切换]"/>
            <w:tag w:val="_GBC_9f41f638de8f4c42b9d00ca6755931fb"/>
            <w:id w:val="865724480"/>
            <w:lock w:val="sdtLocked"/>
            <w:placeholder>
              <w:docPart w:val="GBC22222222222222222222222222222"/>
            </w:placeholder>
          </w:sdtPr>
          <w:sdtEndPr>
            <w:rPr>
              <w:rFonts w:hint="eastAsia"/>
            </w:rPr>
          </w:sdtEnd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p>
      </w:sdtContent>
    </w:sdt>
    <w:bookmarkEnd w:id="139"/>
    <w:sdt>
      <w:sdtPr>
        <w:rPr>
          <w:rFonts w:hint="eastAsia" w:asciiTheme="minorHAnsi" w:hAnsiTheme="minorHAnsi" w:cstheme="minorBidi"/>
          <w:bCs/>
          <w:szCs w:val="22"/>
        </w:rPr>
        <w:tag w:val="_PLD_c5822df72e094b5083c45a32639c6995"/>
        <w:id w:val="865724482"/>
        <w:lock w:val="sdtLocked"/>
        <w:placeholder>
          <w:docPart w:val="GBC22222222222222222222222222222"/>
        </w:placeholder>
      </w:sdtPr>
      <w:sdtEndPr>
        <w:rPr>
          <w:rFonts w:hint="eastAsia" w:asciiTheme="minorHAnsi" w:hAnsiTheme="minorHAnsi" w:cstheme="minorBidi"/>
          <w:bCs/>
          <w:szCs w:val="22"/>
        </w:rPr>
      </w:sdtEndPr>
      <w:sdtContent>
        <w:p>
          <w:pPr>
            <w:rPr>
              <w:rFonts w:asciiTheme="minorHAnsi" w:hAnsiTheme="minorHAnsi" w:cstheme="minorBidi"/>
              <w:bCs/>
              <w:szCs w:val="22"/>
            </w:rPr>
          </w:pPr>
          <w:r>
            <w:rPr>
              <w:rFonts w:hint="eastAsia" w:asciiTheme="minorHAnsi" w:hAnsiTheme="minorHAnsi" w:cstheme="minorBidi"/>
              <w:bCs/>
              <w:szCs w:val="22"/>
            </w:rPr>
            <w:t>按组合计提坏账准备：</w:t>
          </w:r>
        </w:p>
      </w:sdtContent>
    </w:sdt>
    <w:sdt>
      <w:sdtPr>
        <w:rPr>
          <w:rFonts w:hint="eastAsia" w:asciiTheme="minorHAnsi" w:hAnsiTheme="minorHAnsi" w:cstheme="minorBidi"/>
          <w:bCs/>
          <w:szCs w:val="22"/>
        </w:rPr>
        <w:alias w:val="是否适用：按组合计提坏账准备的应收票据详细情况[双击切换]"/>
        <w:tag w:val="_GBC_6007da8f43a241c5b804069722b7b005"/>
        <w:id w:val="865724483"/>
        <w:lock w:val="sdtLocked"/>
        <w:placeholder>
          <w:docPart w:val="GBC22222222222222222222222222222"/>
        </w:placeholder>
      </w:sdtPr>
      <w:sdtEndPr>
        <w:rPr>
          <w:rFonts w:hint="eastAsia" w:asciiTheme="minorHAnsi" w:hAnsiTheme="minorHAnsi" w:cstheme="minorBidi"/>
          <w:bCs/>
          <w:szCs w:val="22"/>
        </w:rPr>
      </w:sdtEndPr>
      <w:sdtContent>
        <w:p>
          <w:pPr>
            <w:rPr>
              <w:rFonts w:asciiTheme="minorHAnsi" w:hAnsiTheme="minorHAnsi" w:cstheme="minorBidi"/>
              <w:b/>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pPr>
        <w:rPr>
          <w:rFonts w:asciiTheme="minorHAnsi" w:hAnsiTheme="minorHAnsi" w:cstheme="minorBidi"/>
          <w:b/>
          <w:bCs/>
          <w:szCs w:val="22"/>
        </w:rPr>
      </w:pPr>
    </w:p>
    <w:sdt>
      <w:sdtPr>
        <w:rPr>
          <w:rFonts w:hint="eastAsia" w:cstheme="minorBidi"/>
          <w:bCs/>
          <w:szCs w:val="22"/>
        </w:rPr>
        <w:alias w:val="模块:如按预期信用损失一般模型计提坏账准备，请参照其他应收款披露"/>
        <w:tag w:val="_SEC_04c40b625aee4c7d8e38c7f456e27b56"/>
        <w:id w:val="865724485"/>
        <w:lock w:val="sdtLocked"/>
        <w:placeholder>
          <w:docPart w:val="GBC22222222222222222222222222222"/>
        </w:placeholder>
      </w:sdtPr>
      <w:sdtEndPr>
        <w:rPr>
          <w:rFonts w:hint="eastAsia" w:asciiTheme="minorHAnsi" w:hAnsiTheme="minorHAnsi" w:cstheme="minorBidi"/>
          <w:b/>
          <w:bCs/>
          <w:szCs w:val="22"/>
        </w:rPr>
      </w:sdtEndPr>
      <w:sdtContent>
        <w:p>
          <w:pPr>
            <w:rPr>
              <w:rFonts w:cstheme="minorBidi"/>
              <w:bCs/>
              <w:szCs w:val="22"/>
            </w:rPr>
          </w:pPr>
          <w:r>
            <w:rPr>
              <w:rFonts w:hint="eastAsia" w:cstheme="minorBidi"/>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865724484"/>
            <w:lock w:val="sdtLocked"/>
            <w:placeholder>
              <w:docPart w:val="GBC22222222222222222222222222222"/>
            </w:placeholder>
          </w:sdtPr>
          <w:sdtEndPr>
            <w:rPr>
              <w:rFonts w:cstheme="minorBidi"/>
              <w:bCs/>
              <w:szCs w:val="22"/>
            </w:rPr>
          </w:sdtEndPr>
          <w:sdtContent>
            <w:p>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pPr>
            <w:rPr>
              <w:rFonts w:asciiTheme="minorHAnsi" w:hAnsiTheme="minorHAnsi" w:cstheme="minorBidi"/>
              <w:b/>
              <w:bCs/>
              <w:szCs w:val="22"/>
            </w:rPr>
          </w:pPr>
        </w:p>
      </w:sdtContent>
    </w:sdt>
    <w:sdt>
      <w:sdtPr>
        <w:rPr>
          <w:rFonts w:hint="eastAsia" w:ascii="宋体" w:hAnsi="宋体" w:eastAsia="宋体" w:cs="宋体"/>
          <w:b w:val="0"/>
          <w:bCs w:val="0"/>
          <w:kern w:val="0"/>
          <w:szCs w:val="24"/>
        </w:rPr>
        <w:alias w:val="模块:应收票据坏账准备的情况"/>
        <w:tag w:val="_SEC_3dab029b25824ad8a8695b0e58b6c454"/>
        <w:id w:val="865724487"/>
        <w:lock w:val="sdtLocked"/>
        <w:placeholder>
          <w:docPart w:val="GBC22222222222222222222222222222"/>
        </w:placeholder>
      </w:sdtPr>
      <w:sdtEndPr>
        <w:rPr>
          <w:rFonts w:hint="default" w:eastAsia="宋体" w:asciiTheme="minorHAnsi" w:hAnsiTheme="minorHAnsi" w:cstheme="minorBidi"/>
          <w:b w:val="0"/>
          <w:bCs w:val="0"/>
          <w:kern w:val="0"/>
          <w:szCs w:val="22"/>
        </w:rPr>
      </w:sdtEndPr>
      <w:sdtContent>
        <w:p>
          <w:pPr>
            <w:pStyle w:val="5"/>
            <w:numPr>
              <w:ilvl w:val="3"/>
              <w:numId w:val="80"/>
            </w:numPr>
            <w:ind w:left="426" w:hanging="426"/>
          </w:pPr>
          <w:bookmarkStart w:id="140" w:name="_Hlk532980547"/>
          <w:r>
            <w:rPr>
              <w:rFonts w:hint="eastAsia"/>
            </w:rPr>
            <w:t>坏账准备的情况</w:t>
          </w:r>
        </w:p>
        <w:sdt>
          <w:sdtPr>
            <w:alias w:val="是否适用：应收票据坏账准备情况[双击切换]"/>
            <w:tag w:val="_GBC_3c7b44ae9e3b4aa6a67012163093206f"/>
            <w:id w:val="865724486"/>
            <w:lock w:val="sdtLocked"/>
            <w:placeholder>
              <w:docPart w:val="GBC22222222222222222222222222222"/>
            </w:placeholder>
          </w:sdtPr>
          <w:sdtContent>
            <w:p>
              <w:pPr>
                <w:rPr>
                  <w:rFonts w:asciiTheme="minorHAnsi" w:hAnsiTheme="minorHAnsi"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Theme="minorHAnsi" w:hAnsiTheme="minorHAnsi" w:cstheme="minorBidi"/>
              <w:b/>
              <w:bCs/>
              <w:szCs w:val="22"/>
            </w:rPr>
          </w:pPr>
        </w:p>
        <w:p>
          <w:pPr>
            <w:rPr>
              <w:rFonts w:asciiTheme="minorHAnsi" w:hAnsiTheme="minorHAnsi" w:cstheme="minorBidi"/>
              <w:b/>
              <w:bCs/>
              <w:szCs w:val="22"/>
            </w:rPr>
          </w:pPr>
        </w:p>
      </w:sdtContent>
    </w:sdt>
    <w:bookmarkEnd w:id="140"/>
    <w:sdt>
      <w:sdtPr>
        <w:rPr>
          <w:rFonts w:hint="eastAsia" w:ascii="宋体" w:hAnsi="宋体" w:eastAsia="宋体" w:cs="宋体"/>
          <w:b w:val="0"/>
          <w:bCs w:val="0"/>
          <w:kern w:val="0"/>
          <w:szCs w:val="24"/>
        </w:rPr>
        <w:alias w:val="模块:本期实际核销的应收票据情况"/>
        <w:tag w:val="_SEC_3428d5e0a1974f66bdc18edf0b310417"/>
        <w:id w:val="865724489"/>
        <w:lock w:val="sdtLocked"/>
        <w:placeholder>
          <w:docPart w:val="GBC22222222222222222222222222222"/>
        </w:placeholder>
      </w:sdtPr>
      <w:sdtEndPr>
        <w:rPr>
          <w:rFonts w:hint="default" w:eastAsia="宋体" w:asciiTheme="minorHAnsi" w:hAnsiTheme="minorHAnsi" w:cstheme="minorBidi"/>
          <w:b w:val="0"/>
          <w:bCs w:val="0"/>
          <w:kern w:val="0"/>
          <w:szCs w:val="22"/>
        </w:rPr>
      </w:sdtEndPr>
      <w:sdtContent>
        <w:p>
          <w:pPr>
            <w:pStyle w:val="5"/>
            <w:numPr>
              <w:ilvl w:val="3"/>
              <w:numId w:val="80"/>
            </w:numPr>
            <w:ind w:left="426" w:hanging="426"/>
          </w:pPr>
          <w:bookmarkStart w:id="141" w:name="_Hlk532982011"/>
          <w:r>
            <w:rPr>
              <w:rFonts w:hint="eastAsia"/>
            </w:rPr>
            <w:t>本期实际核销的应收票据情况</w:t>
          </w:r>
        </w:p>
        <w:sdt>
          <w:sdtPr>
            <w:alias w:val="是否适用：实际核销的应收票据[双击切换]"/>
            <w:tag w:val="_GBC_a0d8af67abfc4a1698fd198064d3b108"/>
            <w:id w:val="865724488"/>
            <w:lock w:val="sdtLocked"/>
            <w:placeholder>
              <w:docPart w:val="GBC22222222222222222222222222222"/>
            </w:placeholder>
          </w:sdtPr>
          <w:sdtContent>
            <w:p>
              <w:pPr>
                <w:rPr>
                  <w:rFonts w:asciiTheme="minorHAnsi" w:hAnsiTheme="minorHAnsi"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Theme="minorHAnsi" w:hAnsiTheme="minorHAnsi" w:cstheme="minorBidi"/>
              <w:bCs/>
              <w:szCs w:val="22"/>
            </w:rPr>
          </w:pPr>
        </w:p>
        <w:p>
          <w:pPr>
            <w:rPr>
              <w:rFonts w:asciiTheme="minorHAnsi" w:hAnsiTheme="minorHAnsi" w:cstheme="minorBidi"/>
              <w:b/>
              <w:bCs/>
              <w:szCs w:val="22"/>
            </w:rPr>
          </w:pPr>
        </w:p>
      </w:sdtContent>
    </w:sdt>
    <w:bookmarkEnd w:id="141"/>
    <w:sdt>
      <w:sdtPr>
        <w:rPr>
          <w:rFonts w:hint="eastAsia" w:asciiTheme="minorHAnsi" w:hAnsiTheme="minorHAnsi" w:cstheme="minorBidi"/>
          <w:b/>
          <w:bCs/>
          <w:szCs w:val="22"/>
        </w:rPr>
        <w:alias w:val="模块:应收票据其他说明"/>
        <w:tag w:val="_SEC_9045c8983bbe475395a63669d8f42a68"/>
        <w:id w:val="865724492"/>
        <w:lock w:val="sdtLocked"/>
        <w:placeholder>
          <w:docPart w:val="GBC22222222222222222222222222222"/>
        </w:placeholder>
      </w:sdtPr>
      <w:sdtEndPr>
        <w:rPr>
          <w:rFonts w:hint="default" w:ascii="Times New Roman" w:hAnsi="Times New Roman" w:cs="Times New Roman"/>
          <w:b w:val="0"/>
          <w:bCs w:val="0"/>
          <w:szCs w:val="24"/>
        </w:rPr>
      </w:sdtEndPr>
      <w:sdtContent>
        <w:p>
          <w:r>
            <w:rPr>
              <w:rFonts w:hint="eastAsia"/>
            </w:rPr>
            <w:t>其他说明</w:t>
          </w:r>
        </w:p>
        <w:sdt>
          <w:sdtPr>
            <w:alias w:val="是否适用：应收票据的说明[双击切换]"/>
            <w:tag w:val="_GBC_dc21e09520924a5db7020ba029631550"/>
            <w:id w:val="865724490"/>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sdtContent>
    </w:sdt>
    <w:p>
      <w:pPr>
        <w:pStyle w:val="4"/>
        <w:numPr>
          <w:ilvl w:val="0"/>
          <w:numId w:val="79"/>
        </w:numPr>
        <w:rPr>
          <w:rFonts w:ascii="宋体" w:hAnsi="宋体" w:cs="宋体"/>
          <w:kern w:val="0"/>
          <w:szCs w:val="21"/>
        </w:rPr>
      </w:pPr>
      <w:r>
        <w:rPr>
          <w:rFonts w:hint="eastAsia" w:ascii="宋体" w:hAnsi="宋体" w:cs="宋体"/>
          <w:kern w:val="0"/>
          <w:szCs w:val="21"/>
        </w:rPr>
        <w:t>应收账款</w:t>
      </w:r>
    </w:p>
    <w:sdt>
      <w:sdtPr>
        <w:rPr>
          <w:rFonts w:hint="eastAsia" w:ascii="宋体" w:hAnsi="宋体" w:eastAsia="宋体" w:cs="宋体"/>
          <w:b w:val="0"/>
          <w:bCs w:val="0"/>
          <w:kern w:val="0"/>
          <w:szCs w:val="24"/>
        </w:rPr>
        <w:alias w:val="模块:按账龄披露"/>
        <w:tag w:val="_SEC_839f797b2ddf4a12a40452a1e747a584"/>
        <w:id w:val="865724512"/>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3"/>
              <w:numId w:val="81"/>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86572449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8657244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8657244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5"/>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987827fb8f754c15801979884cb78127"/>
                <w:id w:val="865724496"/>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账龄</w:t>
                    </w:r>
                  </w:p>
                </w:tc>
              </w:sdtContent>
            </w:sdt>
            <w:sdt>
              <w:sdtPr>
                <w:rPr>
                  <w:rFonts w:ascii="Times New Roman" w:hAnsi="Times New Roman" w:cs="Times New Roman"/>
                </w:rPr>
                <w:tag w:val="_PLD_53a2def126e844eabd4ea223442a8a87"/>
                <w:id w:val="865724497"/>
                <w:lock w:val="sdtLocked"/>
              </w:sdtPr>
              <w:sdtEndPr>
                <w:rPr>
                  <w:rFonts w:ascii="Times New Roman" w:hAnsi="Times New Roman" w:cs="Times New Roman"/>
                </w:rPr>
              </w:sdtEndPr>
              <w:sdtContent>
                <w:tc>
                  <w:tcPr>
                    <w:tcW w:w="254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311560db02fd4399b97a79d7c7fe4ca3"/>
                <w:id w:val="865724498"/>
                <w:lock w:val="sdtLocked"/>
              </w:sdtPr>
              <w:sdtEndPr>
                <w:rPr>
                  <w:rFonts w:ascii="Times New Roman" w:hAnsi="Times New Roman" w:cs="Times New Roman"/>
                </w:rPr>
              </w:sdtEndPr>
              <w:sdtContent>
                <w:tc>
                  <w:tcPr>
                    <w:tcW w:w="5000" w:type="pct"/>
                    <w:gridSpan w:val="2"/>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FF0000"/>
                        <w:szCs w:val="21"/>
                      </w:rPr>
                    </w:pPr>
                    <w:r>
                      <w:rPr>
                        <w:rFonts w:ascii="Times New Roman" w:hAnsi="Times New Roman" w:cs="Times New Roman"/>
                        <w:szCs w:val="21"/>
                      </w:rPr>
                      <w:t>1</w:t>
                    </w:r>
                    <w:r>
                      <w:rPr>
                        <w:rFonts w:ascii="Times New Roman" w:cs="Times New Roman"/>
                        <w:szCs w:val="21"/>
                      </w:rPr>
                      <w:t>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785750c92d5d486990596d8d5b2f4a1f"/>
                <w:id w:val="865724499"/>
                <w:lock w:val="sdtLocked"/>
              </w:sdtPr>
              <w:sdtEndPr>
                <w:rPr>
                  <w:rFonts w:ascii="Times New Roman" w:hAnsi="Times New Roman" w:cs="Times New Roman"/>
                </w:rPr>
              </w:sdtEndPr>
              <w:sdtContent>
                <w:tc>
                  <w:tcPr>
                    <w:tcW w:w="5000" w:type="pct"/>
                    <w:gridSpan w:val="2"/>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其中：</w:t>
                    </w:r>
                    <w:r>
                      <w:rPr>
                        <w:rFonts w:ascii="Times New Roman" w:hAnsi="Times New Roman" w:cs="Times New Roman"/>
                        <w:szCs w:val="21"/>
                      </w:rPr>
                      <w:t>1</w:t>
                    </w:r>
                    <w:r>
                      <w:rPr>
                        <w:rFonts w:ascii="Times New Roman" w:cs="Times New Roman"/>
                        <w:szCs w:val="21"/>
                      </w:rPr>
                      <w:t>年以内分项</w:t>
                    </w:r>
                  </w:p>
                </w:tc>
              </w:sdtContent>
            </w:sdt>
          </w:tr>
          <w:sdt>
            <w:sdtPr>
              <w:rPr>
                <w:rFonts w:ascii="Times New Roman" w:hAnsi="Times New Roman" w:cs="Times New Roman"/>
                <w:szCs w:val="21"/>
              </w:rPr>
              <w:alias w:val="一年以内应收账款金额明细"/>
              <w:tag w:val="_TUP_5db7a5c2674d42d3bac3cb2e10590f73"/>
              <w:id w:val="86572450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0.5</w:t>
                    </w:r>
                    <w:r>
                      <w:rPr>
                        <w:rFonts w:ascii="Times New Roman" w:cs="Times New Roman"/>
                      </w:rPr>
                      <w:t>年以内</w:t>
                    </w:r>
                  </w:p>
                </w:tc>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46,973,465.40</w:t>
                    </w:r>
                  </w:p>
                </w:tc>
              </w:tr>
            </w:sdtContent>
          </w:sdt>
          <w:sdt>
            <w:sdtPr>
              <w:rPr>
                <w:rFonts w:ascii="Times New Roman" w:hAnsi="Times New Roman" w:cs="Times New Roman"/>
                <w:szCs w:val="21"/>
              </w:rPr>
              <w:alias w:val="一年以内应收账款金额明细"/>
              <w:tag w:val="_TUP_5db7a5c2674d42d3bac3cb2e10590f73"/>
              <w:id w:val="86572450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0.5</w:t>
                    </w:r>
                    <w:r>
                      <w:rPr>
                        <w:rFonts w:ascii="Times New Roman" w:cs="Times New Roman"/>
                      </w:rPr>
                      <w:t>年至</w:t>
                    </w:r>
                    <w:r>
                      <w:rPr>
                        <w:rFonts w:ascii="Times New Roman" w:hAnsi="Times New Roman" w:cs="Times New Roman"/>
                      </w:rPr>
                      <w:t>1</w:t>
                    </w:r>
                    <w:r>
                      <w:rPr>
                        <w:rFonts w:ascii="Times New Roman" w:cs="Times New Roman"/>
                      </w:rPr>
                      <w:t>年</w:t>
                    </w:r>
                  </w:p>
                </w:tc>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8,710,781.29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885917f15d1a46499cb812cd100e3cf1"/>
                <w:id w:val="865724502"/>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年以内小计</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55,684,246.69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686411641a5e42038a85ce6c435c5e58"/>
                <w:id w:val="865724503"/>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至</w:t>
                    </w:r>
                    <w:r>
                      <w:rPr>
                        <w:rFonts w:ascii="Times New Roman" w:hAnsi="Times New Roman" w:cs="Times New Roman"/>
                        <w:szCs w:val="21"/>
                      </w:rPr>
                      <w:t>2</w:t>
                    </w:r>
                    <w:r>
                      <w:rPr>
                        <w:rFonts w:ascii="Times New Roman" w:cs="Times New Roman"/>
                        <w:szCs w:val="21"/>
                      </w:rPr>
                      <w:t>年</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4,328,460.85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1d32a9d5ef5b4ddca6ca917435b115ac"/>
                <w:id w:val="865724504"/>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至</w:t>
                    </w:r>
                    <w:r>
                      <w:rPr>
                        <w:rFonts w:ascii="Times New Roman" w:hAnsi="Times New Roman" w:cs="Times New Roman"/>
                        <w:szCs w:val="21"/>
                      </w:rPr>
                      <w:t>3</w:t>
                    </w:r>
                    <w:r>
                      <w:rPr>
                        <w:rFonts w:ascii="Times New Roman" w:cs="Times New Roman"/>
                        <w:szCs w:val="21"/>
                      </w:rPr>
                      <w:t>年</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2,562,999.40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2be2a569e4bb439bbdda34aec0746396"/>
                <w:id w:val="865724505"/>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年以上</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5,447,699.46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51c1587433fc4304af214a25996abcb0"/>
                <w:id w:val="865724506"/>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至</w:t>
                    </w:r>
                    <w:r>
                      <w:rPr>
                        <w:rFonts w:ascii="Times New Roman" w:hAnsi="Times New Roman" w:cs="Times New Roman"/>
                        <w:szCs w:val="21"/>
                      </w:rPr>
                      <w:t>4</w:t>
                    </w:r>
                    <w:r>
                      <w:rPr>
                        <w:rFonts w:ascii="Times New Roman" w:cs="Times New Roman"/>
                        <w:szCs w:val="21"/>
                      </w:rPr>
                      <w:t>年</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783f5edc09cf4689bf1bab196aa7d963"/>
                <w:id w:val="865724507"/>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至</w:t>
                    </w:r>
                    <w:r>
                      <w:rPr>
                        <w:rFonts w:ascii="Times New Roman" w:hAnsi="Times New Roman" w:cs="Times New Roman"/>
                        <w:szCs w:val="21"/>
                      </w:rPr>
                      <w:t>5</w:t>
                    </w:r>
                    <w:r>
                      <w:rPr>
                        <w:rFonts w:ascii="Times New Roman" w:cs="Times New Roman"/>
                        <w:szCs w:val="21"/>
                      </w:rPr>
                      <w:t>年</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35d4b8083f1340abbb03a5509bd8e56c"/>
                <w:id w:val="865724508"/>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5</w:t>
                    </w:r>
                    <w:r>
                      <w:rPr>
                        <w:rFonts w:ascii="Times New Roman" w:cs="Times New Roman"/>
                        <w:szCs w:val="21"/>
                      </w:rPr>
                      <w:t>年以上</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46,962,112.05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4228da7212b54dbabe98902b22a02f1a"/>
                <w:id w:val="865724511"/>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合计</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114,985,518.45</w:t>
                </w:r>
              </w:p>
            </w:tc>
          </w:tr>
        </w:tbl>
        <w:p/>
        <w:p/>
      </w:sdtContent>
    </w:sdt>
    <w:sdt>
      <w:sdtPr>
        <w:rPr>
          <w:rFonts w:hint="eastAsia" w:ascii="宋体" w:hAnsi="宋体" w:eastAsia="宋体" w:cs="宋体"/>
          <w:b w:val="0"/>
          <w:bCs w:val="0"/>
          <w:kern w:val="0"/>
          <w:szCs w:val="24"/>
        </w:rPr>
        <w:alias w:val="模块:按坏账计提方法分类披露"/>
        <w:tag w:val="_SEC_d442ddfe6a1a43ab9b3b8367ba47ed02"/>
        <w:id w:val="865724546"/>
        <w:lock w:val="sdtLocked"/>
        <w:placeholder>
          <w:docPart w:val="GBC22222222222222222222222222222"/>
        </w:placeholder>
      </w:sdtPr>
      <w:sdtEndPr>
        <w:rPr>
          <w:rFonts w:hint="default" w:cs="Times New Roman" w:asciiTheme="minorEastAsia" w:hAnsiTheme="minorEastAsia" w:eastAsiaTheme="minorEastAsia"/>
          <w:b/>
          <w:bCs/>
          <w:kern w:val="2"/>
          <w:szCs w:val="28"/>
        </w:rPr>
      </w:sdtEndPr>
      <w:sdtContent>
        <w:p>
          <w:pPr>
            <w:pStyle w:val="5"/>
            <w:numPr>
              <w:ilvl w:val="3"/>
              <w:numId w:val="81"/>
            </w:numPr>
            <w:ind w:left="426" w:hanging="426"/>
          </w:pPr>
          <w:bookmarkStart w:id="142" w:name="_Hlk533601584"/>
          <w:r>
            <w:rPr>
              <w:rFonts w:hint="eastAsia"/>
            </w:rPr>
            <w:t>按坏账计提方法分类披露</w:t>
          </w:r>
        </w:p>
        <w:sdt>
          <w:sdtPr>
            <w:alias w:val="是否适用：应收账款分类披露[双击切换]"/>
            <w:tag w:val="_GBC_5532cbb0484a40fcb185be4bb8709d46"/>
            <w:id w:val="-827745491"/>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pStyle w:val="55"/>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45ed90b2e73740bfa8c1f5d7d12ff35e"/>
              <w:id w:val="17210146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1113"/>
            <w:gridCol w:w="539"/>
            <w:gridCol w:w="1041"/>
            <w:gridCol w:w="539"/>
            <w:gridCol w:w="1041"/>
            <w:gridCol w:w="1113"/>
            <w:gridCol w:w="539"/>
            <w:gridCol w:w="1041"/>
            <w:gridCol w:w="539"/>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tag w:val="_PLD_f8d5a19b9b724da98e30475a6df20be9"/>
                <w:id w:val="-319972513"/>
                <w:lock w:val="sdtLocked"/>
              </w:sdtPr>
              <w:sdtContent>
                <w:tc>
                  <w:tcPr>
                    <w:tcW w:w="776"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类别</w:t>
                    </w:r>
                  </w:p>
                </w:tc>
              </w:sdtContent>
            </w:sdt>
            <w:sdt>
              <w:sdtPr>
                <w:tag w:val="_PLD_8e6cd64a5cc84d259bab748be3f49169"/>
                <w:id w:val="-42983445"/>
                <w:lock w:val="sdtLocked"/>
              </w:sdtPr>
              <w:sdtContent>
                <w:tc>
                  <w:tcPr>
                    <w:tcW w:w="2086"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959641479"/>
                <w:lock w:val="sdtLocked"/>
              </w:sdtPr>
              <w:sdtContent>
                <w:tc>
                  <w:tcPr>
                    <w:tcW w:w="2138"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776" w:type="pct"/>
                <w:vMerge w:val="continue"/>
                <w:tcBorders>
                  <w:left w:val="single" w:color="auto" w:sz="4" w:space="0"/>
                  <w:right w:val="single" w:color="auto" w:sz="4" w:space="0"/>
                </w:tcBorders>
                <w:vAlign w:val="center"/>
              </w:tcPr>
              <w:p>
                <w:pPr>
                  <w:rPr>
                    <w:szCs w:val="21"/>
                  </w:rPr>
                </w:pPr>
              </w:p>
            </w:tc>
            <w:sdt>
              <w:sdtPr>
                <w:tag w:val="_PLD_696c52ce758e49deb616a7fb8df8ee20"/>
                <w:id w:val="1371724233"/>
                <w:lock w:val="sdtLocked"/>
              </w:sdtPr>
              <w:sdtContent>
                <w:tc>
                  <w:tcPr>
                    <w:tcW w:w="835"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1ca261fa1763424688ba2be8550f43e1"/>
                <w:id w:val="1743990673"/>
                <w:lock w:val="sdtLocked"/>
              </w:sdtPr>
              <w:sdtContent>
                <w:tc>
                  <w:tcPr>
                    <w:tcW w:w="838"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caaf7fb85a4a432890635f2eb9c38cd5"/>
                <w:id w:val="413676715"/>
                <w:lock w:val="sdtLocked"/>
              </w:sdtPr>
              <w:sdtContent>
                <w:tc>
                  <w:tcPr>
                    <w:tcW w:w="413"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sdt>
              <w:sdtPr>
                <w:tag w:val="_PLD_f01498a5d6634d7ab63dd393e266902a"/>
                <w:id w:val="-603184356"/>
                <w:lock w:val="sdtLocked"/>
              </w:sdtPr>
              <w:sdtContent>
                <w:tc>
                  <w:tcPr>
                    <w:tcW w:w="861"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e9336373677a4e1781b6e81f705c1bec"/>
                <w:id w:val="662132884"/>
                <w:lock w:val="sdtLocked"/>
              </w:sdtPr>
              <w:sdtContent>
                <w:tc>
                  <w:tcPr>
                    <w:tcW w:w="866"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09bacc527e7b4910a0c82606fe4a5754"/>
                <w:id w:val="-1934654366"/>
                <w:lock w:val="sdtLocked"/>
              </w:sdtPr>
              <w:sdtContent>
                <w:tc>
                  <w:tcPr>
                    <w:tcW w:w="411"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76" w:type="pct"/>
                <w:vMerge w:val="continue"/>
                <w:tcBorders>
                  <w:left w:val="single" w:color="auto" w:sz="4" w:space="0"/>
                  <w:bottom w:val="single" w:color="auto" w:sz="4" w:space="0"/>
                  <w:right w:val="single" w:color="auto" w:sz="4" w:space="0"/>
                </w:tcBorders>
                <w:vAlign w:val="center"/>
              </w:tcPr>
              <w:p>
                <w:pPr>
                  <w:rPr>
                    <w:szCs w:val="21"/>
                  </w:rPr>
                </w:pPr>
              </w:p>
            </w:tc>
            <w:sdt>
              <w:sdtPr>
                <w:tag w:val="_PLD_9a908e63a38c4885ae2f80c1b860b93a"/>
                <w:id w:val="265507324"/>
                <w:lock w:val="sdtLocked"/>
              </w:sdtPr>
              <w:sdtContent>
                <w:tc>
                  <w:tcPr>
                    <w:tcW w:w="420"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df211ff0344e48aa8266bff852c13d4a"/>
                <w:id w:val="-1864736988"/>
                <w:lock w:val="sdtLocked"/>
              </w:sdtPr>
              <w:sdtContent>
                <w:tc>
                  <w:tcPr>
                    <w:tcW w:w="415"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bc7278fbd5c542a3abfb9a55090a49e0"/>
                <w:id w:val="1156184388"/>
                <w:lock w:val="sdtLocked"/>
              </w:sdtPr>
              <w:sdtContent>
                <w:tc>
                  <w:tcPr>
                    <w:tcW w:w="41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98f107e07b5b44938d61d6b0984d9e2b"/>
                <w:id w:val="254491324"/>
                <w:lock w:val="sdtLocked"/>
              </w:sdtPr>
              <w:sdtContent>
                <w:tc>
                  <w:tcPr>
                    <w:tcW w:w="425"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413" w:type="pct"/>
                <w:vMerge w:val="continue"/>
                <w:tcBorders>
                  <w:left w:val="single" w:color="auto" w:sz="4" w:space="0"/>
                  <w:bottom w:val="single" w:color="auto" w:sz="4" w:space="0"/>
                  <w:right w:val="single" w:color="auto" w:sz="4" w:space="0"/>
                </w:tcBorders>
                <w:vAlign w:val="center"/>
              </w:tcPr>
              <w:p>
                <w:pPr>
                  <w:jc w:val="center"/>
                  <w:rPr>
                    <w:szCs w:val="21"/>
                  </w:rPr>
                </w:pPr>
              </w:p>
            </w:tc>
            <w:sdt>
              <w:sdtPr>
                <w:tag w:val="_PLD_27c35a851bfc461b93652bdd1c4da46e"/>
                <w:id w:val="-1586838928"/>
                <w:lock w:val="sdtLocked"/>
              </w:sdtPr>
              <w:sdtContent>
                <w:tc>
                  <w:tcPr>
                    <w:tcW w:w="436"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8cdcb4d0cfc74ea299eeda00998b7eed"/>
                <w:id w:val="-1246027284"/>
                <w:lock w:val="sdtLocked"/>
              </w:sdtPr>
              <w:sdtContent>
                <w:tc>
                  <w:tcPr>
                    <w:tcW w:w="425"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205ec069d7004eaba20d3af25a7dfeda"/>
                <w:id w:val="-1502578163"/>
                <w:lock w:val="sdtLocked"/>
              </w:sdtPr>
              <w:sdtContent>
                <w:tc>
                  <w:tcPr>
                    <w:tcW w:w="43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cee6517bce154e26a5f2a917cc143a54"/>
                <w:id w:val="-1471588412"/>
                <w:lock w:val="sdtLocked"/>
              </w:sdtPr>
              <w:sdtContent>
                <w:tc>
                  <w:tcPr>
                    <w:tcW w:w="43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411" w:type="pct"/>
                <w:vMerge w:val="continue"/>
                <w:tcBorders>
                  <w:left w:val="single" w:color="auto" w:sz="4" w:space="0"/>
                  <w:bottom w:val="single" w:color="auto" w:sz="4" w:space="0"/>
                  <w:right w:val="single" w:color="auto" w:sz="4" w:space="0"/>
                </w:tcBorders>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74de90e03c554305ba6a96c70365070b"/>
                <w:id w:val="1126438751"/>
                <w:lock w:val="sdtLocked"/>
              </w:sdtPr>
              <w:sdtContent>
                <w:tc>
                  <w:tcPr>
                    <w:tcW w:w="776"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按单项计提坏账准备</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20,242,377.73</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17.60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20,242,377.73</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20,242,377.73</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17.22</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20,242,377.73</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100</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2843924a07e24276b2592afce851b5fd"/>
                <w:id w:val="-489482292"/>
                <w:lock w:val="sdtLocked"/>
              </w:sdtPr>
              <w:sdtContent>
                <w:tc>
                  <w:tcPr>
                    <w:tcW w:w="5000" w:type="pct"/>
                    <w:gridSpan w:val="11"/>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其中：</w:t>
                    </w:r>
                  </w:p>
                </w:tc>
              </w:sdtContent>
            </w:sdt>
          </w:tr>
          <w:sdt>
            <w:sdtPr>
              <w:rPr>
                <w:szCs w:val="21"/>
              </w:rPr>
              <w:alias w:val="按单项计提坏账准备的应收账款明细"/>
              <w:tag w:val="_TUP_684b69d68a8f40419fc86e69a6ed257b"/>
              <w:id w:val="9129382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单项计提坏账准备的应收账款明细-类别"/>
                    <w:tag w:val="_GBC_886eea3bd42a4a8b945a70eaa8cff3df"/>
                    <w:id w:val="-1239174407"/>
                    <w:lock w:val="sdtLocked"/>
                  </w:sdtPr>
                  <w:sdtEndPr>
                    <w:rPr>
                      <w:szCs w:val="21"/>
                    </w:rPr>
                  </w:sdtEndPr>
                  <w:sdtContent>
                    <w:tc>
                      <w:tcPr>
                        <w:tcW w:w="776"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szCs w:val="21"/>
                          </w:rPr>
                          <w:t>单项计提预期信用损失的应收账款</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20,242,377.73</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17.60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20,242,377.73</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20,242,377.73</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17.22</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20,242,377.73</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100</w:t>
                    </w: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sdtContent>
          </w:sdt>
          <w:sdt>
            <w:sdtPr>
              <w:rPr>
                <w:szCs w:val="21"/>
              </w:rPr>
              <w:alias w:val="按单项计提坏账准备的应收账款明细"/>
              <w:tag w:val="_TUP_684b69d68a8f40419fc86e69a6ed257b"/>
              <w:id w:val="20105322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单项计提坏账准备的应收账款明细-类别"/>
                    <w:tag w:val="_GBC_886eea3bd42a4a8b945a70eaa8cff3df"/>
                    <w:id w:val="201053221"/>
                    <w:lock w:val="sdtLocked"/>
                    <w:showingPlcHdr/>
                  </w:sdtPr>
                  <w:sdtEndPr>
                    <w:rPr>
                      <w:szCs w:val="21"/>
                    </w:rPr>
                  </w:sdtEndPr>
                  <w:sdtContent>
                    <w:tc>
                      <w:tcPr>
                        <w:tcW w:w="776"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rFonts w:hint="eastAsia"/>
                          </w:rPr>
                          <w:t>　</w:t>
                        </w:r>
                      </w:p>
                    </w:tc>
                  </w:sdtContent>
                </w:sdt>
                <w:tc>
                  <w:tcPr>
                    <w:tcW w:w="420" w:type="pct"/>
                    <w:tcBorders>
                      <w:top w:val="single" w:color="auto" w:sz="4" w:space="0"/>
                      <w:left w:val="single" w:color="auto" w:sz="4" w:space="0"/>
                      <w:bottom w:val="single" w:color="auto" w:sz="4" w:space="0"/>
                      <w:right w:val="single" w:color="auto" w:sz="4" w:space="0"/>
                    </w:tcBorders>
                  </w:tcPr>
                  <w:p>
                    <w:pPr>
                      <w:jc w:val="right"/>
                      <w:rPr>
                        <w:szCs w:val="21"/>
                      </w:rPr>
                    </w:pPr>
                  </w:p>
                </w:tc>
                <w:tc>
                  <w:tcPr>
                    <w:tcW w:w="415" w:type="pct"/>
                    <w:tcBorders>
                      <w:top w:val="single" w:color="auto" w:sz="4" w:space="0"/>
                      <w:left w:val="single" w:color="auto" w:sz="4" w:space="0"/>
                      <w:bottom w:val="single" w:color="auto" w:sz="4" w:space="0"/>
                      <w:right w:val="single" w:color="auto" w:sz="4" w:space="0"/>
                    </w:tcBorders>
                  </w:tcPr>
                  <w:p>
                    <w:pPr>
                      <w:jc w:val="right"/>
                      <w:rPr>
                        <w:szCs w:val="21"/>
                      </w:rPr>
                    </w:pPr>
                  </w:p>
                </w:tc>
                <w:tc>
                  <w:tcPr>
                    <w:tcW w:w="413" w:type="pct"/>
                    <w:tcBorders>
                      <w:top w:val="single" w:color="auto" w:sz="4" w:space="0"/>
                      <w:left w:val="single" w:color="auto" w:sz="4" w:space="0"/>
                      <w:bottom w:val="single" w:color="auto" w:sz="4" w:space="0"/>
                      <w:right w:val="single" w:color="auto" w:sz="4" w:space="0"/>
                    </w:tcBorders>
                  </w:tcPr>
                  <w:p>
                    <w:pPr>
                      <w:jc w:val="right"/>
                      <w:rPr>
                        <w:szCs w:val="21"/>
                      </w:rPr>
                    </w:pPr>
                  </w:p>
                </w:tc>
                <w:tc>
                  <w:tcPr>
                    <w:tcW w:w="425" w:type="pct"/>
                    <w:tcBorders>
                      <w:top w:val="single" w:color="auto" w:sz="4" w:space="0"/>
                      <w:left w:val="single" w:color="auto" w:sz="4" w:space="0"/>
                      <w:bottom w:val="single" w:color="auto" w:sz="4" w:space="0"/>
                      <w:right w:val="single" w:color="auto" w:sz="4" w:space="0"/>
                    </w:tcBorders>
                  </w:tcPr>
                  <w:p>
                    <w:pPr>
                      <w:jc w:val="right"/>
                      <w:rPr>
                        <w:szCs w:val="21"/>
                      </w:rPr>
                    </w:pPr>
                  </w:p>
                </w:tc>
                <w:tc>
                  <w:tcPr>
                    <w:tcW w:w="413" w:type="pct"/>
                    <w:tcBorders>
                      <w:top w:val="single" w:color="auto" w:sz="4" w:space="0"/>
                      <w:left w:val="single" w:color="auto" w:sz="4" w:space="0"/>
                      <w:bottom w:val="single" w:color="auto" w:sz="4" w:space="0"/>
                      <w:right w:val="single" w:color="auto" w:sz="4" w:space="0"/>
                    </w:tcBorders>
                  </w:tcPr>
                  <w:p>
                    <w:pPr>
                      <w:jc w:val="right"/>
                      <w:rPr>
                        <w:szCs w:val="21"/>
                      </w:rPr>
                    </w:pPr>
                  </w:p>
                </w:tc>
                <w:tc>
                  <w:tcPr>
                    <w:tcW w:w="436" w:type="pct"/>
                    <w:tcBorders>
                      <w:top w:val="single" w:color="auto" w:sz="4" w:space="0"/>
                      <w:left w:val="single" w:color="auto" w:sz="4" w:space="0"/>
                      <w:bottom w:val="single" w:color="auto" w:sz="4" w:space="0"/>
                      <w:right w:val="single" w:color="auto" w:sz="4" w:space="0"/>
                    </w:tcBorders>
                  </w:tcPr>
                  <w:p>
                    <w:pPr>
                      <w:jc w:val="right"/>
                      <w:rPr>
                        <w:szCs w:val="21"/>
                      </w:rPr>
                    </w:pPr>
                  </w:p>
                </w:tc>
                <w:tc>
                  <w:tcPr>
                    <w:tcW w:w="425" w:type="pct"/>
                    <w:tcBorders>
                      <w:top w:val="single" w:color="auto" w:sz="4" w:space="0"/>
                      <w:left w:val="single" w:color="auto" w:sz="4" w:space="0"/>
                      <w:bottom w:val="single" w:color="auto" w:sz="4" w:space="0"/>
                      <w:right w:val="single" w:color="auto" w:sz="4" w:space="0"/>
                    </w:tcBorders>
                  </w:tcPr>
                  <w:p>
                    <w:pPr>
                      <w:jc w:val="right"/>
                      <w:rPr>
                        <w:szCs w:val="21"/>
                      </w:rPr>
                    </w:pPr>
                  </w:p>
                </w:tc>
                <w:tc>
                  <w:tcPr>
                    <w:tcW w:w="433" w:type="pct"/>
                    <w:tcBorders>
                      <w:top w:val="single" w:color="auto" w:sz="4" w:space="0"/>
                      <w:left w:val="single" w:color="auto" w:sz="4" w:space="0"/>
                      <w:bottom w:val="single" w:color="auto" w:sz="4" w:space="0"/>
                      <w:right w:val="single" w:color="auto" w:sz="4" w:space="0"/>
                    </w:tcBorders>
                  </w:tcPr>
                  <w:p>
                    <w:pPr>
                      <w:jc w:val="right"/>
                      <w:rPr>
                        <w:szCs w:val="21"/>
                      </w:rPr>
                    </w:pPr>
                  </w:p>
                </w:tc>
                <w:tc>
                  <w:tcPr>
                    <w:tcW w:w="433" w:type="pct"/>
                    <w:tcBorders>
                      <w:top w:val="single" w:color="auto" w:sz="4" w:space="0"/>
                      <w:left w:val="single" w:color="auto" w:sz="4" w:space="0"/>
                      <w:bottom w:val="single" w:color="auto" w:sz="4" w:space="0"/>
                      <w:right w:val="single" w:color="auto" w:sz="4" w:space="0"/>
                    </w:tcBorders>
                  </w:tcPr>
                  <w:p>
                    <w:pPr>
                      <w:jc w:val="right"/>
                      <w:rPr>
                        <w:szCs w:val="21"/>
                      </w:rPr>
                    </w:pP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d8ed1eba357f4adab0a97ff43996a2d9"/>
                <w:id w:val="896170791"/>
                <w:lock w:val="sdtLocked"/>
              </w:sdtPr>
              <w:sdtContent>
                <w:tc>
                  <w:tcPr>
                    <w:tcW w:w="776"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按组合计提坏账准备</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94,743,140.72</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82.40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30,502,691.30</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32.20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64,240,449.42</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97,310,987.21</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82.78</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29,157,936.35</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29.96</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68,153,050.86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e0cfa8fc80147608db7db4b7ce1db69"/>
                <w:id w:val="-425578230"/>
                <w:lock w:val="sdtLocked"/>
              </w:sdtPr>
              <w:sdtContent>
                <w:tc>
                  <w:tcPr>
                    <w:tcW w:w="5000" w:type="pct"/>
                    <w:gridSpan w:val="11"/>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其中：</w:t>
                    </w:r>
                  </w:p>
                </w:tc>
              </w:sdtContent>
            </w:sdt>
          </w:tr>
          <w:sdt>
            <w:sdtPr>
              <w:rPr>
                <w:szCs w:val="21"/>
              </w:rPr>
              <w:alias w:val="按组合计提坏账准备的应收账款明细"/>
              <w:tag w:val="_TUP_6a5136aa27f94b1e8c86df4585d9c3ea"/>
              <w:id w:val="-108930400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组合计提坏账准备的应收账款明细-组合名称"/>
                    <w:tag w:val="_GBC_a216a551f9d54c89b88dad6bcecd942d"/>
                    <w:id w:val="-1038508463"/>
                    <w:lock w:val="sdtLocked"/>
                  </w:sdtPr>
                  <w:sdtEndPr>
                    <w:rPr>
                      <w:szCs w:val="21"/>
                    </w:rPr>
                  </w:sdtEndPr>
                  <w:sdtContent>
                    <w:tc>
                      <w:tcPr>
                        <w:tcW w:w="776"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szCs w:val="21"/>
                          </w:rPr>
                          <w:t>其中：按账龄组合计提坏账准备的应收账款</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94,743,140.72</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82.40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30,502,691.30</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32.20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64,240,449.42</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97,310,987.21</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82.78</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29,157,936.35</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29.96</w:t>
                    </w: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sdtContent>
          </w:sdt>
          <w:sdt>
            <w:sdtPr>
              <w:rPr>
                <w:szCs w:val="21"/>
              </w:rPr>
              <w:alias w:val="按组合计提坏账准备的应收账款明细"/>
              <w:tag w:val="_TUP_6a5136aa27f94b1e8c86df4585d9c3ea"/>
              <w:id w:val="20105322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组合计提坏账准备的应收账款明细-组合名称"/>
                    <w:tag w:val="_GBC_a216a551f9d54c89b88dad6bcecd942d"/>
                    <w:id w:val="201053223"/>
                    <w:lock w:val="sdtLocked"/>
                    <w:showingPlcHdr/>
                  </w:sdtPr>
                  <w:sdtEndPr>
                    <w:rPr>
                      <w:szCs w:val="21"/>
                    </w:rPr>
                  </w:sdtEndPr>
                  <w:sdtContent>
                    <w:tc>
                      <w:tcPr>
                        <w:tcW w:w="776"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rFonts w:hint="eastAsia"/>
                          </w:rPr>
                          <w:t>　</w:t>
                        </w:r>
                      </w:p>
                    </w:tc>
                  </w:sdtContent>
                </w:sdt>
                <w:tc>
                  <w:tcPr>
                    <w:tcW w:w="420" w:type="pct"/>
                    <w:tcBorders>
                      <w:top w:val="single" w:color="auto" w:sz="4" w:space="0"/>
                      <w:left w:val="single" w:color="auto" w:sz="4" w:space="0"/>
                      <w:bottom w:val="single" w:color="auto" w:sz="4" w:space="0"/>
                      <w:right w:val="single" w:color="auto" w:sz="4" w:space="0"/>
                    </w:tcBorders>
                  </w:tcPr>
                  <w:p>
                    <w:pPr>
                      <w:jc w:val="right"/>
                      <w:rPr>
                        <w:szCs w:val="21"/>
                      </w:rPr>
                    </w:pPr>
                  </w:p>
                </w:tc>
                <w:tc>
                  <w:tcPr>
                    <w:tcW w:w="415" w:type="pct"/>
                    <w:tcBorders>
                      <w:top w:val="single" w:color="auto" w:sz="4" w:space="0"/>
                      <w:left w:val="single" w:color="auto" w:sz="4" w:space="0"/>
                      <w:bottom w:val="single" w:color="auto" w:sz="4" w:space="0"/>
                      <w:right w:val="single" w:color="auto" w:sz="4" w:space="0"/>
                    </w:tcBorders>
                  </w:tcPr>
                  <w:p>
                    <w:pPr>
                      <w:jc w:val="right"/>
                      <w:rPr>
                        <w:szCs w:val="21"/>
                      </w:rPr>
                    </w:pPr>
                  </w:p>
                </w:tc>
                <w:tc>
                  <w:tcPr>
                    <w:tcW w:w="413" w:type="pct"/>
                    <w:tcBorders>
                      <w:top w:val="single" w:color="auto" w:sz="4" w:space="0"/>
                      <w:left w:val="single" w:color="auto" w:sz="4" w:space="0"/>
                      <w:bottom w:val="single" w:color="auto" w:sz="4" w:space="0"/>
                      <w:right w:val="single" w:color="auto" w:sz="4" w:space="0"/>
                    </w:tcBorders>
                  </w:tcPr>
                  <w:p>
                    <w:pPr>
                      <w:jc w:val="right"/>
                      <w:rPr>
                        <w:szCs w:val="21"/>
                      </w:rPr>
                    </w:pPr>
                  </w:p>
                </w:tc>
                <w:tc>
                  <w:tcPr>
                    <w:tcW w:w="425" w:type="pct"/>
                    <w:tcBorders>
                      <w:top w:val="single" w:color="auto" w:sz="4" w:space="0"/>
                      <w:left w:val="single" w:color="auto" w:sz="4" w:space="0"/>
                      <w:bottom w:val="single" w:color="auto" w:sz="4" w:space="0"/>
                      <w:right w:val="single" w:color="auto" w:sz="4" w:space="0"/>
                    </w:tcBorders>
                  </w:tcPr>
                  <w:p>
                    <w:pPr>
                      <w:jc w:val="right"/>
                      <w:rPr>
                        <w:szCs w:val="21"/>
                      </w:rPr>
                    </w:pPr>
                  </w:p>
                </w:tc>
                <w:tc>
                  <w:tcPr>
                    <w:tcW w:w="413" w:type="pct"/>
                    <w:tcBorders>
                      <w:top w:val="single" w:color="auto" w:sz="4" w:space="0"/>
                      <w:left w:val="single" w:color="auto" w:sz="4" w:space="0"/>
                      <w:bottom w:val="single" w:color="auto" w:sz="4" w:space="0"/>
                      <w:right w:val="single" w:color="auto" w:sz="4" w:space="0"/>
                    </w:tcBorders>
                  </w:tcPr>
                  <w:p>
                    <w:pPr>
                      <w:jc w:val="right"/>
                      <w:rPr>
                        <w:szCs w:val="21"/>
                      </w:rPr>
                    </w:pPr>
                  </w:p>
                </w:tc>
                <w:tc>
                  <w:tcPr>
                    <w:tcW w:w="436" w:type="pct"/>
                    <w:tcBorders>
                      <w:top w:val="single" w:color="auto" w:sz="4" w:space="0"/>
                      <w:left w:val="single" w:color="auto" w:sz="4" w:space="0"/>
                      <w:bottom w:val="single" w:color="auto" w:sz="4" w:space="0"/>
                      <w:right w:val="single" w:color="auto" w:sz="4" w:space="0"/>
                    </w:tcBorders>
                  </w:tcPr>
                  <w:p>
                    <w:pPr>
                      <w:jc w:val="right"/>
                      <w:rPr>
                        <w:szCs w:val="21"/>
                      </w:rPr>
                    </w:pPr>
                  </w:p>
                </w:tc>
                <w:tc>
                  <w:tcPr>
                    <w:tcW w:w="425" w:type="pct"/>
                    <w:tcBorders>
                      <w:top w:val="single" w:color="auto" w:sz="4" w:space="0"/>
                      <w:left w:val="single" w:color="auto" w:sz="4" w:space="0"/>
                      <w:bottom w:val="single" w:color="auto" w:sz="4" w:space="0"/>
                      <w:right w:val="single" w:color="auto" w:sz="4" w:space="0"/>
                    </w:tcBorders>
                  </w:tcPr>
                  <w:p>
                    <w:pPr>
                      <w:jc w:val="right"/>
                      <w:rPr>
                        <w:szCs w:val="21"/>
                      </w:rPr>
                    </w:pPr>
                  </w:p>
                </w:tc>
                <w:tc>
                  <w:tcPr>
                    <w:tcW w:w="433" w:type="pct"/>
                    <w:tcBorders>
                      <w:top w:val="single" w:color="auto" w:sz="4" w:space="0"/>
                      <w:left w:val="single" w:color="auto" w:sz="4" w:space="0"/>
                      <w:bottom w:val="single" w:color="auto" w:sz="4" w:space="0"/>
                      <w:right w:val="single" w:color="auto" w:sz="4" w:space="0"/>
                    </w:tcBorders>
                  </w:tcPr>
                  <w:p>
                    <w:pPr>
                      <w:jc w:val="right"/>
                      <w:rPr>
                        <w:szCs w:val="21"/>
                      </w:rPr>
                    </w:pPr>
                  </w:p>
                </w:tc>
                <w:tc>
                  <w:tcPr>
                    <w:tcW w:w="433" w:type="pct"/>
                    <w:tcBorders>
                      <w:top w:val="single" w:color="auto" w:sz="4" w:space="0"/>
                      <w:left w:val="single" w:color="auto" w:sz="4" w:space="0"/>
                      <w:bottom w:val="single" w:color="auto" w:sz="4" w:space="0"/>
                      <w:right w:val="single" w:color="auto" w:sz="4" w:space="0"/>
                    </w:tcBorders>
                  </w:tcPr>
                  <w:p>
                    <w:pPr>
                      <w:jc w:val="right"/>
                      <w:rPr>
                        <w:szCs w:val="21"/>
                      </w:rPr>
                    </w:pP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d1cfb21816ea4c1f9d462c84b34cd380"/>
                <w:id w:val="-1491705268"/>
                <w:lock w:val="sdtLocked"/>
              </w:sdtPr>
              <w:sdtContent>
                <w:tc>
                  <w:tcPr>
                    <w:tcW w:w="7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合计</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114,985,518.45</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50,745,069.03</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64,240,449.42</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117,553,364.94</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49,400,314.08</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w:t>
                </w:r>
              </w:p>
            </w:tc>
            <w:tc>
              <w:tcPr>
                <w:tcW w:w="41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68,153,050.86</w:t>
                </w:r>
              </w:p>
            </w:tc>
          </w:tr>
        </w:tbl>
        <w:p/>
        <w:p>
          <w:pPr>
            <w:pStyle w:val="5"/>
            <w:sectPr>
              <w:pgSz w:w="11906" w:h="16838"/>
              <w:pgMar w:top="1440" w:right="1797" w:bottom="1525" w:left="1276" w:header="856" w:footer="992" w:gutter="0"/>
              <w:cols w:space="425" w:num="1"/>
              <w:docGrid w:linePitch="312" w:charSpace="0"/>
            </w:sectPr>
          </w:pPr>
        </w:p>
        <w:p>
          <w:pPr>
            <w:pStyle w:val="5"/>
          </w:pPr>
        </w:p>
      </w:sdtContent>
    </w:sdt>
    <w:bookmarkEnd w:id="142"/>
    <w:sdt>
      <w:sdtPr>
        <w:rPr>
          <w:rFonts w:hint="eastAsia"/>
          <w:szCs w:val="21"/>
        </w:rPr>
        <w:alias w:val="模块:按单项计提坏账准备"/>
        <w:tag w:val="_SEC_ef7cfc3c8ebf4f0dbd12a60dde63ca04"/>
        <w:id w:val="865724573"/>
        <w:lock w:val="sdtLocked"/>
        <w:placeholder>
          <w:docPart w:val="GBC22222222222222222222222222222"/>
        </w:placeholder>
      </w:sdtPr>
      <w:sdtEndPr>
        <w:rPr>
          <w:rFonts w:hint="default"/>
          <w:szCs w:val="24"/>
        </w:rPr>
      </w:sdtEndPr>
      <w:sdtContent>
        <w:p>
          <w:pPr>
            <w:rPr>
              <w:szCs w:val="21"/>
            </w:rPr>
          </w:pPr>
          <w:bookmarkStart w:id="143" w:name="_Hlk533606785"/>
          <w:r>
            <w:rPr>
              <w:rFonts w:hint="eastAsia"/>
              <w:szCs w:val="21"/>
            </w:rPr>
            <w:t>按单项计提坏账准备：</w:t>
          </w:r>
        </w:p>
        <w:sdt>
          <w:sdtPr>
            <w:rPr>
              <w:rFonts w:hint="eastAsia"/>
            </w:rPr>
            <w:alias w:val="是否适用：按单项计提坏账准备的应收账款详细情况[双击切换]"/>
            <w:tag w:val="_GBC_1add32cead514597854ff8ba7f5bf59e"/>
            <w:id w:val="86572454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865724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8657245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699"/>
            <w:gridCol w:w="1701"/>
            <w:gridCol w:w="1699"/>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7fa41067b8749859d9b8b001dab9dde"/>
                <w:id w:val="865724550"/>
                <w:lock w:val="sdtLocked"/>
              </w:sdtPr>
              <w:sdtEndPr>
                <w:rPr>
                  <w:rFonts w:ascii="Times New Roman" w:hAnsi="Times New Roman" w:cs="Times New Roman"/>
                </w:rPr>
              </w:sdtEndPr>
              <w:sdtContent>
                <w:tc>
                  <w:tcPr>
                    <w:tcW w:w="1160" w:type="pct"/>
                    <w:vMerge w:val="restart"/>
                    <w:vAlign w:val="center"/>
                  </w:tcPr>
                  <w:p>
                    <w:pPr>
                      <w:jc w:val="center"/>
                      <w:rPr>
                        <w:rFonts w:ascii="Times New Roman" w:hAnsi="Times New Roman" w:cs="Times New Roman"/>
                        <w:szCs w:val="21"/>
                      </w:rPr>
                    </w:pPr>
                    <w:r>
                      <w:rPr>
                        <w:rFonts w:ascii="Times New Roman" w:cs="Times New Roman"/>
                        <w:szCs w:val="21"/>
                      </w:rPr>
                      <w:t>名称</w:t>
                    </w:r>
                  </w:p>
                </w:tc>
              </w:sdtContent>
            </w:sdt>
            <w:sdt>
              <w:sdtPr>
                <w:rPr>
                  <w:rFonts w:ascii="Times New Roman" w:hAnsi="Times New Roman" w:cs="Times New Roman"/>
                </w:rPr>
                <w:tag w:val="_PLD_53121e07f76046af9290059d0b8136d4"/>
                <w:id w:val="865724551"/>
                <w:lock w:val="sdtLocked"/>
              </w:sdtPr>
              <w:sdtEndPr>
                <w:rPr>
                  <w:rFonts w:ascii="Times New Roman" w:hAnsi="Times New Roman" w:cs="Times New Roman"/>
                </w:rPr>
              </w:sdtEndPr>
              <w:sdtContent>
                <w:tc>
                  <w:tcPr>
                    <w:tcW w:w="3840" w:type="pct"/>
                    <w:gridSpan w:val="4"/>
                    <w:vAlign w:val="center"/>
                  </w:tcPr>
                  <w:p>
                    <w:pPr>
                      <w:jc w:val="center"/>
                      <w:rPr>
                        <w:rFonts w:ascii="Times New Roman" w:hAnsi="Times New Roman" w:cs="Times New Roman"/>
                        <w:szCs w:val="21"/>
                      </w:rPr>
                    </w:pPr>
                    <w:r>
                      <w:rPr>
                        <w:rFonts w:asci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Merge w:val="continue"/>
              </w:tcPr>
              <w:p>
                <w:pPr>
                  <w:jc w:val="center"/>
                  <w:rPr>
                    <w:rFonts w:ascii="Times New Roman" w:hAnsi="Times New Roman" w:cs="Times New Roman"/>
                    <w:szCs w:val="21"/>
                  </w:rPr>
                </w:pPr>
              </w:p>
            </w:tc>
            <w:sdt>
              <w:sdtPr>
                <w:rPr>
                  <w:rFonts w:ascii="Times New Roman" w:hAnsi="Times New Roman" w:cs="Times New Roman"/>
                </w:rPr>
                <w:tag w:val="_PLD_89b2d64d2083464fae141734d17523d3"/>
                <w:id w:val="865724552"/>
                <w:lock w:val="sdtLocked"/>
              </w:sdtPr>
              <w:sdtEndPr>
                <w:rPr>
                  <w:rFonts w:ascii="Times New Roman" w:hAnsi="Times New Roman" w:cs="Times New Roman"/>
                </w:rPr>
              </w:sdtEndPr>
              <w:sdtContent>
                <w:tc>
                  <w:tcPr>
                    <w:tcW w:w="939" w:type="pct"/>
                    <w:vAlign w:val="center"/>
                  </w:tcPr>
                  <w:p>
                    <w:pPr>
                      <w:jc w:val="center"/>
                      <w:rPr>
                        <w:rFonts w:ascii="Times New Roman" w:hAnsi="Times New Roman" w:cs="Times New Roman"/>
                        <w:szCs w:val="21"/>
                      </w:rPr>
                    </w:pPr>
                    <w:r>
                      <w:rPr>
                        <w:rFonts w:ascii="Times New Roman" w:cs="Times New Roman"/>
                        <w:szCs w:val="21"/>
                      </w:rPr>
                      <w:t>账面余额</w:t>
                    </w:r>
                  </w:p>
                </w:tc>
              </w:sdtContent>
            </w:sdt>
            <w:sdt>
              <w:sdtPr>
                <w:rPr>
                  <w:rFonts w:ascii="Times New Roman" w:hAnsi="Times New Roman" w:cs="Times New Roman"/>
                </w:rPr>
                <w:tag w:val="_PLD_ace529544c544606915552a352f0e13b"/>
                <w:id w:val="865724553"/>
                <w:lock w:val="sdtLocked"/>
              </w:sdtPr>
              <w:sdtEndPr>
                <w:rPr>
                  <w:rFonts w:ascii="Times New Roman" w:hAnsi="Times New Roman" w:cs="Times New Roman"/>
                </w:rPr>
              </w:sdtEndPr>
              <w:sdtContent>
                <w:tc>
                  <w:tcPr>
                    <w:tcW w:w="940" w:type="pct"/>
                    <w:vAlign w:val="center"/>
                  </w:tcPr>
                  <w:p>
                    <w:pPr>
                      <w:jc w:val="center"/>
                      <w:rPr>
                        <w:rFonts w:ascii="Times New Roman" w:hAnsi="Times New Roman" w:cs="Times New Roman"/>
                        <w:szCs w:val="21"/>
                      </w:rPr>
                    </w:pPr>
                    <w:r>
                      <w:rPr>
                        <w:rFonts w:ascii="Times New Roman" w:cs="Times New Roman"/>
                        <w:szCs w:val="21"/>
                      </w:rPr>
                      <w:t>坏账准备</w:t>
                    </w:r>
                  </w:p>
                </w:tc>
              </w:sdtContent>
            </w:sdt>
            <w:sdt>
              <w:sdtPr>
                <w:rPr>
                  <w:rFonts w:ascii="Times New Roman" w:hAnsi="Times New Roman" w:cs="Times New Roman"/>
                </w:rPr>
                <w:tag w:val="_PLD_8fd7658c68a540cf9892f97231c626d7"/>
                <w:id w:val="865724554"/>
                <w:lock w:val="sdtLocked"/>
              </w:sdtPr>
              <w:sdtEndPr>
                <w:rPr>
                  <w:rFonts w:ascii="Times New Roman" w:hAnsi="Times New Roman" w:cs="Times New Roman"/>
                </w:rPr>
              </w:sdtEndPr>
              <w:sdtContent>
                <w:tc>
                  <w:tcPr>
                    <w:tcW w:w="939" w:type="pct"/>
                    <w:vAlign w:val="center"/>
                  </w:tcPr>
                  <w:p>
                    <w:pPr>
                      <w:jc w:val="center"/>
                      <w:rPr>
                        <w:rFonts w:ascii="Times New Roman" w:hAnsi="Times New Roman" w:cs="Times New Roman"/>
                        <w:szCs w:val="21"/>
                      </w:rPr>
                    </w:pPr>
                    <w:r>
                      <w:rPr>
                        <w:rFonts w:ascii="Times New Roman" w:cs="Times New Roman"/>
                        <w:szCs w:val="21"/>
                      </w:rPr>
                      <w:t>计提比例（</w:t>
                    </w:r>
                    <w:r>
                      <w:rPr>
                        <w:rFonts w:ascii="Times New Roman" w:hAnsi="Times New Roman" w:cs="Times New Roman"/>
                        <w:szCs w:val="21"/>
                      </w:rPr>
                      <w:t>%</w:t>
                    </w:r>
                    <w:r>
                      <w:rPr>
                        <w:rFonts w:ascii="Times New Roman" w:cs="Times New Roman"/>
                        <w:szCs w:val="21"/>
                      </w:rPr>
                      <w:t>）</w:t>
                    </w:r>
                  </w:p>
                </w:tc>
              </w:sdtContent>
            </w:sdt>
            <w:sdt>
              <w:sdtPr>
                <w:rPr>
                  <w:rFonts w:ascii="Times New Roman" w:hAnsi="Times New Roman" w:cs="Times New Roman"/>
                </w:rPr>
                <w:tag w:val="_PLD_e9726e8171bb463ba9719bc643c14988"/>
                <w:id w:val="865724555"/>
                <w:lock w:val="sdtLocked"/>
              </w:sdtPr>
              <w:sdtEndPr>
                <w:rPr>
                  <w:rFonts w:ascii="Times New Roman" w:hAnsi="Times New Roman" w:cs="Times New Roman"/>
                </w:rPr>
              </w:sdtEndPr>
              <w:sdtContent>
                <w:tc>
                  <w:tcPr>
                    <w:tcW w:w="1022" w:type="pct"/>
                    <w:vAlign w:val="center"/>
                  </w:tcPr>
                  <w:p>
                    <w:pPr>
                      <w:jc w:val="center"/>
                      <w:rPr>
                        <w:rFonts w:ascii="Times New Roman" w:hAnsi="Times New Roman" w:cs="Times New Roman"/>
                        <w:szCs w:val="21"/>
                      </w:rPr>
                    </w:pPr>
                    <w:r>
                      <w:rPr>
                        <w:rFonts w:ascii="Times New Roman" w:cs="Times New Roman"/>
                        <w:szCs w:val="21"/>
                      </w:rPr>
                      <w:t>计提理由</w:t>
                    </w:r>
                  </w:p>
                </w:tc>
              </w:sdtContent>
            </w:sdt>
          </w:tr>
          <w:sdt>
            <w:sdtPr>
              <w:rPr>
                <w:rFonts w:ascii="Times New Roman" w:hAnsi="Times New Roman" w:cs="Times New Roman"/>
                <w:szCs w:val="21"/>
              </w:rPr>
              <w:alias w:val="按单项计提坏账准备的应收账款详细名称明细"/>
              <w:tag w:val="_TUP_7d92570101f141ecb63ab18937afc316"/>
              <w:id w:val="86572455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上海诗玛尔家居用品有限公司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15,609,244.47</w:t>
                    </w:r>
                  </w:p>
                </w:tc>
                <w:tc>
                  <w:tcPr>
                    <w:tcW w:w="940" w:type="pct"/>
                    <w:vAlign w:val="center"/>
                  </w:tcPr>
                  <w:p>
                    <w:pPr>
                      <w:jc w:val="right"/>
                      <w:rPr>
                        <w:rFonts w:ascii="Times New Roman" w:hAnsi="Times New Roman" w:cs="Times New Roman"/>
                        <w:szCs w:val="21"/>
                      </w:rPr>
                    </w:pPr>
                    <w:r>
                      <w:rPr>
                        <w:rFonts w:ascii="Times New Roman" w:hAnsi="Times New Roman" w:cs="Times New Roman"/>
                      </w:rPr>
                      <w:t>15,609,244.47</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5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柳州市泓博纸业有限公司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738,022.05</w:t>
                    </w:r>
                  </w:p>
                </w:tc>
                <w:tc>
                  <w:tcPr>
                    <w:tcW w:w="940" w:type="pct"/>
                    <w:vAlign w:val="center"/>
                  </w:tcPr>
                  <w:p>
                    <w:pPr>
                      <w:jc w:val="right"/>
                      <w:rPr>
                        <w:rFonts w:ascii="Times New Roman" w:hAnsi="Times New Roman" w:cs="Times New Roman"/>
                        <w:szCs w:val="21"/>
                      </w:rPr>
                    </w:pPr>
                    <w:r>
                      <w:rPr>
                        <w:rFonts w:ascii="Times New Roman" w:hAnsi="Times New Roman" w:cs="Times New Roman"/>
                      </w:rPr>
                      <w:t>738,022.05</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5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玉林日用品经营部</w:t>
                    </w:r>
                  </w:p>
                </w:tc>
                <w:tc>
                  <w:tcPr>
                    <w:tcW w:w="939" w:type="pct"/>
                    <w:vAlign w:val="center"/>
                  </w:tcPr>
                  <w:p>
                    <w:pPr>
                      <w:jc w:val="right"/>
                      <w:rPr>
                        <w:rFonts w:ascii="Times New Roman" w:hAnsi="Times New Roman" w:cs="Times New Roman"/>
                        <w:szCs w:val="21"/>
                      </w:rPr>
                    </w:pPr>
                    <w:r>
                      <w:rPr>
                        <w:rFonts w:ascii="Times New Roman" w:hAnsi="Times New Roman" w:cs="Times New Roman"/>
                      </w:rPr>
                      <w:t>616,115.30</w:t>
                    </w:r>
                  </w:p>
                </w:tc>
                <w:tc>
                  <w:tcPr>
                    <w:tcW w:w="940" w:type="pct"/>
                    <w:vAlign w:val="center"/>
                  </w:tcPr>
                  <w:p>
                    <w:pPr>
                      <w:jc w:val="right"/>
                      <w:rPr>
                        <w:rFonts w:ascii="Times New Roman" w:hAnsi="Times New Roman" w:cs="Times New Roman"/>
                        <w:szCs w:val="21"/>
                      </w:rPr>
                    </w:pPr>
                    <w:r>
                      <w:rPr>
                        <w:rFonts w:ascii="Times New Roman" w:hAnsi="Times New Roman" w:cs="Times New Roman"/>
                      </w:rPr>
                      <w:t>616,115.30</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5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长春市粤惠洗涤化妆品公司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554,277.71</w:t>
                    </w:r>
                  </w:p>
                </w:tc>
                <w:tc>
                  <w:tcPr>
                    <w:tcW w:w="940" w:type="pct"/>
                    <w:vAlign w:val="center"/>
                  </w:tcPr>
                  <w:p>
                    <w:pPr>
                      <w:jc w:val="right"/>
                      <w:rPr>
                        <w:rFonts w:ascii="Times New Roman" w:hAnsi="Times New Roman" w:cs="Times New Roman"/>
                        <w:szCs w:val="21"/>
                      </w:rPr>
                    </w:pPr>
                    <w:r>
                      <w:rPr>
                        <w:rFonts w:ascii="Times New Roman" w:hAnsi="Times New Roman" w:cs="Times New Roman"/>
                      </w:rPr>
                      <w:t>554,277.71</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6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成都同基医药有限公司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472,231.68</w:t>
                    </w:r>
                  </w:p>
                </w:tc>
                <w:tc>
                  <w:tcPr>
                    <w:tcW w:w="940" w:type="pct"/>
                    <w:vAlign w:val="center"/>
                  </w:tcPr>
                  <w:p>
                    <w:pPr>
                      <w:jc w:val="right"/>
                      <w:rPr>
                        <w:rFonts w:ascii="Times New Roman" w:hAnsi="Times New Roman" w:cs="Times New Roman"/>
                        <w:szCs w:val="21"/>
                      </w:rPr>
                    </w:pPr>
                    <w:r>
                      <w:rPr>
                        <w:rFonts w:ascii="Times New Roman" w:hAnsi="Times New Roman" w:cs="Times New Roman"/>
                      </w:rPr>
                      <w:t>472,231.68</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6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苏果超市有限公司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401,957.93</w:t>
                    </w:r>
                  </w:p>
                </w:tc>
                <w:tc>
                  <w:tcPr>
                    <w:tcW w:w="940" w:type="pct"/>
                    <w:vAlign w:val="center"/>
                  </w:tcPr>
                  <w:p>
                    <w:pPr>
                      <w:jc w:val="right"/>
                      <w:rPr>
                        <w:rFonts w:ascii="Times New Roman" w:hAnsi="Times New Roman" w:cs="Times New Roman"/>
                        <w:szCs w:val="21"/>
                      </w:rPr>
                    </w:pPr>
                    <w:r>
                      <w:rPr>
                        <w:rFonts w:ascii="Times New Roman" w:hAnsi="Times New Roman" w:cs="Times New Roman"/>
                      </w:rPr>
                      <w:t>401,957.93</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6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杭州星城百货有限公司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315,454.79</w:t>
                    </w:r>
                  </w:p>
                </w:tc>
                <w:tc>
                  <w:tcPr>
                    <w:tcW w:w="940" w:type="pct"/>
                    <w:vAlign w:val="center"/>
                  </w:tcPr>
                  <w:p>
                    <w:pPr>
                      <w:jc w:val="right"/>
                      <w:rPr>
                        <w:rFonts w:ascii="Times New Roman" w:hAnsi="Times New Roman" w:cs="Times New Roman"/>
                        <w:szCs w:val="21"/>
                      </w:rPr>
                    </w:pPr>
                    <w:r>
                      <w:rPr>
                        <w:rFonts w:ascii="Times New Roman" w:hAnsi="Times New Roman" w:cs="Times New Roman"/>
                      </w:rPr>
                      <w:t>315,454.79</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6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梧州雅惠商贸有限公司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199,126.81</w:t>
                    </w:r>
                  </w:p>
                </w:tc>
                <w:tc>
                  <w:tcPr>
                    <w:tcW w:w="940" w:type="pct"/>
                    <w:vAlign w:val="center"/>
                  </w:tcPr>
                  <w:p>
                    <w:pPr>
                      <w:jc w:val="right"/>
                      <w:rPr>
                        <w:rFonts w:ascii="Times New Roman" w:hAnsi="Times New Roman" w:cs="Times New Roman"/>
                        <w:szCs w:val="21"/>
                      </w:rPr>
                    </w:pPr>
                    <w:r>
                      <w:rPr>
                        <w:rFonts w:ascii="Times New Roman" w:hAnsi="Times New Roman" w:cs="Times New Roman"/>
                      </w:rPr>
                      <w:t>199,126.81</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6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贵港市永兴百货经营部</w:t>
                    </w:r>
                  </w:p>
                </w:tc>
                <w:tc>
                  <w:tcPr>
                    <w:tcW w:w="939" w:type="pct"/>
                    <w:vAlign w:val="center"/>
                  </w:tcPr>
                  <w:p>
                    <w:pPr>
                      <w:jc w:val="right"/>
                      <w:rPr>
                        <w:rFonts w:ascii="Times New Roman" w:hAnsi="Times New Roman" w:cs="Times New Roman"/>
                        <w:szCs w:val="21"/>
                      </w:rPr>
                    </w:pPr>
                    <w:r>
                      <w:rPr>
                        <w:rFonts w:ascii="Times New Roman" w:hAnsi="Times New Roman" w:cs="Times New Roman"/>
                      </w:rPr>
                      <w:t>178,605.59</w:t>
                    </w:r>
                  </w:p>
                </w:tc>
                <w:tc>
                  <w:tcPr>
                    <w:tcW w:w="940" w:type="pct"/>
                    <w:vAlign w:val="center"/>
                  </w:tcPr>
                  <w:p>
                    <w:pPr>
                      <w:jc w:val="right"/>
                      <w:rPr>
                        <w:rFonts w:ascii="Times New Roman" w:hAnsi="Times New Roman" w:cs="Times New Roman"/>
                        <w:szCs w:val="21"/>
                      </w:rPr>
                    </w:pPr>
                    <w:r>
                      <w:rPr>
                        <w:rFonts w:ascii="Times New Roman" w:hAnsi="Times New Roman" w:cs="Times New Roman"/>
                      </w:rPr>
                      <w:t>178,605.59</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6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沈阳市益霆商贸公司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168,917.94</w:t>
                    </w:r>
                  </w:p>
                </w:tc>
                <w:tc>
                  <w:tcPr>
                    <w:tcW w:w="940" w:type="pct"/>
                    <w:vAlign w:val="center"/>
                  </w:tcPr>
                  <w:p>
                    <w:pPr>
                      <w:jc w:val="right"/>
                      <w:rPr>
                        <w:rFonts w:ascii="Times New Roman" w:hAnsi="Times New Roman" w:cs="Times New Roman"/>
                        <w:szCs w:val="21"/>
                      </w:rPr>
                    </w:pPr>
                    <w:r>
                      <w:rPr>
                        <w:rFonts w:ascii="Times New Roman" w:hAnsi="Times New Roman" w:cs="Times New Roman"/>
                      </w:rPr>
                      <w:t>168,917.94</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6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广西百家惠商贸有限公司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138,664.68</w:t>
                    </w:r>
                  </w:p>
                </w:tc>
                <w:tc>
                  <w:tcPr>
                    <w:tcW w:w="940" w:type="pct"/>
                    <w:vAlign w:val="center"/>
                  </w:tcPr>
                  <w:p>
                    <w:pPr>
                      <w:jc w:val="right"/>
                      <w:rPr>
                        <w:rFonts w:ascii="Times New Roman" w:hAnsi="Times New Roman" w:cs="Times New Roman"/>
                        <w:szCs w:val="21"/>
                      </w:rPr>
                    </w:pPr>
                    <w:r>
                      <w:rPr>
                        <w:rFonts w:ascii="Times New Roman" w:hAnsi="Times New Roman" w:cs="Times New Roman"/>
                      </w:rPr>
                      <w:t>138,664.68</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6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哈市秀梅商贸公司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133,022.68</w:t>
                    </w:r>
                  </w:p>
                </w:tc>
                <w:tc>
                  <w:tcPr>
                    <w:tcW w:w="940" w:type="pct"/>
                    <w:vAlign w:val="center"/>
                  </w:tcPr>
                  <w:p>
                    <w:pPr>
                      <w:jc w:val="right"/>
                      <w:rPr>
                        <w:rFonts w:ascii="Times New Roman" w:hAnsi="Times New Roman" w:cs="Times New Roman"/>
                        <w:szCs w:val="21"/>
                      </w:rPr>
                    </w:pPr>
                    <w:r>
                      <w:rPr>
                        <w:rFonts w:ascii="Times New Roman" w:hAnsi="Times New Roman" w:cs="Times New Roman"/>
                      </w:rPr>
                      <w:t>133,022.68</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6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呼市玉泉区雪菲利百货经销部</w:t>
                    </w:r>
                  </w:p>
                </w:tc>
                <w:tc>
                  <w:tcPr>
                    <w:tcW w:w="939" w:type="pct"/>
                    <w:vAlign w:val="center"/>
                  </w:tcPr>
                  <w:p>
                    <w:pPr>
                      <w:jc w:val="right"/>
                      <w:rPr>
                        <w:rFonts w:ascii="Times New Roman" w:hAnsi="Times New Roman" w:cs="Times New Roman"/>
                        <w:szCs w:val="21"/>
                      </w:rPr>
                    </w:pPr>
                    <w:r>
                      <w:rPr>
                        <w:rFonts w:ascii="Times New Roman" w:hAnsi="Times New Roman" w:cs="Times New Roman"/>
                      </w:rPr>
                      <w:t>129,099.28</w:t>
                    </w:r>
                  </w:p>
                </w:tc>
                <w:tc>
                  <w:tcPr>
                    <w:tcW w:w="940" w:type="pct"/>
                    <w:vAlign w:val="center"/>
                  </w:tcPr>
                  <w:p>
                    <w:pPr>
                      <w:jc w:val="right"/>
                      <w:rPr>
                        <w:rFonts w:ascii="Times New Roman" w:hAnsi="Times New Roman" w:cs="Times New Roman"/>
                        <w:szCs w:val="21"/>
                      </w:rPr>
                    </w:pPr>
                    <w:r>
                      <w:rPr>
                        <w:rFonts w:ascii="Times New Roman" w:hAnsi="Times New Roman" w:cs="Times New Roman"/>
                      </w:rPr>
                      <w:t>129,099.28</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6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南宁市大泽</w:t>
                    </w:r>
                    <w:r>
                      <w:rPr>
                        <w:rFonts w:ascii="Times New Roman" w:hAnsi="Times New Roman" w:cs="Times New Roman"/>
                      </w:rPr>
                      <w:t>(</w:t>
                    </w:r>
                    <w:r>
                      <w:rPr>
                        <w:rFonts w:ascii="Times New Roman" w:cs="Times New Roman"/>
                      </w:rPr>
                      <w:t>联合</w:t>
                    </w:r>
                    <w:r>
                      <w:rPr>
                        <w:rFonts w:ascii="Times New Roman" w:hAnsi="Times New Roman" w:cs="Times New Roman"/>
                      </w:rPr>
                      <w:t>)</w:t>
                    </w:r>
                    <w:r>
                      <w:rPr>
                        <w:rFonts w:ascii="Times New Roman" w:cs="Times New Roman"/>
                      </w:rPr>
                      <w:t>商贸有限公司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125,982.01</w:t>
                    </w:r>
                  </w:p>
                </w:tc>
                <w:tc>
                  <w:tcPr>
                    <w:tcW w:w="940" w:type="pct"/>
                    <w:vAlign w:val="center"/>
                  </w:tcPr>
                  <w:p>
                    <w:pPr>
                      <w:jc w:val="right"/>
                      <w:rPr>
                        <w:rFonts w:ascii="Times New Roman" w:hAnsi="Times New Roman" w:cs="Times New Roman"/>
                        <w:szCs w:val="21"/>
                      </w:rPr>
                    </w:pPr>
                    <w:r>
                      <w:rPr>
                        <w:rFonts w:ascii="Times New Roman" w:hAnsi="Times New Roman" w:cs="Times New Roman"/>
                      </w:rPr>
                      <w:t>125,982.01</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sdt>
            <w:sdtPr>
              <w:rPr>
                <w:rFonts w:ascii="Times New Roman" w:hAnsi="Times New Roman" w:cs="Times New Roman"/>
                <w:szCs w:val="21"/>
              </w:rPr>
              <w:alias w:val="按单项计提坏账准备的应收账款详细名称明细"/>
              <w:tag w:val="_TUP_7d92570101f141ecb63ab18937afc316"/>
              <w:id w:val="86572457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其他</w:t>
                    </w:r>
                  </w:p>
                </w:tc>
                <w:tc>
                  <w:tcPr>
                    <w:tcW w:w="939" w:type="pct"/>
                    <w:vAlign w:val="center"/>
                  </w:tcPr>
                  <w:p>
                    <w:pPr>
                      <w:jc w:val="right"/>
                      <w:rPr>
                        <w:rFonts w:ascii="Times New Roman" w:hAnsi="Times New Roman" w:cs="Times New Roman"/>
                        <w:szCs w:val="21"/>
                      </w:rPr>
                    </w:pPr>
                    <w:r>
                      <w:rPr>
                        <w:rFonts w:ascii="Times New Roman" w:hAnsi="Times New Roman" w:cs="Times New Roman"/>
                      </w:rPr>
                      <w:t>461,654.81</w:t>
                    </w:r>
                  </w:p>
                </w:tc>
                <w:tc>
                  <w:tcPr>
                    <w:tcW w:w="940" w:type="pct"/>
                    <w:vAlign w:val="center"/>
                  </w:tcPr>
                  <w:p>
                    <w:pPr>
                      <w:jc w:val="right"/>
                      <w:rPr>
                        <w:rFonts w:ascii="Times New Roman" w:hAnsi="Times New Roman" w:cs="Times New Roman"/>
                        <w:szCs w:val="21"/>
                      </w:rPr>
                    </w:pPr>
                    <w:r>
                      <w:rPr>
                        <w:rFonts w:ascii="Times New Roman" w:hAnsi="Times New Roman" w:cs="Times New Roman"/>
                      </w:rPr>
                      <w:t>461,654.81</w:t>
                    </w:r>
                  </w:p>
                </w:tc>
                <w:tc>
                  <w:tcPr>
                    <w:tcW w:w="939" w:type="pct"/>
                    <w:vAlign w:val="center"/>
                  </w:tcPr>
                  <w:p>
                    <w:pPr>
                      <w:jc w:val="right"/>
                      <w:rPr>
                        <w:rFonts w:ascii="Times New Roman" w:hAnsi="Times New Roman" w:cs="Times New Roman"/>
                        <w:szCs w:val="21"/>
                      </w:rPr>
                    </w:pPr>
                    <w:r>
                      <w:rPr>
                        <w:rFonts w:ascii="Times New Roman" w:hAnsi="Times New Roman" w:cs="Times New Roman"/>
                      </w:rPr>
                      <w:t>100</w:t>
                    </w:r>
                  </w:p>
                </w:tc>
                <w:tc>
                  <w:tcPr>
                    <w:tcW w:w="1022" w:type="pct"/>
                    <w:vAlign w:val="center"/>
                  </w:tcPr>
                  <w:p>
                    <w:pPr>
                      <w:jc w:val="right"/>
                      <w:rPr>
                        <w:rFonts w:ascii="Times New Roman" w:hAnsi="Times New Roman" w:cs="Times New Roman"/>
                        <w:szCs w:val="21"/>
                      </w:rPr>
                    </w:pPr>
                    <w:r>
                      <w:rPr>
                        <w:rFonts w:ascii="Times New Roman" w:cs="Times New Roman"/>
                      </w:rPr>
                      <w:t>预计不能收回</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d91ad8a33154a4397fe05ffbb5a6db7"/>
                <w:id w:val="865724571"/>
                <w:lock w:val="sdtLocked"/>
              </w:sdtPr>
              <w:sdtEndPr>
                <w:rPr>
                  <w:rFonts w:ascii="Times New Roman" w:hAnsi="Times New Roman" w:cs="Times New Roman"/>
                </w:rPr>
              </w:sdtEndPr>
              <w:sdtContent>
                <w:tc>
                  <w:tcPr>
                    <w:tcW w:w="1160" w:type="pct"/>
                    <w:vAlign w:val="center"/>
                  </w:tcPr>
                  <w:p>
                    <w:pPr>
                      <w:jc w:val="center"/>
                      <w:rPr>
                        <w:rFonts w:ascii="Times New Roman" w:hAnsi="Times New Roman" w:cs="Times New Roman"/>
                        <w:szCs w:val="21"/>
                      </w:rPr>
                    </w:pPr>
                    <w:r>
                      <w:rPr>
                        <w:rFonts w:ascii="Times New Roman" w:cs="Times New Roman"/>
                        <w:szCs w:val="21"/>
                      </w:rPr>
                      <w:t>合计</w:t>
                    </w:r>
                  </w:p>
                </w:tc>
              </w:sdtContent>
            </w:sdt>
            <w:tc>
              <w:tcPr>
                <w:tcW w:w="939" w:type="pct"/>
                <w:vAlign w:val="center"/>
              </w:tcPr>
              <w:p>
                <w:pPr>
                  <w:jc w:val="right"/>
                  <w:rPr>
                    <w:rFonts w:ascii="Times New Roman" w:hAnsi="Times New Roman" w:cs="Times New Roman"/>
                    <w:sz w:val="24"/>
                  </w:rPr>
                </w:pPr>
                <w:r>
                  <w:rPr>
                    <w:rFonts w:ascii="Times New Roman" w:hAnsi="Times New Roman" w:cs="Times New Roman"/>
                  </w:rPr>
                  <w:t>20,242,377.73</w:t>
                </w:r>
              </w:p>
            </w:tc>
            <w:tc>
              <w:tcPr>
                <w:tcW w:w="940" w:type="pct"/>
                <w:vAlign w:val="center"/>
              </w:tcPr>
              <w:p>
                <w:pPr>
                  <w:jc w:val="right"/>
                  <w:rPr>
                    <w:rFonts w:ascii="Times New Roman" w:hAnsi="Times New Roman" w:cs="Times New Roman"/>
                    <w:sz w:val="24"/>
                  </w:rPr>
                </w:pPr>
                <w:r>
                  <w:rPr>
                    <w:rFonts w:ascii="Times New Roman" w:hAnsi="Times New Roman" w:cs="Times New Roman"/>
                  </w:rPr>
                  <w:t>20,242,377.73</w:t>
                </w:r>
              </w:p>
            </w:tc>
            <w:tc>
              <w:tcPr>
                <w:tcW w:w="939" w:type="pct"/>
                <w:vAlign w:val="center"/>
              </w:tcPr>
              <w:p>
                <w:pPr>
                  <w:jc w:val="right"/>
                  <w:rPr>
                    <w:rFonts w:ascii="Times New Roman" w:hAnsi="Times New Roman" w:cs="Times New Roman"/>
                    <w:sz w:val="24"/>
                  </w:rPr>
                </w:pPr>
                <w:r>
                  <w:rPr>
                    <w:rFonts w:hint="eastAsia" w:ascii="Times New Roman" w:hAnsi="Times New Roman" w:cs="Times New Roman"/>
                    <w:sz w:val="24"/>
                  </w:rPr>
                  <w:t>100</w:t>
                </w:r>
              </w:p>
            </w:tc>
            <w:tc>
              <w:tcPr>
                <w:tcW w:w="1022" w:type="pct"/>
                <w:vAlign w:val="center"/>
              </w:tcPr>
              <w:p>
                <w:pPr>
                  <w:jc w:val="right"/>
                  <w:rPr>
                    <w:rFonts w:ascii="Times New Roman" w:hAnsi="Times New Roman" w:cs="Times New Roman"/>
                    <w:sz w:val="24"/>
                  </w:rPr>
                </w:pPr>
              </w:p>
            </w:tc>
          </w:tr>
        </w:tbl>
        <w:p/>
        <w:p>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86572457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bookmarkEnd w:id="143"/>
    <w:sdt>
      <w:sdtPr>
        <w:rPr>
          <w:rFonts w:hint="eastAsia"/>
          <w:szCs w:val="21"/>
        </w:rPr>
        <w:tag w:val="_PLD_21b31dda4e9f44bd901ccb9e126e1392"/>
        <w:id w:val="865724574"/>
        <w:lock w:val="sdtLocked"/>
        <w:placeholder>
          <w:docPart w:val="GBC22222222222222222222222222222"/>
        </w:placeholder>
      </w:sdtPr>
      <w:sdtEndPr>
        <w:rPr>
          <w:rFonts w:hint="eastAsia"/>
          <w:szCs w:val="21"/>
        </w:rPr>
      </w:sdtEndPr>
      <w:sdtContent>
        <w:p>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86572457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
      <w:sdtPr>
        <w:alias w:val="模块:如按照一般预计信用损失模型计提坏账，请参照其他应收款的披露方式披露"/>
        <w:tag w:val="_SEC_54bb5413eca24d3ab39af65d518cb352"/>
        <w:id w:val="865724577"/>
        <w:lock w:val="sdtLocked"/>
        <w:placeholder>
          <w:docPart w:val="GBC22222222222222222222222222222"/>
        </w:placeholder>
      </w:sdtPr>
      <w:sdtContent>
        <w:p>
          <w:bookmarkStart w:id="144" w:name="_Hlk534616257"/>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86572457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44"/>
    <w:sdt>
      <w:sdtPr>
        <w:rPr>
          <w:rFonts w:hint="eastAsia" w:ascii="宋体" w:hAnsi="宋体" w:eastAsia="宋体" w:cs="宋体"/>
          <w:b w:val="0"/>
          <w:bCs w:val="0"/>
          <w:kern w:val="0"/>
          <w:szCs w:val="22"/>
        </w:rPr>
        <w:alias w:val="模块:应收账款坏账准备的情况"/>
        <w:tag w:val="_SEC_06b1384525ce4743a061a4c6762d5977"/>
        <w:id w:val="865724592"/>
        <w:lock w:val="sdtLocked"/>
        <w:placeholder>
          <w:docPart w:val="GBC22222222222222222222222222222"/>
        </w:placeholder>
      </w:sdtPr>
      <w:sdtEndPr>
        <w:rPr>
          <w:rFonts w:hint="default" w:ascii="Calibri" w:hAnsi="Calibri" w:eastAsia="宋体" w:cs="Times New Roman"/>
          <w:b w:val="0"/>
          <w:bCs w:val="0"/>
          <w:kern w:val="2"/>
          <w:szCs w:val="21"/>
        </w:rPr>
      </w:sdtEndPr>
      <w:sdtContent>
        <w:p>
          <w:pPr>
            <w:pStyle w:val="5"/>
            <w:numPr>
              <w:ilvl w:val="3"/>
              <w:numId w:val="81"/>
            </w:numPr>
            <w:ind w:left="426" w:hanging="426"/>
          </w:pPr>
          <w:bookmarkStart w:id="145" w:name="_Hlk532991911"/>
          <w:r>
            <w:rPr>
              <w:rFonts w:hint="eastAsia"/>
            </w:rPr>
            <w:t>坏账准备的情况</w:t>
          </w:r>
        </w:p>
        <w:sdt>
          <w:sdtPr>
            <w:alias w:val="是否适用：应收账款坏账准备[双击切换]"/>
            <w:tag w:val="_GBC_9f417fa21150444abc4efab15ee99d53"/>
            <w:id w:val="86572457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snapToGrid w:val="0"/>
            <w:spacing w:line="240" w:lineRule="atLeast"/>
            <w:ind w:left="425" w:firstLine="0" w:firstLineChars="0"/>
            <w:jc w:val="right"/>
            <w:rPr>
              <w:szCs w:val="21"/>
            </w:rPr>
          </w:pPr>
          <w:r>
            <w:rPr>
              <w:rFonts w:hint="eastAsia"/>
              <w:szCs w:val="21"/>
            </w:rPr>
            <w:t>单位：</w:t>
          </w:r>
          <w:sdt>
            <w:sdtPr>
              <w:rPr>
                <w:rFonts w:hint="eastAsia"/>
                <w:szCs w:val="21"/>
              </w:rPr>
              <w:alias w:val="单位：应收账款坏账准备"/>
              <w:tag w:val="_GBC_c27d9b760b54449682d5a777e36369c3"/>
              <w:id w:val="865724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应收账款坏账准备"/>
              <w:tag w:val="_GBC_0ea3ceddf10d4313a5111e5088ac98cf"/>
              <w:id w:val="865724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276"/>
            <w:gridCol w:w="1591"/>
            <w:gridCol w:w="1486"/>
            <w:gridCol w:w="1037"/>
            <w:gridCol w:w="1040"/>
            <w:gridCol w:w="1038"/>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4744c2787819466dad3d228aea9d34a1"/>
                <w:id w:val="865724581"/>
                <w:lock w:val="sdtLocked"/>
              </w:sdtPr>
              <w:sdtEndPr>
                <w:rPr>
                  <w:rFonts w:ascii="Times New Roman" w:hAnsi="Times New Roman" w:cs="Times New Roman"/>
                </w:rPr>
              </w:sdtEndPr>
              <w:sdtContent>
                <w:tc>
                  <w:tcPr>
                    <w:tcW w:w="704" w:type="pct"/>
                    <w:vMerge w:val="restart"/>
                    <w:shd w:val="clear" w:color="auto" w:fill="FFFFFF"/>
                    <w:vAlign w:val="center"/>
                  </w:tcPr>
                  <w:p>
                    <w:pPr>
                      <w:jc w:val="center"/>
                      <w:rPr>
                        <w:rFonts w:ascii="Times New Roman" w:hAnsi="Times New Roman" w:cs="Times New Roman"/>
                      </w:rPr>
                    </w:pPr>
                    <w:r>
                      <w:rPr>
                        <w:rFonts w:ascii="Times New Roman" w:cs="Times New Roman"/>
                      </w:rPr>
                      <w:t>类别</w:t>
                    </w:r>
                  </w:p>
                </w:tc>
              </w:sdtContent>
            </w:sdt>
            <w:sdt>
              <w:sdtPr>
                <w:rPr>
                  <w:rFonts w:ascii="Times New Roman" w:hAnsi="Times New Roman" w:cs="Times New Roman"/>
                </w:rPr>
                <w:tag w:val="_PLD_c730e797b90345869cdb1a0f449d27c4"/>
                <w:id w:val="865724582"/>
                <w:lock w:val="sdtLocked"/>
              </w:sdtPr>
              <w:sdtEndPr>
                <w:rPr>
                  <w:rFonts w:ascii="Times New Roman" w:hAnsi="Times New Roman" w:cs="Times New Roman"/>
                </w:rPr>
              </w:sdtEndPr>
              <w:sdtContent>
                <w:tc>
                  <w:tcPr>
                    <w:tcW w:w="878" w:type="pct"/>
                    <w:vMerge w:val="restart"/>
                    <w:shd w:val="clear" w:color="auto" w:fill="FFFFFF"/>
                    <w:vAlign w:val="center"/>
                  </w:tcPr>
                  <w:p>
                    <w:pPr>
                      <w:jc w:val="center"/>
                      <w:rPr>
                        <w:rFonts w:ascii="Times New Roman" w:hAnsi="Times New Roman" w:cs="Times New Roman"/>
                      </w:rPr>
                    </w:pPr>
                    <w:r>
                      <w:rPr>
                        <w:rFonts w:ascii="Times New Roman" w:cs="Times New Roman"/>
                      </w:rPr>
                      <w:t>期初余额</w:t>
                    </w:r>
                  </w:p>
                </w:tc>
              </w:sdtContent>
            </w:sdt>
            <w:sdt>
              <w:sdtPr>
                <w:rPr>
                  <w:rFonts w:ascii="Times New Roman" w:hAnsi="Times New Roman" w:cs="Times New Roman"/>
                </w:rPr>
                <w:tag w:val="_PLD_b648ee5a72ff43aabfa5e5467354f612"/>
                <w:id w:val="865724583"/>
                <w:lock w:val="sdtLocked"/>
              </w:sdtPr>
              <w:sdtEndPr>
                <w:rPr>
                  <w:rFonts w:ascii="Times New Roman" w:hAnsi="Times New Roman" w:cs="Times New Roman"/>
                </w:rPr>
              </w:sdtEndPr>
              <w:sdtContent>
                <w:tc>
                  <w:tcPr>
                    <w:tcW w:w="2539" w:type="pct"/>
                    <w:gridSpan w:val="4"/>
                    <w:shd w:val="clear" w:color="auto" w:fill="FFFFFF"/>
                    <w:vAlign w:val="center"/>
                  </w:tcPr>
                  <w:p>
                    <w:pPr>
                      <w:jc w:val="center"/>
                      <w:rPr>
                        <w:rFonts w:ascii="Times New Roman" w:hAnsi="Times New Roman" w:cs="Times New Roman"/>
                      </w:rPr>
                    </w:pPr>
                    <w:r>
                      <w:rPr>
                        <w:rFonts w:ascii="Times New Roman" w:cs="Times New Roman"/>
                      </w:rPr>
                      <w:t>本期变动金额</w:t>
                    </w:r>
                  </w:p>
                </w:tc>
              </w:sdtContent>
            </w:sdt>
            <w:sdt>
              <w:sdtPr>
                <w:rPr>
                  <w:rFonts w:ascii="Times New Roman" w:hAnsi="Times New Roman" w:cs="Times New Roman"/>
                </w:rPr>
                <w:tag w:val="_PLD_670842119a0446778c0343318379e7bb"/>
                <w:id w:val="865724584"/>
                <w:lock w:val="sdtLocked"/>
              </w:sdtPr>
              <w:sdtEndPr>
                <w:rPr>
                  <w:rFonts w:ascii="Times New Roman" w:hAnsi="Times New Roman" w:cs="Times New Roman"/>
                </w:rPr>
              </w:sdtEndPr>
              <w:sdtContent>
                <w:tc>
                  <w:tcPr>
                    <w:tcW w:w="878" w:type="pct"/>
                    <w:vMerge w:val="restart"/>
                    <w:shd w:val="clear" w:color="auto" w:fill="FFFFFF"/>
                    <w:vAlign w:val="center"/>
                  </w:tcPr>
                  <w:p>
                    <w:pPr>
                      <w:jc w:val="center"/>
                      <w:rPr>
                        <w:rFonts w:ascii="Times New Roman" w:hAnsi="Times New Roman" w:cs="Times New Roman"/>
                      </w:rPr>
                    </w:pPr>
                    <w:r>
                      <w:rPr>
                        <w:rFonts w:ascii="Times New Roman" w:cs="Times New Roman"/>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04" w:type="pct"/>
                <w:vMerge w:val="continue"/>
                <w:shd w:val="clear" w:color="auto" w:fill="FFFFFF"/>
              </w:tcPr>
              <w:p>
                <w:pPr>
                  <w:jc w:val="center"/>
                  <w:rPr>
                    <w:rFonts w:ascii="Times New Roman" w:hAnsi="Times New Roman" w:cs="Times New Roman"/>
                  </w:rPr>
                </w:pPr>
              </w:p>
            </w:tc>
            <w:tc>
              <w:tcPr>
                <w:tcW w:w="878" w:type="pct"/>
                <w:vMerge w:val="continue"/>
                <w:shd w:val="clear" w:color="auto" w:fill="FFFFFF"/>
              </w:tcPr>
              <w:p>
                <w:pPr>
                  <w:jc w:val="center"/>
                  <w:rPr>
                    <w:rFonts w:ascii="Times New Roman" w:hAnsi="Times New Roman" w:cs="Times New Roman"/>
                  </w:rPr>
                </w:pPr>
              </w:p>
            </w:tc>
            <w:sdt>
              <w:sdtPr>
                <w:rPr>
                  <w:rFonts w:ascii="Times New Roman" w:hAnsi="Times New Roman" w:cs="Times New Roman"/>
                </w:rPr>
                <w:tag w:val="_PLD_9f89b7b6eb974ea9b6438eecb96ab8d7"/>
                <w:id w:val="865724585"/>
                <w:lock w:val="sdtLocked"/>
              </w:sdtPr>
              <w:sdtEndPr>
                <w:rPr>
                  <w:rFonts w:ascii="Times New Roman" w:hAnsi="Times New Roman" w:cs="Times New Roman"/>
                </w:rPr>
              </w:sdtEndPr>
              <w:sdtContent>
                <w:tc>
                  <w:tcPr>
                    <w:tcW w:w="820" w:type="pct"/>
                    <w:shd w:val="clear" w:color="auto" w:fill="FFFFFF"/>
                    <w:vAlign w:val="center"/>
                  </w:tcPr>
                  <w:p>
                    <w:pPr>
                      <w:jc w:val="center"/>
                      <w:rPr>
                        <w:rFonts w:ascii="Times New Roman" w:hAnsi="Times New Roman" w:cs="Times New Roman"/>
                      </w:rPr>
                    </w:pPr>
                    <w:r>
                      <w:rPr>
                        <w:rFonts w:ascii="Times New Roman" w:cs="Times New Roman"/>
                      </w:rPr>
                      <w:t>计提</w:t>
                    </w:r>
                  </w:p>
                </w:tc>
              </w:sdtContent>
            </w:sdt>
            <w:sdt>
              <w:sdtPr>
                <w:rPr>
                  <w:rFonts w:ascii="Times New Roman" w:hAnsi="Times New Roman" w:cs="Times New Roman"/>
                </w:rPr>
                <w:tag w:val="_PLD_d83025520e1c49cb905bac81a5fe67a9"/>
                <w:id w:val="865724586"/>
                <w:lock w:val="sdtLocked"/>
              </w:sdtPr>
              <w:sdtEndPr>
                <w:rPr>
                  <w:rFonts w:ascii="Times New Roman" w:hAnsi="Times New Roman" w:cs="Times New Roman"/>
                </w:rPr>
              </w:sdtEndPr>
              <w:sdtContent>
                <w:tc>
                  <w:tcPr>
                    <w:tcW w:w="572" w:type="pct"/>
                    <w:shd w:val="clear" w:color="auto" w:fill="FFFFFF"/>
                    <w:vAlign w:val="center"/>
                  </w:tcPr>
                  <w:p>
                    <w:pPr>
                      <w:jc w:val="center"/>
                      <w:rPr>
                        <w:rFonts w:ascii="Times New Roman" w:hAnsi="Times New Roman" w:cs="Times New Roman"/>
                      </w:rPr>
                    </w:pPr>
                    <w:r>
                      <w:rPr>
                        <w:rFonts w:ascii="Times New Roman" w:cs="Times New Roman"/>
                      </w:rPr>
                      <w:t>收回或转回</w:t>
                    </w:r>
                  </w:p>
                </w:tc>
              </w:sdtContent>
            </w:sdt>
            <w:tc>
              <w:tcPr>
                <w:tcW w:w="574" w:type="pct"/>
                <w:shd w:val="clear" w:color="auto" w:fill="FFFFFF"/>
                <w:vAlign w:val="center"/>
              </w:tcPr>
              <w:sdt>
                <w:sdtPr>
                  <w:rPr>
                    <w:rFonts w:ascii="Times New Roman" w:hAnsi="Times New Roman" w:cs="Times New Roman"/>
                  </w:rPr>
                  <w:tag w:val="_PLD_43341cdf094c434589f9f5a4eeb8fb4a"/>
                  <w:id w:val="865724587"/>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转销或核销</w:t>
                    </w:r>
                  </w:p>
                </w:sdtContent>
              </w:sdt>
            </w:tc>
            <w:tc>
              <w:tcPr>
                <w:tcW w:w="573" w:type="pct"/>
                <w:shd w:val="clear" w:color="auto" w:fill="FFFFFF"/>
                <w:vAlign w:val="center"/>
              </w:tcPr>
              <w:sdt>
                <w:sdtPr>
                  <w:rPr>
                    <w:rFonts w:ascii="Times New Roman" w:hAnsi="Times New Roman" w:cs="Times New Roman"/>
                  </w:rPr>
                  <w:tag w:val="_PLD_4105509cd7cf412981897dd91879a014"/>
                  <w:id w:val="865724588"/>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其他变动</w:t>
                    </w:r>
                  </w:p>
                </w:sdtContent>
              </w:sdt>
            </w:tc>
            <w:tc>
              <w:tcPr>
                <w:tcW w:w="878" w:type="pct"/>
                <w:vMerge w:val="continue"/>
                <w:shd w:val="clear" w:color="auto" w:fill="FFFFFF"/>
              </w:tcPr>
              <w:p>
                <w:pPr>
                  <w:jc w:val="right"/>
                  <w:rPr>
                    <w:rFonts w:ascii="Times New Roman" w:hAnsi="Times New Roman" w:cs="Times New Roman"/>
                  </w:rPr>
                </w:pPr>
              </w:p>
            </w:tc>
          </w:tr>
          <w:sdt>
            <w:sdtPr>
              <w:rPr>
                <w:rFonts w:ascii="Times New Roman" w:hAnsi="Times New Roman" w:cs="Times New Roman"/>
              </w:rPr>
              <w:alias w:val="应收账款坏账准备明细"/>
              <w:tag w:val="_TUP_4d2ca40f09c3444db0881ad461ba816f"/>
              <w:id w:val="865724589"/>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04" w:type="pct"/>
                    <w:shd w:val="clear" w:color="auto" w:fill="auto"/>
                  </w:tcPr>
                  <w:p>
                    <w:pPr>
                      <w:rPr>
                        <w:rFonts w:ascii="Times New Roman" w:hAnsi="Times New Roman" w:cs="Times New Roman"/>
                      </w:rPr>
                    </w:pPr>
                    <w:r>
                      <w:rPr>
                        <w:rFonts w:ascii="Times New Roman" w:cs="Times New Roman"/>
                      </w:rPr>
                      <w:t>单项计提预期信用损失的应收账款</w:t>
                    </w:r>
                  </w:p>
                </w:tc>
                <w:tc>
                  <w:tcPr>
                    <w:tcW w:w="878" w:type="pct"/>
                    <w:shd w:val="clear" w:color="auto" w:fill="auto"/>
                  </w:tcPr>
                  <w:p>
                    <w:pPr>
                      <w:jc w:val="right"/>
                      <w:rPr>
                        <w:rFonts w:ascii="Times New Roman" w:hAnsi="Times New Roman" w:cs="Times New Roman"/>
                      </w:rPr>
                    </w:pPr>
                    <w:r>
                      <w:rPr>
                        <w:rFonts w:ascii="Times New Roman" w:hAnsi="Times New Roman" w:cs="Times New Roman"/>
                      </w:rPr>
                      <w:t>20,242,377.73</w:t>
                    </w:r>
                  </w:p>
                </w:tc>
                <w:tc>
                  <w:tcPr>
                    <w:tcW w:w="820" w:type="pct"/>
                    <w:shd w:val="clear" w:color="auto" w:fill="auto"/>
                  </w:tcPr>
                  <w:p>
                    <w:pPr>
                      <w:jc w:val="right"/>
                      <w:rPr>
                        <w:rFonts w:ascii="Times New Roman" w:hAnsi="Times New Roman" w:cs="Times New Roman"/>
                      </w:rPr>
                    </w:pPr>
                  </w:p>
                </w:tc>
                <w:tc>
                  <w:tcPr>
                    <w:tcW w:w="572" w:type="pct"/>
                    <w:shd w:val="clear" w:color="auto" w:fill="auto"/>
                  </w:tcPr>
                  <w:p>
                    <w:pPr>
                      <w:jc w:val="right"/>
                      <w:rPr>
                        <w:rFonts w:ascii="Times New Roman" w:hAnsi="Times New Roman" w:cs="Times New Roman"/>
                      </w:rPr>
                    </w:pPr>
                  </w:p>
                </w:tc>
                <w:tc>
                  <w:tcPr>
                    <w:tcW w:w="574" w:type="pct"/>
                  </w:tcPr>
                  <w:p>
                    <w:pPr>
                      <w:jc w:val="right"/>
                      <w:rPr>
                        <w:rFonts w:ascii="Times New Roman" w:hAnsi="Times New Roman" w:cs="Times New Roman"/>
                      </w:rPr>
                    </w:pPr>
                  </w:p>
                </w:tc>
                <w:tc>
                  <w:tcPr>
                    <w:tcW w:w="573" w:type="pct"/>
                  </w:tcPr>
                  <w:p>
                    <w:pPr>
                      <w:jc w:val="right"/>
                      <w:rPr>
                        <w:rFonts w:ascii="Times New Roman" w:hAnsi="Times New Roman" w:cs="Times New Roman"/>
                      </w:rPr>
                    </w:pPr>
                  </w:p>
                </w:tc>
                <w:tc>
                  <w:tcPr>
                    <w:tcW w:w="878" w:type="pct"/>
                    <w:shd w:val="clear" w:color="auto" w:fill="auto"/>
                  </w:tcPr>
                  <w:p>
                    <w:pPr>
                      <w:jc w:val="right"/>
                      <w:rPr>
                        <w:rFonts w:ascii="Times New Roman" w:hAnsi="Times New Roman" w:cs="Times New Roman"/>
                      </w:rPr>
                    </w:pPr>
                    <w:r>
                      <w:rPr>
                        <w:rFonts w:ascii="Times New Roman" w:hAnsi="Times New Roman" w:cs="Times New Roman"/>
                      </w:rPr>
                      <w:t>20,242,377.73</w:t>
                    </w:r>
                  </w:p>
                </w:tc>
              </w:tr>
            </w:sdtContent>
          </w:sdt>
          <w:sdt>
            <w:sdtPr>
              <w:rPr>
                <w:rFonts w:ascii="Times New Roman" w:hAnsi="Times New Roman" w:cs="Times New Roman"/>
              </w:rPr>
              <w:alias w:val="应收账款坏账准备明细"/>
              <w:tag w:val="_TUP_4d2ca40f09c3444db0881ad461ba816f"/>
              <w:id w:val="865724590"/>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04" w:type="pct"/>
                    <w:shd w:val="clear" w:color="auto" w:fill="auto"/>
                  </w:tcPr>
                  <w:p>
                    <w:pPr>
                      <w:rPr>
                        <w:rFonts w:ascii="Times New Roman" w:hAnsi="Times New Roman" w:cs="Times New Roman"/>
                      </w:rPr>
                    </w:pPr>
                    <w:r>
                      <w:rPr>
                        <w:rFonts w:ascii="Times New Roman" w:cs="Times New Roman"/>
                      </w:rPr>
                      <w:t>按组合计提预期信用损失的应收账款</w:t>
                    </w:r>
                  </w:p>
                </w:tc>
                <w:tc>
                  <w:tcPr>
                    <w:tcW w:w="878" w:type="pct"/>
                    <w:shd w:val="clear" w:color="auto" w:fill="auto"/>
                  </w:tcPr>
                  <w:p>
                    <w:pPr>
                      <w:jc w:val="right"/>
                      <w:rPr>
                        <w:rFonts w:ascii="Times New Roman" w:hAnsi="Times New Roman" w:cs="Times New Roman"/>
                      </w:rPr>
                    </w:pPr>
                    <w:r>
                      <w:rPr>
                        <w:rFonts w:ascii="Times New Roman" w:hAnsi="Times New Roman" w:cs="Times New Roman"/>
                      </w:rPr>
                      <w:t>29,157,936.35</w:t>
                    </w:r>
                  </w:p>
                </w:tc>
                <w:tc>
                  <w:tcPr>
                    <w:tcW w:w="820" w:type="pct"/>
                    <w:shd w:val="clear" w:color="auto" w:fill="auto"/>
                  </w:tcPr>
                  <w:p>
                    <w:pPr>
                      <w:jc w:val="right"/>
                      <w:rPr>
                        <w:rFonts w:ascii="Times New Roman" w:hAnsi="Times New Roman" w:cs="Times New Roman"/>
                      </w:rPr>
                    </w:pPr>
                    <w:r>
                      <w:rPr>
                        <w:rFonts w:ascii="Times New Roman" w:hAnsi="Times New Roman" w:cs="Times New Roman"/>
                      </w:rPr>
                      <w:t>1,344,754.95</w:t>
                    </w:r>
                  </w:p>
                </w:tc>
                <w:tc>
                  <w:tcPr>
                    <w:tcW w:w="572" w:type="pct"/>
                    <w:shd w:val="clear" w:color="auto" w:fill="auto"/>
                  </w:tcPr>
                  <w:p>
                    <w:pPr>
                      <w:jc w:val="right"/>
                      <w:rPr>
                        <w:rFonts w:ascii="Times New Roman" w:hAnsi="Times New Roman" w:cs="Times New Roman"/>
                      </w:rPr>
                    </w:pPr>
                  </w:p>
                </w:tc>
                <w:tc>
                  <w:tcPr>
                    <w:tcW w:w="574" w:type="pct"/>
                  </w:tcPr>
                  <w:p>
                    <w:pPr>
                      <w:jc w:val="right"/>
                      <w:rPr>
                        <w:rFonts w:ascii="Times New Roman" w:hAnsi="Times New Roman" w:cs="Times New Roman"/>
                      </w:rPr>
                    </w:pPr>
                  </w:p>
                </w:tc>
                <w:tc>
                  <w:tcPr>
                    <w:tcW w:w="573" w:type="pct"/>
                  </w:tcPr>
                  <w:p>
                    <w:pPr>
                      <w:jc w:val="right"/>
                      <w:rPr>
                        <w:rFonts w:ascii="Times New Roman" w:hAnsi="Times New Roman" w:cs="Times New Roman"/>
                      </w:rPr>
                    </w:pPr>
                  </w:p>
                </w:tc>
                <w:tc>
                  <w:tcPr>
                    <w:tcW w:w="878" w:type="pct"/>
                    <w:shd w:val="clear" w:color="auto" w:fill="auto"/>
                  </w:tcPr>
                  <w:p>
                    <w:pPr>
                      <w:jc w:val="right"/>
                      <w:rPr>
                        <w:rFonts w:ascii="Times New Roman" w:hAnsi="Times New Roman" w:cs="Times New Roman"/>
                      </w:rPr>
                    </w:pPr>
                    <w:r>
                      <w:rPr>
                        <w:rFonts w:ascii="Times New Roman" w:hAnsi="Times New Roman" w:cs="Times New Roman"/>
                      </w:rPr>
                      <w:t>30,502,691.30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04" w:type="pct"/>
                <w:shd w:val="clear" w:color="auto" w:fill="auto"/>
              </w:tcPr>
              <w:p>
                <w:pPr>
                  <w:jc w:val="center"/>
                  <w:rPr>
                    <w:rFonts w:ascii="Times New Roman" w:hAnsi="Times New Roman" w:cs="Times New Roman"/>
                  </w:rPr>
                </w:pPr>
                <w:r>
                  <w:rPr>
                    <w:rFonts w:ascii="Times New Roman" w:cs="Times New Roman"/>
                  </w:rPr>
                  <w:t>其中：按账龄组合计提坏账准备的应收账款</w:t>
                </w:r>
              </w:p>
            </w:tc>
            <w:tc>
              <w:tcPr>
                <w:tcW w:w="878" w:type="pct"/>
                <w:shd w:val="clear" w:color="auto" w:fill="auto"/>
              </w:tcPr>
              <w:p>
                <w:pPr>
                  <w:jc w:val="right"/>
                  <w:rPr>
                    <w:rFonts w:ascii="Times New Roman" w:hAnsi="Times New Roman" w:cs="Times New Roman"/>
                  </w:rPr>
                </w:pPr>
                <w:r>
                  <w:rPr>
                    <w:rFonts w:ascii="Times New Roman" w:hAnsi="Times New Roman" w:cs="Times New Roman"/>
                  </w:rPr>
                  <w:t>29,157,936.35</w:t>
                </w:r>
              </w:p>
            </w:tc>
            <w:tc>
              <w:tcPr>
                <w:tcW w:w="820" w:type="pct"/>
                <w:shd w:val="clear" w:color="auto" w:fill="auto"/>
              </w:tcPr>
              <w:p>
                <w:pPr>
                  <w:jc w:val="right"/>
                  <w:rPr>
                    <w:rFonts w:ascii="Times New Roman" w:hAnsi="Times New Roman" w:cs="Times New Roman"/>
                  </w:rPr>
                </w:pPr>
                <w:r>
                  <w:rPr>
                    <w:rFonts w:ascii="Times New Roman" w:hAnsi="Times New Roman" w:cs="Times New Roman"/>
                  </w:rPr>
                  <w:t>1,344,754.95</w:t>
                </w:r>
              </w:p>
            </w:tc>
            <w:tc>
              <w:tcPr>
                <w:tcW w:w="572" w:type="pct"/>
                <w:shd w:val="clear" w:color="auto" w:fill="auto"/>
              </w:tcPr>
              <w:p>
                <w:pPr>
                  <w:jc w:val="right"/>
                  <w:rPr>
                    <w:rFonts w:ascii="Times New Roman" w:hAnsi="Times New Roman" w:cs="Times New Roman"/>
                  </w:rPr>
                </w:pPr>
                <w:r>
                  <w:rPr>
                    <w:rFonts w:ascii="Times New Roman" w:hAnsi="Times New Roman" w:cs="Times New Roman"/>
                  </w:rPr>
                  <w:t> </w:t>
                </w:r>
              </w:p>
            </w:tc>
            <w:tc>
              <w:tcPr>
                <w:tcW w:w="574" w:type="pct"/>
              </w:tcPr>
              <w:p>
                <w:pPr>
                  <w:jc w:val="right"/>
                  <w:rPr>
                    <w:rFonts w:ascii="Times New Roman" w:hAnsi="Times New Roman" w:cs="Times New Roman"/>
                  </w:rPr>
                </w:pPr>
                <w:r>
                  <w:rPr>
                    <w:rFonts w:ascii="Times New Roman" w:hAnsi="Times New Roman" w:cs="Times New Roman"/>
                  </w:rPr>
                  <w:t> </w:t>
                </w:r>
              </w:p>
            </w:tc>
            <w:tc>
              <w:tcPr>
                <w:tcW w:w="573" w:type="pct"/>
              </w:tcPr>
              <w:p>
                <w:pPr>
                  <w:jc w:val="right"/>
                  <w:rPr>
                    <w:rFonts w:ascii="Times New Roman" w:hAnsi="Times New Roman" w:cs="Times New Roman"/>
                  </w:rPr>
                </w:pPr>
                <w:r>
                  <w:rPr>
                    <w:rFonts w:ascii="Times New Roman" w:hAnsi="Times New Roman" w:cs="Times New Roman"/>
                  </w:rPr>
                  <w:t> </w:t>
                </w:r>
              </w:p>
            </w:tc>
            <w:tc>
              <w:tcPr>
                <w:tcW w:w="878" w:type="pct"/>
                <w:shd w:val="clear" w:color="auto" w:fill="auto"/>
              </w:tcPr>
              <w:p>
                <w:pPr>
                  <w:jc w:val="right"/>
                  <w:rPr>
                    <w:rFonts w:ascii="Times New Roman" w:hAnsi="Times New Roman" w:cs="Times New Roman"/>
                  </w:rPr>
                </w:pPr>
                <w:r>
                  <w:rPr>
                    <w:rFonts w:ascii="Times New Roman" w:hAnsi="Times New Roman" w:cs="Times New Roman"/>
                  </w:rPr>
                  <w:t>30,502,691.30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9caf6a7eb01942a3a4ce4362ff8d2240"/>
                <w:id w:val="865724591"/>
                <w:lock w:val="sdtLocked"/>
              </w:sdtPr>
              <w:sdtEndPr>
                <w:rPr>
                  <w:rFonts w:ascii="Times New Roman" w:hAnsi="Times New Roman" w:cs="Times New Roman"/>
                </w:rPr>
              </w:sdtEndPr>
              <w:sdtContent>
                <w:tc>
                  <w:tcPr>
                    <w:tcW w:w="704" w:type="pct"/>
                    <w:shd w:val="clear" w:color="auto" w:fill="auto"/>
                  </w:tcPr>
                  <w:p>
                    <w:pPr>
                      <w:jc w:val="center"/>
                      <w:rPr>
                        <w:rFonts w:ascii="Times New Roman" w:hAnsi="Times New Roman" w:cs="Times New Roman"/>
                      </w:rPr>
                    </w:pPr>
                    <w:r>
                      <w:rPr>
                        <w:rFonts w:ascii="Times New Roman" w:cs="Times New Roman"/>
                      </w:rPr>
                      <w:t>合计</w:t>
                    </w:r>
                  </w:p>
                </w:tc>
              </w:sdtContent>
            </w:sdt>
            <w:tc>
              <w:tcPr>
                <w:tcW w:w="878" w:type="pct"/>
                <w:shd w:val="clear" w:color="auto" w:fill="auto"/>
                <w:vAlign w:val="center"/>
              </w:tcPr>
              <w:p>
                <w:pPr>
                  <w:rPr>
                    <w:rFonts w:ascii="Times New Roman" w:hAnsi="Times New Roman" w:cs="Times New Roman"/>
                    <w:sz w:val="24"/>
                  </w:rPr>
                </w:pPr>
                <w:r>
                  <w:rPr>
                    <w:rFonts w:ascii="Times New Roman" w:hAnsi="Times New Roman" w:cs="Times New Roman"/>
                  </w:rPr>
                  <w:t>49,400,314.08</w:t>
                </w:r>
              </w:p>
            </w:tc>
            <w:tc>
              <w:tcPr>
                <w:tcW w:w="820" w:type="pct"/>
                <w:shd w:val="clear" w:color="auto" w:fill="auto"/>
                <w:vAlign w:val="center"/>
              </w:tcPr>
              <w:p>
                <w:pPr>
                  <w:rPr>
                    <w:rFonts w:ascii="Times New Roman" w:hAnsi="Times New Roman" w:cs="Times New Roman"/>
                    <w:sz w:val="24"/>
                  </w:rPr>
                </w:pPr>
                <w:r>
                  <w:rPr>
                    <w:rFonts w:ascii="Times New Roman" w:hAnsi="Times New Roman" w:cs="Times New Roman"/>
                  </w:rPr>
                  <w:t>1,344,754.95</w:t>
                </w:r>
              </w:p>
            </w:tc>
            <w:tc>
              <w:tcPr>
                <w:tcW w:w="572" w:type="pct"/>
                <w:shd w:val="clear" w:color="auto" w:fill="auto"/>
                <w:vAlign w:val="center"/>
              </w:tcPr>
              <w:p>
                <w:pPr>
                  <w:rPr>
                    <w:rFonts w:ascii="Times New Roman" w:hAnsi="Times New Roman" w:cs="Times New Roman"/>
                    <w:sz w:val="24"/>
                  </w:rPr>
                </w:pPr>
              </w:p>
            </w:tc>
            <w:tc>
              <w:tcPr>
                <w:tcW w:w="574" w:type="pct"/>
                <w:vAlign w:val="center"/>
              </w:tcPr>
              <w:p>
                <w:pPr>
                  <w:rPr>
                    <w:rFonts w:ascii="Times New Roman" w:hAnsi="Times New Roman" w:cs="Times New Roman"/>
                    <w:sz w:val="24"/>
                  </w:rPr>
                </w:pPr>
              </w:p>
            </w:tc>
            <w:tc>
              <w:tcPr>
                <w:tcW w:w="573" w:type="pct"/>
                <w:vAlign w:val="center"/>
              </w:tcPr>
              <w:p>
                <w:pPr>
                  <w:rPr>
                    <w:rFonts w:ascii="Times New Roman" w:hAnsi="Times New Roman" w:cs="Times New Roman"/>
                    <w:sz w:val="24"/>
                  </w:rPr>
                </w:pPr>
              </w:p>
            </w:tc>
            <w:tc>
              <w:tcPr>
                <w:tcW w:w="878" w:type="pct"/>
                <w:shd w:val="clear" w:color="auto" w:fill="auto"/>
                <w:vAlign w:val="center"/>
              </w:tcPr>
              <w:p>
                <w:pPr>
                  <w:rPr>
                    <w:rFonts w:ascii="Times New Roman" w:hAnsi="Times New Roman" w:cs="Times New Roman"/>
                    <w:sz w:val="24"/>
                  </w:rPr>
                </w:pPr>
                <w:r>
                  <w:rPr>
                    <w:rFonts w:ascii="Times New Roman" w:hAnsi="Times New Roman" w:cs="Times New Roman"/>
                  </w:rPr>
                  <w:t>50,745,069.03</w:t>
                </w:r>
              </w:p>
            </w:tc>
          </w:tr>
        </w:tbl>
        <w:p/>
        <w:p>
          <w:pPr>
            <w:pStyle w:val="72"/>
          </w:pPr>
        </w:p>
      </w:sdtContent>
    </w:sdt>
    <w:bookmarkEnd w:id="145"/>
    <w:sdt>
      <w:sdtPr>
        <w:rPr>
          <w:rFonts w:asciiTheme="minorHAnsi" w:hAnsiTheme="minorHAnsi"/>
          <w:b/>
          <w:bCs/>
          <w:szCs w:val="22"/>
        </w:rPr>
        <w:alias w:val="模块:本期坏账准备收回或转回金额重要的"/>
        <w:tag w:val="_SEC_3a74ab07636f4f7aaaa3aefe56fdcd36"/>
        <w:id w:val="865724594"/>
        <w:lock w:val="sdtLocked"/>
        <w:placeholder>
          <w:docPart w:val="GBC22222222222222222222222222222"/>
        </w:placeholder>
      </w:sdtPr>
      <w:sdtEndPr>
        <w:rPr>
          <w:rFonts w:ascii="Times New Roman" w:hAnsi="Times New Roman" w:cs="Times New Roman"/>
          <w:b w:val="0"/>
          <w:bCs w:val="0"/>
          <w:kern w:val="2"/>
          <w:szCs w:val="24"/>
        </w:rPr>
      </w:sdtEndPr>
      <w:sdtContent>
        <w:p>
          <w:r>
            <w:rPr>
              <w:rFonts w:hint="eastAsia"/>
            </w:rPr>
            <w:t>其中本期坏账准备收回或转回金额重要的：</w:t>
          </w:r>
        </w:p>
        <w:sdt>
          <w:sdtPr>
            <w:alias w:val="是否适用：其中本期坏账准备收回或转回金额重要的[双击切换]"/>
            <w:tag w:val="_GBC_6da74212535e450f9d1465f00dddd00b"/>
            <w:id w:val="86572459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42" w:rightChars="20"/>
          </w:pPr>
        </w:p>
        <w:p>
          <w:pPr>
            <w:ind w:right="-1594" w:rightChars="-759"/>
          </w:pPr>
        </w:p>
      </w:sdtContent>
    </w:sdt>
    <w:sdt>
      <w:sdtPr>
        <w:rPr>
          <w:rFonts w:hint="eastAsia" w:ascii="Times New Roman" w:hAnsi="Times New Roman" w:eastAsia="宋体" w:cs="宋体"/>
          <w:b w:val="0"/>
          <w:bCs w:val="0"/>
          <w:kern w:val="0"/>
          <w:szCs w:val="24"/>
        </w:rPr>
        <w:alias w:val="模块:本报告期实际核销的应收账款情况"/>
        <w:tag w:val="_SEC_232653caa33f43eface8372ffe3a60eb"/>
        <w:id w:val="865724596"/>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81"/>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86572459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sdtContent>
    </w:sdt>
    <w:p/>
    <w:sdt>
      <w:sdtPr>
        <w:rPr>
          <w:rFonts w:hint="eastAsia" w:ascii="Times New Roman" w:hAnsi="Times New Roman" w:eastAsia="宋体" w:cs="宋体"/>
          <w:b w:val="0"/>
          <w:bCs w:val="0"/>
          <w:kern w:val="0"/>
          <w:szCs w:val="24"/>
        </w:rPr>
        <w:alias w:val="模块:按欠款方归集的期末余额前五名的应收账款情况："/>
        <w:tag w:val="_SEC_71c89f02128446e2b4ea3a2dfb767bd2"/>
        <w:id w:val="865724611"/>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3"/>
              <w:numId w:val="81"/>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865724597"/>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8657245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8657245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2259"/>
            <w:gridCol w:w="2260"/>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szCs w:val="21"/>
                </w:rPr>
                <w:tag w:val="_PLD_393da722a1e6440ebfe654baf23b690e"/>
                <w:id w:val="107125982"/>
                <w:lock w:val="sdtLocked"/>
              </w:sdtPr>
              <w:sdtEndPr>
                <w:rPr>
                  <w:rFonts w:ascii="Times New Roman" w:hAnsi="Times New Roman"/>
                  <w:szCs w:val="21"/>
                </w:rPr>
              </w:sdtEndPr>
              <w:sdtContent>
                <w:tc>
                  <w:tcPr>
                    <w:tcW w:w="1250" w:type="pct"/>
                    <w:vAlign w:val="center"/>
                  </w:tcPr>
                  <w:p>
                    <w:pPr>
                      <w:ind w:right="105"/>
                      <w:jc w:val="center"/>
                      <w:rPr>
                        <w:rFonts w:ascii="Times New Roman" w:hAnsi="Times New Roman"/>
                        <w:szCs w:val="21"/>
                      </w:rPr>
                    </w:pPr>
                    <w:r>
                      <w:rPr>
                        <w:rFonts w:ascii="Times New Roman"/>
                        <w:szCs w:val="21"/>
                      </w:rPr>
                      <w:t>单位名称</w:t>
                    </w:r>
                  </w:p>
                </w:tc>
              </w:sdtContent>
            </w:sdt>
            <w:sdt>
              <w:sdtPr>
                <w:rPr>
                  <w:rFonts w:ascii="Times New Roman" w:hAnsi="Times New Roman"/>
                  <w:szCs w:val="21"/>
                </w:rPr>
                <w:tag w:val="_PLD_e14b89c8ccbc4e1fbb83ed437d4f7c27"/>
                <w:id w:val="107125983"/>
                <w:lock w:val="sdtLocked"/>
              </w:sdtPr>
              <w:sdtEndPr>
                <w:rPr>
                  <w:rFonts w:ascii="Times New Roman" w:hAnsi="Times New Roman"/>
                  <w:szCs w:val="21"/>
                </w:rPr>
              </w:sdtEndPr>
              <w:sdtContent>
                <w:tc>
                  <w:tcPr>
                    <w:tcW w:w="1250" w:type="pct"/>
                    <w:vAlign w:val="center"/>
                  </w:tcPr>
                  <w:p>
                    <w:pPr>
                      <w:ind w:right="73"/>
                      <w:jc w:val="center"/>
                      <w:rPr>
                        <w:rFonts w:ascii="Times New Roman" w:hAnsi="Times New Roman"/>
                        <w:szCs w:val="21"/>
                      </w:rPr>
                    </w:pPr>
                    <w:r>
                      <w:rPr>
                        <w:rFonts w:ascii="Times New Roman"/>
                        <w:szCs w:val="21"/>
                      </w:rPr>
                      <w:t>期末余额</w:t>
                    </w:r>
                  </w:p>
                </w:tc>
              </w:sdtContent>
            </w:sdt>
            <w:sdt>
              <w:sdtPr>
                <w:rPr>
                  <w:rFonts w:ascii="Times New Roman" w:hAnsi="Times New Roman"/>
                  <w:szCs w:val="21"/>
                </w:rPr>
                <w:tag w:val="_PLD_fe3fe9e0c6444bbca9de49f2f86ff256"/>
                <w:id w:val="107125984"/>
                <w:lock w:val="sdtLocked"/>
              </w:sdtPr>
              <w:sdtEndPr>
                <w:rPr>
                  <w:rFonts w:ascii="Times New Roman" w:hAnsi="Times New Roman"/>
                  <w:szCs w:val="21"/>
                </w:rPr>
              </w:sdtEndPr>
              <w:sdtContent>
                <w:tc>
                  <w:tcPr>
                    <w:tcW w:w="1250" w:type="pct"/>
                    <w:vAlign w:val="center"/>
                  </w:tcPr>
                  <w:p>
                    <w:pPr>
                      <w:jc w:val="center"/>
                      <w:rPr>
                        <w:rFonts w:ascii="Times New Roman" w:hAnsi="Times New Roman"/>
                        <w:szCs w:val="21"/>
                      </w:rPr>
                    </w:pPr>
                    <w:r>
                      <w:rPr>
                        <w:rFonts w:ascii="Times New Roman"/>
                        <w:szCs w:val="21"/>
                      </w:rPr>
                      <w:t>占应收账款期末余额合计数的比例</w:t>
                    </w:r>
                    <w:r>
                      <w:rPr>
                        <w:rFonts w:ascii="Times New Roman" w:hAnsi="Times New Roman"/>
                        <w:szCs w:val="21"/>
                      </w:rPr>
                      <w:t>(%)</w:t>
                    </w:r>
                  </w:p>
                </w:tc>
              </w:sdtContent>
            </w:sdt>
            <w:sdt>
              <w:sdtPr>
                <w:rPr>
                  <w:rFonts w:ascii="Times New Roman" w:hAnsi="Times New Roman"/>
                  <w:szCs w:val="21"/>
                </w:rPr>
                <w:tag w:val="_PLD_e198f1b6108c4fccacfc45ea46e8ff41"/>
                <w:id w:val="107125985"/>
                <w:lock w:val="sdtLocked"/>
              </w:sdtPr>
              <w:sdtEndPr>
                <w:rPr>
                  <w:rFonts w:ascii="Times New Roman" w:hAnsi="Times New Roman"/>
                  <w:szCs w:val="21"/>
                </w:rPr>
              </w:sdtEndPr>
              <w:sdtContent>
                <w:tc>
                  <w:tcPr>
                    <w:tcW w:w="1250" w:type="pct"/>
                    <w:vAlign w:val="center"/>
                  </w:tcPr>
                  <w:p>
                    <w:pPr>
                      <w:jc w:val="center"/>
                      <w:rPr>
                        <w:rFonts w:ascii="Times New Roman" w:hAnsi="Times New Roman"/>
                        <w:szCs w:val="21"/>
                      </w:rPr>
                    </w:pPr>
                    <w:r>
                      <w:rPr>
                        <w:rFonts w:ascii="Times New Roman"/>
                        <w:szCs w:val="21"/>
                      </w:rPr>
                      <w:t>坏账准备期末余额</w:t>
                    </w:r>
                  </w:p>
                </w:tc>
              </w:sdtContent>
            </w:sdt>
          </w:tr>
          <w:sdt>
            <w:sdtPr>
              <w:rPr>
                <w:rFonts w:ascii="Times New Roman" w:hAnsi="Times New Roman" w:eastAsiaTheme="minorEastAsia" w:cstheme="minorBidi"/>
                <w:kern w:val="2"/>
                <w:szCs w:val="21"/>
              </w:rPr>
              <w:alias w:val="应收账款欠款户"/>
              <w:tag w:val="_TUP_71de566abd764904906a55741ffee786"/>
              <w:id w:val="107125986"/>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rPr>
                        <w:rFonts w:ascii="Times New Roman" w:hAnsi="Times New Roman"/>
                        <w:szCs w:val="21"/>
                      </w:rPr>
                    </w:pPr>
                    <w:r>
                      <w:rPr>
                        <w:rFonts w:ascii="Times New Roman"/>
                      </w:rPr>
                      <w:t>第一名</w:t>
                    </w:r>
                  </w:p>
                </w:tc>
                <w:tc>
                  <w:tcPr>
                    <w:tcW w:w="1250" w:type="pct"/>
                  </w:tcPr>
                  <w:p>
                    <w:pPr>
                      <w:ind w:right="73"/>
                      <w:jc w:val="right"/>
                      <w:rPr>
                        <w:rFonts w:ascii="Times New Roman" w:hAnsi="Times New Roman"/>
                        <w:szCs w:val="21"/>
                      </w:rPr>
                    </w:pPr>
                    <w:r>
                      <w:rPr>
                        <w:rFonts w:ascii="Times New Roman" w:hAnsi="Times New Roman"/>
                      </w:rPr>
                      <w:t>15,609,244.47</w:t>
                    </w:r>
                  </w:p>
                </w:tc>
                <w:tc>
                  <w:tcPr>
                    <w:tcW w:w="1250" w:type="pct"/>
                  </w:tcPr>
                  <w:p>
                    <w:pPr>
                      <w:jc w:val="right"/>
                      <w:rPr>
                        <w:rFonts w:ascii="Times New Roman" w:hAnsi="Times New Roman"/>
                        <w:szCs w:val="21"/>
                      </w:rPr>
                    </w:pPr>
                    <w:r>
                      <w:rPr>
                        <w:rFonts w:ascii="Times New Roman" w:hAnsi="Times New Roman"/>
                      </w:rPr>
                      <w:t>13.57</w:t>
                    </w:r>
                  </w:p>
                </w:tc>
                <w:tc>
                  <w:tcPr>
                    <w:tcW w:w="1250" w:type="pct"/>
                  </w:tcPr>
                  <w:p>
                    <w:pPr>
                      <w:jc w:val="right"/>
                      <w:rPr>
                        <w:rFonts w:ascii="Times New Roman" w:hAnsi="Times New Roman"/>
                        <w:szCs w:val="21"/>
                      </w:rPr>
                    </w:pPr>
                    <w:r>
                      <w:rPr>
                        <w:rFonts w:ascii="Times New Roman" w:hAnsi="Times New Roman"/>
                      </w:rPr>
                      <w:t>15,609,244.47</w:t>
                    </w:r>
                  </w:p>
                </w:tc>
              </w:tr>
            </w:sdtContent>
          </w:sdt>
          <w:sdt>
            <w:sdtPr>
              <w:rPr>
                <w:rFonts w:ascii="Times New Roman" w:hAnsi="Times New Roman" w:eastAsiaTheme="minorEastAsia" w:cstheme="minorBidi"/>
                <w:kern w:val="2"/>
                <w:szCs w:val="21"/>
              </w:rPr>
              <w:alias w:val="应收账款欠款户"/>
              <w:tag w:val="_TUP_71de566abd764904906a55741ffee786"/>
              <w:id w:val="107125987"/>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rPr>
                        <w:rFonts w:ascii="Times New Roman" w:hAnsi="Times New Roman"/>
                        <w:szCs w:val="21"/>
                      </w:rPr>
                    </w:pPr>
                    <w:r>
                      <w:rPr>
                        <w:rFonts w:ascii="Times New Roman"/>
                      </w:rPr>
                      <w:t>第二名</w:t>
                    </w:r>
                  </w:p>
                </w:tc>
                <w:tc>
                  <w:tcPr>
                    <w:tcW w:w="1250" w:type="pct"/>
                  </w:tcPr>
                  <w:p>
                    <w:pPr>
                      <w:ind w:right="73"/>
                      <w:jc w:val="right"/>
                      <w:rPr>
                        <w:rFonts w:ascii="Times New Roman" w:hAnsi="Times New Roman"/>
                        <w:szCs w:val="21"/>
                      </w:rPr>
                    </w:pPr>
                    <w:r>
                      <w:rPr>
                        <w:rFonts w:ascii="Times New Roman" w:hAnsi="Times New Roman"/>
                      </w:rPr>
                      <w:t>4,785,693.67</w:t>
                    </w:r>
                  </w:p>
                </w:tc>
                <w:tc>
                  <w:tcPr>
                    <w:tcW w:w="1250" w:type="pct"/>
                  </w:tcPr>
                  <w:p>
                    <w:pPr>
                      <w:jc w:val="right"/>
                      <w:rPr>
                        <w:rFonts w:ascii="Times New Roman" w:hAnsi="Times New Roman"/>
                        <w:szCs w:val="21"/>
                      </w:rPr>
                    </w:pPr>
                    <w:r>
                      <w:rPr>
                        <w:rFonts w:ascii="Times New Roman" w:hAnsi="Times New Roman"/>
                      </w:rPr>
                      <w:t>4.16</w:t>
                    </w:r>
                  </w:p>
                </w:tc>
                <w:tc>
                  <w:tcPr>
                    <w:tcW w:w="1250" w:type="pct"/>
                  </w:tcPr>
                  <w:p>
                    <w:pPr>
                      <w:jc w:val="right"/>
                      <w:rPr>
                        <w:rFonts w:ascii="Times New Roman" w:hAnsi="Times New Roman"/>
                        <w:szCs w:val="21"/>
                      </w:rPr>
                    </w:pPr>
                  </w:p>
                </w:tc>
              </w:tr>
            </w:sdtContent>
          </w:sdt>
          <w:sdt>
            <w:sdtPr>
              <w:rPr>
                <w:rFonts w:ascii="Times New Roman" w:hAnsi="Times New Roman" w:eastAsiaTheme="minorEastAsia" w:cstheme="minorBidi"/>
                <w:kern w:val="2"/>
                <w:szCs w:val="21"/>
              </w:rPr>
              <w:alias w:val="应收账款欠款户"/>
              <w:tag w:val="_TUP_71de566abd764904906a55741ffee786"/>
              <w:id w:val="107125988"/>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rPr>
                        <w:rFonts w:ascii="Times New Roman" w:hAnsi="Times New Roman"/>
                        <w:szCs w:val="21"/>
                      </w:rPr>
                    </w:pPr>
                    <w:r>
                      <w:rPr>
                        <w:rFonts w:ascii="Times New Roman"/>
                      </w:rPr>
                      <w:t>第三名</w:t>
                    </w:r>
                  </w:p>
                </w:tc>
                <w:tc>
                  <w:tcPr>
                    <w:tcW w:w="1250" w:type="pct"/>
                  </w:tcPr>
                  <w:p>
                    <w:pPr>
                      <w:ind w:right="73"/>
                      <w:jc w:val="right"/>
                      <w:rPr>
                        <w:rFonts w:ascii="Times New Roman" w:hAnsi="Times New Roman"/>
                        <w:szCs w:val="21"/>
                      </w:rPr>
                    </w:pPr>
                    <w:r>
                      <w:rPr>
                        <w:rFonts w:ascii="Times New Roman" w:hAnsi="Times New Roman"/>
                      </w:rPr>
                      <w:t>3,473,404.18</w:t>
                    </w:r>
                  </w:p>
                </w:tc>
                <w:tc>
                  <w:tcPr>
                    <w:tcW w:w="1250" w:type="pct"/>
                  </w:tcPr>
                  <w:p>
                    <w:pPr>
                      <w:jc w:val="right"/>
                      <w:rPr>
                        <w:rFonts w:ascii="Times New Roman" w:hAnsi="Times New Roman"/>
                        <w:szCs w:val="21"/>
                      </w:rPr>
                    </w:pPr>
                    <w:r>
                      <w:rPr>
                        <w:rFonts w:ascii="Times New Roman" w:hAnsi="Times New Roman"/>
                      </w:rPr>
                      <w:t>3.02</w:t>
                    </w:r>
                  </w:p>
                </w:tc>
                <w:tc>
                  <w:tcPr>
                    <w:tcW w:w="1250" w:type="pct"/>
                  </w:tcPr>
                  <w:p>
                    <w:pPr>
                      <w:jc w:val="right"/>
                      <w:rPr>
                        <w:rFonts w:ascii="Times New Roman" w:hAnsi="Times New Roman"/>
                        <w:szCs w:val="21"/>
                      </w:rPr>
                    </w:pPr>
                  </w:p>
                </w:tc>
              </w:tr>
            </w:sdtContent>
          </w:sdt>
          <w:sdt>
            <w:sdtPr>
              <w:rPr>
                <w:rFonts w:ascii="Times New Roman" w:hAnsi="Times New Roman" w:eastAsiaTheme="minorEastAsia" w:cstheme="minorBidi"/>
                <w:kern w:val="2"/>
                <w:szCs w:val="21"/>
              </w:rPr>
              <w:alias w:val="应收账款欠款户"/>
              <w:tag w:val="_TUP_71de566abd764904906a55741ffee786"/>
              <w:id w:val="107125989"/>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rPr>
                        <w:rFonts w:ascii="Times New Roman" w:hAnsi="Times New Roman"/>
                        <w:szCs w:val="21"/>
                      </w:rPr>
                    </w:pPr>
                    <w:r>
                      <w:rPr>
                        <w:rFonts w:ascii="Times New Roman"/>
                      </w:rPr>
                      <w:t>第四名</w:t>
                    </w:r>
                  </w:p>
                </w:tc>
                <w:tc>
                  <w:tcPr>
                    <w:tcW w:w="1250" w:type="pct"/>
                  </w:tcPr>
                  <w:p>
                    <w:pPr>
                      <w:ind w:right="73"/>
                      <w:jc w:val="right"/>
                      <w:rPr>
                        <w:rFonts w:ascii="Times New Roman" w:hAnsi="Times New Roman"/>
                        <w:szCs w:val="21"/>
                      </w:rPr>
                    </w:pPr>
                    <w:r>
                      <w:rPr>
                        <w:rFonts w:ascii="Times New Roman" w:hAnsi="Times New Roman"/>
                      </w:rPr>
                      <w:t>3,347,378.14</w:t>
                    </w:r>
                  </w:p>
                </w:tc>
                <w:tc>
                  <w:tcPr>
                    <w:tcW w:w="1250" w:type="pct"/>
                  </w:tcPr>
                  <w:p>
                    <w:pPr>
                      <w:jc w:val="right"/>
                      <w:rPr>
                        <w:rFonts w:ascii="Times New Roman" w:hAnsi="Times New Roman"/>
                        <w:szCs w:val="21"/>
                      </w:rPr>
                    </w:pPr>
                    <w:r>
                      <w:rPr>
                        <w:rFonts w:ascii="Times New Roman" w:hAnsi="Times New Roman"/>
                      </w:rPr>
                      <w:t>2.91</w:t>
                    </w:r>
                  </w:p>
                </w:tc>
                <w:tc>
                  <w:tcPr>
                    <w:tcW w:w="1250" w:type="pct"/>
                  </w:tcPr>
                  <w:p>
                    <w:pPr>
                      <w:jc w:val="right"/>
                      <w:rPr>
                        <w:rFonts w:ascii="Times New Roman" w:hAnsi="Times New Roman" w:cs="Times New Roman"/>
                        <w:szCs w:val="21"/>
                      </w:rPr>
                    </w:pPr>
                    <w:r>
                      <w:rPr>
                        <w:rFonts w:ascii="Times New Roman" w:hAnsi="Times New Roman" w:cs="Times New Roman"/>
                      </w:rPr>
                      <w:t>3,347,378.14</w:t>
                    </w:r>
                  </w:p>
                </w:tc>
              </w:tr>
            </w:sdtContent>
          </w:sdt>
          <w:sdt>
            <w:sdtPr>
              <w:rPr>
                <w:rFonts w:ascii="Times New Roman" w:hAnsi="Times New Roman" w:eastAsiaTheme="minorEastAsia" w:cstheme="minorBidi"/>
                <w:kern w:val="2"/>
                <w:szCs w:val="21"/>
              </w:rPr>
              <w:alias w:val="应收账款欠款户"/>
              <w:tag w:val="_TUP_71de566abd764904906a55741ffee786"/>
              <w:id w:val="107125990"/>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rPr>
                        <w:rFonts w:ascii="Times New Roman" w:hAnsi="Times New Roman"/>
                        <w:szCs w:val="21"/>
                      </w:rPr>
                    </w:pPr>
                    <w:r>
                      <w:rPr>
                        <w:rFonts w:ascii="Times New Roman"/>
                      </w:rPr>
                      <w:t>第五名</w:t>
                    </w:r>
                  </w:p>
                </w:tc>
                <w:tc>
                  <w:tcPr>
                    <w:tcW w:w="1250" w:type="pct"/>
                  </w:tcPr>
                  <w:p>
                    <w:pPr>
                      <w:ind w:right="73"/>
                      <w:jc w:val="right"/>
                      <w:rPr>
                        <w:rFonts w:ascii="Times New Roman" w:hAnsi="Times New Roman"/>
                        <w:szCs w:val="21"/>
                      </w:rPr>
                    </w:pPr>
                    <w:r>
                      <w:rPr>
                        <w:rFonts w:ascii="Times New Roman" w:hAnsi="Times New Roman"/>
                      </w:rPr>
                      <w:t>2,101,073.23</w:t>
                    </w:r>
                  </w:p>
                </w:tc>
                <w:tc>
                  <w:tcPr>
                    <w:tcW w:w="1250" w:type="pct"/>
                  </w:tcPr>
                  <w:p>
                    <w:pPr>
                      <w:jc w:val="right"/>
                      <w:rPr>
                        <w:rFonts w:ascii="Times New Roman" w:hAnsi="Times New Roman"/>
                        <w:szCs w:val="21"/>
                      </w:rPr>
                    </w:pPr>
                    <w:r>
                      <w:rPr>
                        <w:rFonts w:ascii="Times New Roman" w:hAnsi="Times New Roman"/>
                      </w:rPr>
                      <w:t>1.83</w:t>
                    </w:r>
                  </w:p>
                </w:tc>
                <w:tc>
                  <w:tcPr>
                    <w:tcW w:w="1250" w:type="pct"/>
                  </w:tcPr>
                  <w:p>
                    <w:pPr>
                      <w:jc w:val="right"/>
                      <w:rPr>
                        <w:rFonts w:ascii="Times New Roman" w:hAnsi="Times New Roman"/>
                        <w:szCs w:val="21"/>
                      </w:rPr>
                    </w:pPr>
                    <w:r>
                      <w:rPr>
                        <w:rFonts w:ascii="Times New Roman" w:hAnsi="Times New Roman"/>
                      </w:rPr>
                      <w:t>5,258.81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sdt>
                <w:sdtPr>
                  <w:rPr>
                    <w:rFonts w:ascii="Times New Roman" w:hAnsi="Times New Roman"/>
                    <w:szCs w:val="21"/>
                  </w:rPr>
                  <w:tag w:val="_PLD_80106d3884164c6c84de375c8603e8dc"/>
                  <w:id w:val="107125991"/>
                  <w:lock w:val="sdtLocked"/>
                </w:sdtPr>
                <w:sdtEndPr>
                  <w:rPr>
                    <w:rFonts w:ascii="Times New Roman" w:hAnsi="Times New Roman"/>
                    <w:szCs w:val="21"/>
                  </w:rPr>
                </w:sdtEndPr>
                <w:sdtContent>
                  <w:p>
                    <w:pPr>
                      <w:ind w:right="105"/>
                      <w:jc w:val="center"/>
                      <w:rPr>
                        <w:rFonts w:ascii="Times New Roman" w:hAnsi="Times New Roman"/>
                        <w:szCs w:val="21"/>
                      </w:rPr>
                    </w:pPr>
                    <w:r>
                      <w:rPr>
                        <w:rFonts w:ascii="Times New Roman"/>
                        <w:szCs w:val="21"/>
                      </w:rPr>
                      <w:t>合计</w:t>
                    </w:r>
                  </w:p>
                </w:sdtContent>
              </w:sdt>
            </w:tc>
            <w:tc>
              <w:tcPr>
                <w:tcW w:w="1250" w:type="pct"/>
              </w:tcPr>
              <w:p>
                <w:pPr>
                  <w:ind w:right="73"/>
                  <w:jc w:val="right"/>
                  <w:rPr>
                    <w:rFonts w:ascii="Times New Roman" w:hAnsi="Times New Roman"/>
                    <w:szCs w:val="21"/>
                  </w:rPr>
                </w:pPr>
                <w:r>
                  <w:rPr>
                    <w:rFonts w:ascii="Times New Roman" w:hAnsi="Times New Roman"/>
                  </w:rPr>
                  <w:t>29,316,793.69</w:t>
                </w:r>
              </w:p>
            </w:tc>
            <w:tc>
              <w:tcPr>
                <w:tcW w:w="1250" w:type="pct"/>
              </w:tcPr>
              <w:p>
                <w:pPr>
                  <w:jc w:val="right"/>
                  <w:rPr>
                    <w:rFonts w:ascii="Times New Roman" w:hAnsi="Times New Roman"/>
                    <w:szCs w:val="21"/>
                  </w:rPr>
                </w:pPr>
                <w:r>
                  <w:rPr>
                    <w:rFonts w:ascii="Times New Roman" w:hAnsi="Times New Roman"/>
                  </w:rPr>
                  <w:t>25.49</w:t>
                </w:r>
              </w:p>
            </w:tc>
            <w:tc>
              <w:tcPr>
                <w:tcW w:w="1250" w:type="pct"/>
              </w:tcPr>
              <w:p>
                <w:pPr>
                  <w:jc w:val="right"/>
                  <w:rPr>
                    <w:rFonts w:ascii="Times New Roman" w:hAnsi="Times New Roman"/>
                    <w:szCs w:val="21"/>
                  </w:rPr>
                </w:pPr>
                <w:r>
                  <w:rPr>
                    <w:rFonts w:ascii="Times New Roman" w:hAnsi="Times New Roman"/>
                  </w:rPr>
                  <w:t>18,961,881.42</w:t>
                </w:r>
              </w:p>
            </w:tc>
          </w:tr>
        </w:tbl>
        <w:p/>
        <w:p>
          <w:pPr>
            <w:snapToGrid w:val="0"/>
            <w:spacing w:line="240" w:lineRule="atLeast"/>
            <w:rPr>
              <w:szCs w:val="21"/>
            </w:rPr>
          </w:pPr>
        </w:p>
      </w:sdtContent>
    </w:sdt>
    <w:sdt>
      <w:sdtPr>
        <w:rPr>
          <w:rFonts w:hint="eastAsia" w:ascii="Times New Roman" w:hAnsi="Times New Roman" w:eastAsia="宋体" w:cs="宋体"/>
          <w:b w:val="0"/>
          <w:bCs w:val="0"/>
          <w:kern w:val="0"/>
          <w:szCs w:val="24"/>
        </w:rPr>
        <w:alias w:val="模块:因金融资产转移而终止确认的应收账款"/>
        <w:tag w:val="_SEC_c714bd6e3e0e4f269266374f899ea672"/>
        <w:id w:val="865724613"/>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3"/>
              <w:numId w:val="81"/>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865724612"/>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rFonts w:ascii="Times New Roman" w:hAnsi="Times New Roman"/>
            </w:rPr>
          </w:pPr>
        </w:p>
      </w:sdtContent>
    </w:sdt>
    <w:sdt>
      <w:sdtPr>
        <w:rPr>
          <w:rFonts w:hint="eastAsia" w:ascii="Times New Roman" w:hAnsi="Times New Roman" w:eastAsia="宋体" w:cs="宋体"/>
          <w:b w:val="0"/>
          <w:bCs w:val="0"/>
          <w:kern w:val="0"/>
          <w:szCs w:val="24"/>
        </w:rPr>
        <w:alias w:val="模块:转移应收账款且继续涉入的，分项列示继续涉入形成的资产、负债的金额"/>
        <w:tag w:val="_SEC_304899e10c75409c8a53fa6208e46b9c"/>
        <w:id w:val="865724615"/>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3"/>
              <w:numId w:val="81"/>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865724614"/>
            <w:lock w:val="sdtLocked"/>
            <w:placeholder>
              <w:docPart w:val="GBC22222222222222222222222222222"/>
            </w:placeholder>
          </w:sdtPr>
          <w:sdtEndPr>
            <w:rPr>
              <w:rFonts w:hint="eastAsia"/>
            </w:rPr>
          </w:sdtEndPr>
          <w:sdtContent>
            <w:p>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napToGrid w:val="0"/>
        <w:spacing w:line="240" w:lineRule="atLeast"/>
        <w:ind w:left="-105" w:leftChars="-50"/>
        <w:rPr>
          <w:rFonts w:ascii="Times New Roman" w:hAnsi="Times New Roman"/>
        </w:rPr>
      </w:pPr>
    </w:p>
    <w:sdt>
      <w:sdtPr>
        <w:rPr>
          <w:rFonts w:hint="eastAsia" w:ascii="Times New Roman" w:hAnsi="Times New Roman"/>
          <w:b/>
          <w:bCs/>
        </w:rPr>
        <w:alias w:val="模块:应收账款其他说明"/>
        <w:tag w:val="_SEC_46308b28e0464ca38e1d9a9e55371ee9"/>
        <w:id w:val="865724617"/>
        <w:lock w:val="sdtLocked"/>
        <w:placeholder>
          <w:docPart w:val="GBC22222222222222222222222222222"/>
        </w:placeholder>
      </w:sdtPr>
      <w:sdtEndPr>
        <w:rPr>
          <w:rFonts w:hint="default" w:ascii="Times New Roman" w:hAnsi="Times New Roman"/>
          <w:b w:val="0"/>
          <w:bCs w:val="0"/>
        </w:rPr>
      </w:sdtEndPr>
      <w:sdtContent>
        <w:p>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865724616"/>
            <w:lock w:val="sdtLocked"/>
            <w:placeholder>
              <w:docPart w:val="GBC22222222222222222222222222222"/>
            </w:placeholder>
          </w:sdtPr>
          <w:sdtEndPr>
            <w:rPr>
              <w:rFonts w:hint="eastAsia"/>
            </w:rPr>
          </w:sdtEndPr>
          <w:sdtContent>
            <w:p>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ascii="宋体" w:hAnsi="宋体" w:cs="宋体"/>
          <w:b w:val="0"/>
          <w:bCs w:val="0"/>
          <w:kern w:val="0"/>
          <w:szCs w:val="21"/>
        </w:rPr>
        <w:alias w:val="模块:应收款项融资"/>
        <w:tag w:val="_SEC_27b579e617f043faa86b5afdc54a44ce"/>
        <w:id w:val="865724633"/>
        <w:lock w:val="sdtLocked"/>
        <w:placeholder>
          <w:docPart w:val="GBC22222222222222222222222222222"/>
        </w:placeholder>
      </w:sdtPr>
      <w:sdtEndPr>
        <w:rPr>
          <w:rFonts w:ascii="Calibri" w:hAnsi="Calibri" w:cs="Times New Roman"/>
          <w:b/>
          <w:bCs/>
          <w:kern w:val="2"/>
          <w:szCs w:val="21"/>
        </w:rPr>
      </w:sdtEndPr>
      <w:sdtContent>
        <w:p>
          <w:pPr>
            <w:pStyle w:val="4"/>
            <w:numPr>
              <w:ilvl w:val="0"/>
              <w:numId w:val="79"/>
            </w:numPr>
            <w:rPr>
              <w:szCs w:val="21"/>
            </w:rPr>
          </w:pPr>
          <w:bookmarkStart w:id="146" w:name="_Hlk24102175"/>
          <w:r>
            <w:rPr>
              <w:rFonts w:hint="eastAsia"/>
              <w:szCs w:val="21"/>
            </w:rPr>
            <w:t>应收款项融资</w:t>
          </w:r>
        </w:p>
        <w:sdt>
          <w:sdtPr>
            <w:rPr>
              <w:szCs w:val="21"/>
            </w:rPr>
            <w:alias w:val="是否适用：应收款项融资[双击切换]"/>
            <w:tag w:val="_GBC_e38b7d767cdd4e9f8dd5f7f6ea2330da"/>
            <w:id w:val="865724618"/>
            <w:lock w:val="sdtLocked"/>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pPr>
            <w:ind w:left="420" w:right="-98"/>
            <w:jc w:val="right"/>
          </w:pPr>
          <w:r>
            <w:rPr>
              <w:rFonts w:hint="eastAsia"/>
            </w:rPr>
            <w:t xml:space="preserve">  单位：</w:t>
          </w:r>
          <w:sdt>
            <w:sdtPr>
              <w:rPr>
                <w:rFonts w:hint="eastAsia"/>
              </w:rPr>
              <w:alias w:val="单位：应收款项融资"/>
              <w:tag w:val="_GBC_718fb908b95f48ec84742dfac4338fd4"/>
              <w:id w:val="865724619"/>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86572462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245"/>
            <w:gridCol w:w="2897"/>
            <w:gridCol w:w="29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sdt>
              <w:sdtPr>
                <w:rPr>
                  <w:rFonts w:ascii="Times New Roman" w:hAnsi="Times New Roman" w:cs="Times New Roman"/>
                </w:rPr>
                <w:tag w:val="_PLD_03e528ffb61e4b53acdd40b3208f06a9"/>
                <w:id w:val="865724621"/>
                <w:lock w:val="sdtLocked"/>
              </w:sdtPr>
              <w:sdtEndPr>
                <w:rPr>
                  <w:rFonts w:ascii="Times New Roman" w:hAnsi="Times New Roman" w:cs="Times New Roman"/>
                </w:rPr>
              </w:sdtEndPr>
              <w:sdtContent>
                <w:tc>
                  <w:tcPr>
                    <w:tcW w:w="1793" w:type="pct"/>
                    <w:shd w:val="clear" w:color="auto" w:fill="auto"/>
                    <w:vAlign w:val="center"/>
                  </w:tcPr>
                  <w:p>
                    <w:pPr>
                      <w:jc w:val="center"/>
                      <w:rPr>
                        <w:rFonts w:ascii="Times New Roman" w:hAnsi="Times New Roman" w:cs="Times New Roman"/>
                        <w:szCs w:val="21"/>
                      </w:rPr>
                    </w:pPr>
                    <w:bookmarkStart w:id="147" w:name="_Hlk13057555"/>
                    <w:bookmarkStart w:id="148" w:name="_Hlk12969247"/>
                    <w:r>
                      <w:rPr>
                        <w:rFonts w:ascii="Times New Roman" w:cs="Times New Roman"/>
                        <w:szCs w:val="21"/>
                      </w:rPr>
                      <w:t>项目</w:t>
                    </w:r>
                  </w:p>
                </w:tc>
              </w:sdtContent>
            </w:sdt>
            <w:sdt>
              <w:sdtPr>
                <w:rPr>
                  <w:rFonts w:ascii="Times New Roman" w:hAnsi="Times New Roman" w:cs="Times New Roman"/>
                </w:rPr>
                <w:tag w:val="_PLD_8d81c1822e774f6081deb29ea5466dc8"/>
                <w:id w:val="865724622"/>
                <w:lock w:val="sdtLocked"/>
              </w:sdtPr>
              <w:sdtEndPr>
                <w:rPr>
                  <w:rFonts w:ascii="Times New Roman" w:hAnsi="Times New Roman" w:cs="Times New Roman"/>
                </w:rPr>
              </w:sdtEndPr>
              <w:sdtContent>
                <w:tc>
                  <w:tcPr>
                    <w:tcW w:w="1601" w:type="pct"/>
                    <w:tcBorders>
                      <w:bottom w:val="single" w:color="auto" w:sz="6" w:space="0"/>
                    </w:tcBorders>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c1ad8d0386f942b4b74733e3287ad275"/>
                <w:id w:val="865724623"/>
                <w:lock w:val="sdtLocked"/>
              </w:sdtPr>
              <w:sdtEndPr>
                <w:rPr>
                  <w:rFonts w:ascii="Times New Roman" w:hAnsi="Times New Roman" w:cs="Times New Roman"/>
                </w:rPr>
              </w:sdtEndPr>
              <w:sdtContent>
                <w:tc>
                  <w:tcPr>
                    <w:tcW w:w="1606" w:type="pct"/>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期初余额</w:t>
                    </w:r>
                  </w:p>
                </w:tc>
              </w:sdtContent>
            </w:sdt>
          </w:tr>
          <w:sdt>
            <w:sdtPr>
              <w:rPr>
                <w:rFonts w:ascii="Times New Roman" w:hAnsi="Times New Roman" w:cs="Times New Roman"/>
                <w:szCs w:val="21"/>
              </w:rPr>
              <w:alias w:val="应收款项融资明细"/>
              <w:tag w:val="_TUP_940e825e314d45c5b84fafdc8bddaee8"/>
              <w:id w:val="86572462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793" w:type="pct"/>
                    <w:shd w:val="clear" w:color="auto" w:fill="auto"/>
                  </w:tcPr>
                  <w:p>
                    <w:pPr>
                      <w:autoSpaceDE w:val="0"/>
                      <w:autoSpaceDN w:val="0"/>
                      <w:adjustRightInd w:val="0"/>
                      <w:rPr>
                        <w:rFonts w:ascii="Times New Roman" w:hAnsi="Times New Roman" w:cs="Times New Roman"/>
                        <w:szCs w:val="21"/>
                      </w:rPr>
                    </w:pPr>
                    <w:r>
                      <w:rPr>
                        <w:rStyle w:val="70"/>
                        <w:rFonts w:ascii="Times New Roman" w:cs="Times New Roman"/>
                      </w:rPr>
                      <w:t>以公允价值计量且其变动计入其他综合收益的应收票据</w:t>
                    </w:r>
                  </w:p>
                </w:tc>
                <w:tc>
                  <w:tcPr>
                    <w:tcW w:w="1601"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r>
                      <w:rPr>
                        <w:rStyle w:val="70"/>
                        <w:rFonts w:ascii="Times New Roman" w:hAnsi="Times New Roman" w:cs="Times New Roman"/>
                      </w:rPr>
                      <w:t>23,502,581.94</w:t>
                    </w:r>
                  </w:p>
                </w:tc>
                <w:tc>
                  <w:tcPr>
                    <w:tcW w:w="1606" w:type="pct"/>
                    <w:shd w:val="clear" w:color="auto" w:fill="auto"/>
                    <w:vAlign w:val="center"/>
                  </w:tcPr>
                  <w:p>
                    <w:pPr>
                      <w:jc w:val="right"/>
                      <w:rPr>
                        <w:rFonts w:ascii="Times New Roman" w:hAnsi="Times New Roman" w:cs="Times New Roman"/>
                        <w:szCs w:val="21"/>
                      </w:rPr>
                    </w:pPr>
                    <w:r>
                      <w:rPr>
                        <w:rStyle w:val="70"/>
                        <w:rFonts w:ascii="Times New Roman" w:hAnsi="Times New Roman" w:cs="Times New Roman"/>
                      </w:rPr>
                      <w:t>27,881,226.11</w:t>
                    </w:r>
                  </w:p>
                </w:tc>
              </w:tr>
            </w:sdtContent>
          </w:sd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rPr>
                  <w:rFonts w:ascii="Times New Roman" w:hAnsi="Times New Roman" w:cs="Times New Roman"/>
                </w:rPr>
                <w:tag w:val="_PLD_c114cbc8272a41bb85c22331b0e83096"/>
                <w:id w:val="865724626"/>
                <w:lock w:val="sdtLocked"/>
              </w:sdtPr>
              <w:sdtEndPr>
                <w:rPr>
                  <w:rFonts w:ascii="Times New Roman" w:hAnsi="Times New Roman" w:cs="Times New Roman"/>
                </w:rPr>
              </w:sdtEndPr>
              <w:sdtContent>
                <w:tc>
                  <w:tcPr>
                    <w:tcW w:w="1793" w:type="pct"/>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1601" w:type="pct"/>
                <w:tcBorders>
                  <w:top w:val="single" w:color="auto" w:sz="6" w:space="0"/>
                  <w:bottom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23,502,581.94</w:t>
                </w:r>
              </w:p>
            </w:tc>
            <w:tc>
              <w:tcPr>
                <w:tcW w:w="1606" w:type="pct"/>
                <w:shd w:val="clear" w:color="auto" w:fill="auto"/>
                <w:vAlign w:val="center"/>
              </w:tcPr>
              <w:p>
                <w:pPr>
                  <w:jc w:val="right"/>
                  <w:rPr>
                    <w:rFonts w:ascii="Times New Roman" w:hAnsi="Times New Roman" w:cs="Times New Roman"/>
                    <w:sz w:val="24"/>
                  </w:rPr>
                </w:pPr>
                <w:r>
                  <w:rPr>
                    <w:rFonts w:ascii="Times New Roman" w:hAnsi="Times New Roman" w:cs="Times New Roman"/>
                  </w:rPr>
                  <w:t>27,881,226.11</w:t>
                </w:r>
              </w:p>
            </w:tc>
          </w:tr>
        </w:tbl>
        <w:p/>
        <w:p>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865724627"/>
            <w:lock w:val="sdtLocked"/>
          </w:sdtPr>
          <w:sdtEndPr>
            <w:rPr>
              <w:rFonts w:hint="eastAsia"/>
            </w:rPr>
          </w:sdtEndPr>
          <w:sdtContent>
            <w:p>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alias w:val="应收款项融资本期增减变动及公允价值变动情况"/>
            <w:tag w:val="_GBC_700eec67c70943f6b1187ef40ea2b404"/>
            <w:id w:val="865724628"/>
            <w:lock w:val="sdtLocked"/>
          </w:sdtPr>
          <w:sdtContent>
            <w:p>
              <w:r>
                <w:t>（2）应收款项融资本期增减变及公允价值变动情况</w:t>
              </w:r>
            </w:p>
            <w:tbl>
              <w:tblPr>
                <w:tblStyle w:val="107"/>
                <w:tblW w:w="5053"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87"/>
                <w:gridCol w:w="1416"/>
                <w:gridCol w:w="1527"/>
                <w:gridCol w:w="755"/>
                <w:gridCol w:w="750"/>
                <w:gridCol w:w="905"/>
                <w:gridCol w:w="1653"/>
                <w:gridCol w:w="752"/>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trPr>
                <w:tc>
                  <w:tcPr>
                    <w:tcW w:w="758" w:type="pct"/>
                    <w:vMerge w:val="restart"/>
                    <w:noWrap/>
                    <w:vAlign w:val="center"/>
                  </w:tcPr>
                  <w:p>
                    <w:pPr>
                      <w:rPr>
                        <w:rFonts w:ascii="Times New Roman" w:hAnsi="Times New Roman" w:cs="Times New Roman"/>
                      </w:rPr>
                    </w:pPr>
                    <w:r>
                      <w:rPr>
                        <w:rFonts w:ascii="Times New Roman" w:cs="Times New Roman"/>
                      </w:rPr>
                      <w:t>类别</w:t>
                    </w:r>
                  </w:p>
                </w:tc>
                <w:tc>
                  <w:tcPr>
                    <w:tcW w:w="774" w:type="pct"/>
                    <w:vMerge w:val="restart"/>
                    <w:noWrap/>
                    <w:vAlign w:val="center"/>
                  </w:tcPr>
                  <w:p>
                    <w:pPr>
                      <w:rPr>
                        <w:rFonts w:ascii="Times New Roman" w:hAnsi="Times New Roman" w:cs="Times New Roman"/>
                      </w:rPr>
                    </w:pPr>
                    <w:r>
                      <w:rPr>
                        <w:rFonts w:ascii="Times New Roman" w:cs="Times New Roman"/>
                      </w:rPr>
                      <w:t>期初余额</w:t>
                    </w:r>
                  </w:p>
                </w:tc>
                <w:tc>
                  <w:tcPr>
                    <w:tcW w:w="3468" w:type="pct"/>
                    <w:gridSpan w:val="6"/>
                    <w:noWrap/>
                    <w:vAlign w:val="center"/>
                  </w:tcPr>
                  <w:p>
                    <w:pPr>
                      <w:rPr>
                        <w:rFonts w:ascii="Times New Roman" w:hAnsi="Times New Roman" w:cs="Times New Roman"/>
                      </w:rPr>
                    </w:pPr>
                    <w:r>
                      <w:rPr>
                        <w:rFonts w:ascii="Times New Roman" w:cs="Times New Roman"/>
                      </w:rPr>
                      <w:t>期末余额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trPr>
                <w:tc>
                  <w:tcPr>
                    <w:tcW w:w="758" w:type="pct"/>
                    <w:vMerge w:val="continue"/>
                    <w:vAlign w:val="center"/>
                  </w:tcPr>
                  <w:p>
                    <w:pPr>
                      <w:rPr>
                        <w:rFonts w:ascii="Times New Roman" w:hAnsi="Times New Roman" w:cs="Times New Roman"/>
                      </w:rPr>
                    </w:pPr>
                  </w:p>
                </w:tc>
                <w:tc>
                  <w:tcPr>
                    <w:tcW w:w="774" w:type="pct"/>
                    <w:vMerge w:val="continue"/>
                    <w:vAlign w:val="center"/>
                  </w:tcPr>
                  <w:p>
                    <w:pPr>
                      <w:rPr>
                        <w:rFonts w:ascii="Times New Roman" w:hAnsi="Times New Roman" w:cs="Times New Roman"/>
                      </w:rPr>
                    </w:pPr>
                  </w:p>
                </w:tc>
                <w:tc>
                  <w:tcPr>
                    <w:tcW w:w="835" w:type="pct"/>
                    <w:noWrap/>
                    <w:vAlign w:val="center"/>
                  </w:tcPr>
                  <w:p>
                    <w:pPr>
                      <w:rPr>
                        <w:rFonts w:ascii="Times New Roman" w:hAnsi="Times New Roman" w:cs="Times New Roman"/>
                      </w:rPr>
                    </w:pPr>
                    <w:r>
                      <w:rPr>
                        <w:rFonts w:ascii="Times New Roman" w:cs="Times New Roman"/>
                      </w:rPr>
                      <w:t>初始成本</w:t>
                    </w:r>
                  </w:p>
                </w:tc>
                <w:tc>
                  <w:tcPr>
                    <w:tcW w:w="413" w:type="pct"/>
                    <w:noWrap/>
                    <w:vAlign w:val="center"/>
                  </w:tcPr>
                  <w:p>
                    <w:pPr>
                      <w:rPr>
                        <w:rFonts w:ascii="Times New Roman" w:hAnsi="Times New Roman" w:cs="Times New Roman"/>
                      </w:rPr>
                    </w:pPr>
                    <w:r>
                      <w:rPr>
                        <w:rFonts w:ascii="Times New Roman" w:cs="Times New Roman"/>
                      </w:rPr>
                      <w:t>利息调整</w:t>
                    </w:r>
                  </w:p>
                </w:tc>
                <w:tc>
                  <w:tcPr>
                    <w:tcW w:w="410" w:type="pct"/>
                    <w:noWrap/>
                    <w:vAlign w:val="center"/>
                  </w:tcPr>
                  <w:p>
                    <w:pPr>
                      <w:rPr>
                        <w:rFonts w:ascii="Times New Roman" w:hAnsi="Times New Roman" w:cs="Times New Roman"/>
                      </w:rPr>
                    </w:pPr>
                    <w:r>
                      <w:rPr>
                        <w:rFonts w:ascii="Times New Roman" w:cs="Times New Roman"/>
                      </w:rPr>
                      <w:t>应计利息</w:t>
                    </w:r>
                  </w:p>
                </w:tc>
                <w:tc>
                  <w:tcPr>
                    <w:tcW w:w="495" w:type="pct"/>
                    <w:noWrap/>
                    <w:vAlign w:val="center"/>
                  </w:tcPr>
                  <w:p>
                    <w:pPr>
                      <w:rPr>
                        <w:rFonts w:ascii="Times New Roman" w:hAnsi="Times New Roman" w:cs="Times New Roman"/>
                      </w:rPr>
                    </w:pPr>
                    <w:r>
                      <w:rPr>
                        <w:rFonts w:ascii="Times New Roman" w:cs="Times New Roman"/>
                      </w:rPr>
                      <w:t>公允价值变动</w:t>
                    </w:r>
                  </w:p>
                </w:tc>
                <w:tc>
                  <w:tcPr>
                    <w:tcW w:w="904" w:type="pct"/>
                    <w:noWrap/>
                    <w:vAlign w:val="center"/>
                  </w:tcPr>
                  <w:p>
                    <w:pPr>
                      <w:rPr>
                        <w:rFonts w:ascii="Times New Roman" w:hAnsi="Times New Roman" w:cs="Times New Roman"/>
                      </w:rPr>
                    </w:pPr>
                    <w:r>
                      <w:rPr>
                        <w:rFonts w:ascii="Times New Roman" w:cs="Times New Roman"/>
                      </w:rPr>
                      <w:t>账面价值</w:t>
                    </w:r>
                  </w:p>
                </w:tc>
                <w:tc>
                  <w:tcPr>
                    <w:tcW w:w="411" w:type="pct"/>
                    <w:noWrap/>
                    <w:vAlign w:val="center"/>
                  </w:tcPr>
                  <w:p>
                    <w:pPr>
                      <w:rPr>
                        <w:rFonts w:ascii="Times New Roman" w:hAnsi="Times New Roman" w:cs="Times New Roman"/>
                      </w:rPr>
                    </w:pPr>
                    <w:r>
                      <w:rPr>
                        <w:rFonts w:ascii="Times New Roman" w:cs="Times New Roman"/>
                      </w:rPr>
                      <w:t>减值准备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758" w:type="pct"/>
                    <w:noWrap/>
                    <w:vAlign w:val="center"/>
                  </w:tcPr>
                  <w:p>
                    <w:pPr>
                      <w:rPr>
                        <w:rFonts w:ascii="Times New Roman" w:hAnsi="Times New Roman" w:cs="Times New Roman"/>
                      </w:rPr>
                    </w:pPr>
                    <w:r>
                      <w:rPr>
                        <w:rFonts w:ascii="Times New Roman" w:cs="Times New Roman"/>
                      </w:rPr>
                      <w:t>应收票据</w:t>
                    </w:r>
                  </w:p>
                </w:tc>
                <w:tc>
                  <w:tcPr>
                    <w:tcW w:w="774" w:type="pct"/>
                    <w:noWrap/>
                    <w:vAlign w:val="center"/>
                  </w:tcPr>
                  <w:p>
                    <w:pPr>
                      <w:jc w:val="right"/>
                      <w:rPr>
                        <w:rFonts w:ascii="Times New Roman" w:hAnsi="Times New Roman" w:cs="Times New Roman"/>
                        <w:sz w:val="18"/>
                        <w:szCs w:val="18"/>
                      </w:rPr>
                    </w:pPr>
                    <w:r>
                      <w:rPr>
                        <w:rFonts w:ascii="Times New Roman" w:hAnsi="Times New Roman" w:cs="Times New Roman"/>
                        <w:sz w:val="18"/>
                        <w:szCs w:val="18"/>
                      </w:rPr>
                      <w:t>27,881,226.11</w:t>
                    </w:r>
                  </w:p>
                </w:tc>
                <w:tc>
                  <w:tcPr>
                    <w:tcW w:w="835" w:type="pct"/>
                    <w:noWrap/>
                    <w:vAlign w:val="center"/>
                  </w:tcPr>
                  <w:p>
                    <w:pPr>
                      <w:jc w:val="right"/>
                      <w:rPr>
                        <w:rFonts w:ascii="Times New Roman" w:hAnsi="Times New Roman" w:cs="Times New Roman"/>
                        <w:sz w:val="18"/>
                        <w:szCs w:val="18"/>
                      </w:rPr>
                    </w:pPr>
                    <w:r>
                      <w:rPr>
                        <w:rFonts w:ascii="Times New Roman" w:hAnsi="Times New Roman" w:cs="Times New Roman"/>
                        <w:sz w:val="18"/>
                        <w:szCs w:val="18"/>
                      </w:rPr>
                      <w:t>23,502,581.94</w:t>
                    </w:r>
                  </w:p>
                </w:tc>
                <w:tc>
                  <w:tcPr>
                    <w:tcW w:w="413" w:type="pct"/>
                    <w:noWrap/>
                    <w:vAlign w:val="center"/>
                  </w:tcPr>
                  <w:p>
                    <w:pPr>
                      <w:jc w:val="right"/>
                      <w:rPr>
                        <w:rFonts w:ascii="Times New Roman" w:hAnsi="Times New Roman" w:cs="Times New Roman"/>
                        <w:sz w:val="18"/>
                        <w:szCs w:val="18"/>
                      </w:rPr>
                    </w:pPr>
                  </w:p>
                </w:tc>
                <w:tc>
                  <w:tcPr>
                    <w:tcW w:w="410" w:type="pct"/>
                    <w:noWrap/>
                    <w:vAlign w:val="center"/>
                  </w:tcPr>
                  <w:p>
                    <w:pPr>
                      <w:jc w:val="right"/>
                      <w:rPr>
                        <w:rFonts w:ascii="Times New Roman" w:hAnsi="Times New Roman" w:cs="Times New Roman"/>
                        <w:sz w:val="18"/>
                        <w:szCs w:val="18"/>
                      </w:rPr>
                    </w:pPr>
                  </w:p>
                </w:tc>
                <w:tc>
                  <w:tcPr>
                    <w:tcW w:w="495" w:type="pct"/>
                    <w:noWrap/>
                    <w:vAlign w:val="center"/>
                  </w:tcPr>
                  <w:p>
                    <w:pPr>
                      <w:jc w:val="right"/>
                      <w:rPr>
                        <w:rFonts w:ascii="Times New Roman" w:hAnsi="Times New Roman" w:cs="Times New Roman"/>
                        <w:sz w:val="18"/>
                        <w:szCs w:val="18"/>
                      </w:rPr>
                    </w:pPr>
                  </w:p>
                </w:tc>
                <w:tc>
                  <w:tcPr>
                    <w:tcW w:w="904" w:type="pct"/>
                    <w:noWrap/>
                    <w:vAlign w:val="center"/>
                  </w:tcPr>
                  <w:p>
                    <w:pPr>
                      <w:jc w:val="right"/>
                      <w:rPr>
                        <w:rFonts w:ascii="Times New Roman" w:hAnsi="Times New Roman" w:cs="Times New Roman"/>
                        <w:sz w:val="18"/>
                        <w:szCs w:val="18"/>
                      </w:rPr>
                    </w:pPr>
                    <w:r>
                      <w:rPr>
                        <w:rFonts w:ascii="Times New Roman" w:hAnsi="Times New Roman" w:cs="Times New Roman"/>
                        <w:sz w:val="18"/>
                        <w:szCs w:val="18"/>
                      </w:rPr>
                      <w:t>23,502,581.94</w:t>
                    </w:r>
                  </w:p>
                </w:tc>
                <w:tc>
                  <w:tcPr>
                    <w:tcW w:w="411" w:type="pct"/>
                    <w:noWrap/>
                    <w:vAlign w:val="center"/>
                  </w:tcPr>
                  <w:p>
                    <w:pP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758" w:type="pct"/>
                    <w:noWrap/>
                    <w:vAlign w:val="center"/>
                  </w:tcPr>
                  <w:p>
                    <w:pPr>
                      <w:rPr>
                        <w:rFonts w:ascii="Times New Roman" w:hAnsi="Times New Roman" w:cs="Times New Roman"/>
                      </w:rPr>
                    </w:pPr>
                    <w:r>
                      <w:rPr>
                        <w:rFonts w:ascii="Times New Roman" w:cs="Times New Roman"/>
                      </w:rPr>
                      <w:t>合计</w:t>
                    </w:r>
                  </w:p>
                </w:tc>
                <w:tc>
                  <w:tcPr>
                    <w:tcW w:w="774" w:type="pct"/>
                    <w:noWrap/>
                    <w:vAlign w:val="center"/>
                  </w:tcPr>
                  <w:p>
                    <w:pPr>
                      <w:jc w:val="right"/>
                      <w:rPr>
                        <w:rFonts w:ascii="Times New Roman" w:hAnsi="Times New Roman" w:cs="Times New Roman"/>
                        <w:sz w:val="18"/>
                        <w:szCs w:val="18"/>
                      </w:rPr>
                    </w:pPr>
                    <w:r>
                      <w:rPr>
                        <w:rFonts w:ascii="Times New Roman" w:hAnsi="Times New Roman" w:cs="Times New Roman"/>
                        <w:sz w:val="18"/>
                        <w:szCs w:val="18"/>
                      </w:rPr>
                      <w:t>27,881,226.11</w:t>
                    </w:r>
                  </w:p>
                </w:tc>
                <w:tc>
                  <w:tcPr>
                    <w:tcW w:w="835" w:type="pct"/>
                    <w:noWrap/>
                    <w:vAlign w:val="center"/>
                  </w:tcPr>
                  <w:p>
                    <w:pPr>
                      <w:jc w:val="right"/>
                      <w:rPr>
                        <w:rFonts w:ascii="Times New Roman" w:hAnsi="Times New Roman" w:cs="Times New Roman"/>
                        <w:sz w:val="18"/>
                        <w:szCs w:val="18"/>
                      </w:rPr>
                    </w:pPr>
                    <w:r>
                      <w:rPr>
                        <w:rFonts w:ascii="Times New Roman" w:hAnsi="Times New Roman" w:cs="Times New Roman"/>
                        <w:sz w:val="18"/>
                        <w:szCs w:val="18"/>
                      </w:rPr>
                      <w:t>23,502,581.94</w:t>
                    </w:r>
                  </w:p>
                </w:tc>
                <w:tc>
                  <w:tcPr>
                    <w:tcW w:w="413" w:type="pct"/>
                    <w:noWrap/>
                    <w:vAlign w:val="center"/>
                  </w:tcPr>
                  <w:p>
                    <w:pPr>
                      <w:jc w:val="right"/>
                      <w:rPr>
                        <w:rFonts w:ascii="Times New Roman" w:hAnsi="Times New Roman" w:cs="Times New Roman"/>
                        <w:sz w:val="18"/>
                        <w:szCs w:val="18"/>
                      </w:rPr>
                    </w:pPr>
                  </w:p>
                </w:tc>
                <w:tc>
                  <w:tcPr>
                    <w:tcW w:w="410" w:type="pct"/>
                    <w:noWrap/>
                    <w:vAlign w:val="center"/>
                  </w:tcPr>
                  <w:p>
                    <w:pPr>
                      <w:jc w:val="right"/>
                      <w:rPr>
                        <w:rFonts w:ascii="Times New Roman" w:hAnsi="Times New Roman" w:cs="Times New Roman"/>
                        <w:sz w:val="18"/>
                        <w:szCs w:val="18"/>
                      </w:rPr>
                    </w:pPr>
                  </w:p>
                </w:tc>
                <w:tc>
                  <w:tcPr>
                    <w:tcW w:w="495" w:type="pct"/>
                    <w:noWrap/>
                    <w:vAlign w:val="center"/>
                  </w:tcPr>
                  <w:p>
                    <w:pPr>
                      <w:jc w:val="right"/>
                      <w:rPr>
                        <w:rFonts w:ascii="Times New Roman" w:hAnsi="Times New Roman" w:cs="Times New Roman"/>
                        <w:sz w:val="18"/>
                        <w:szCs w:val="18"/>
                      </w:rPr>
                    </w:pPr>
                  </w:p>
                </w:tc>
                <w:tc>
                  <w:tcPr>
                    <w:tcW w:w="904" w:type="pct"/>
                    <w:noWrap/>
                    <w:vAlign w:val="center"/>
                  </w:tcPr>
                  <w:p>
                    <w:pPr>
                      <w:jc w:val="right"/>
                      <w:rPr>
                        <w:rFonts w:ascii="Times New Roman" w:hAnsi="Times New Roman" w:cs="Times New Roman"/>
                        <w:sz w:val="18"/>
                        <w:szCs w:val="18"/>
                      </w:rPr>
                    </w:pPr>
                    <w:r>
                      <w:rPr>
                        <w:rFonts w:ascii="Times New Roman" w:hAnsi="Times New Roman" w:cs="Times New Roman"/>
                        <w:sz w:val="18"/>
                        <w:szCs w:val="18"/>
                      </w:rPr>
                      <w:t>23,502,581.94</w:t>
                    </w:r>
                  </w:p>
                </w:tc>
                <w:tc>
                  <w:tcPr>
                    <w:tcW w:w="411" w:type="pct"/>
                    <w:noWrap/>
                    <w:vAlign w:val="center"/>
                  </w:tcPr>
                  <w:p>
                    <w:pPr>
                      <w:rPr>
                        <w:rFonts w:ascii="Times New Roman" w:hAnsi="Times New Roman" w:cs="Times New Roman"/>
                      </w:rPr>
                    </w:pPr>
                  </w:p>
                </w:tc>
              </w:tr>
            </w:tbl>
            <w:p>
              <w:r>
                <w:t>注：应收款</w:t>
              </w:r>
              <w:r>
                <w:rPr>
                  <w:rFonts w:ascii="Times New Roman" w:cs="Times New Roman"/>
                </w:rPr>
                <w:t>项融资系银行承兑汇票</w:t>
              </w:r>
              <w:r>
                <w:rPr>
                  <w:rFonts w:ascii="Times New Roman" w:hAnsi="Times New Roman" w:cs="Times New Roman"/>
                </w:rPr>
                <w:t>,</w:t>
              </w:r>
              <w:r>
                <w:rPr>
                  <w:rFonts w:ascii="Times New Roman" w:cs="Times New Roman"/>
                </w:rPr>
                <w:t>其剩余期限较短</w:t>
              </w:r>
              <w:r>
                <w:rPr>
                  <w:rFonts w:ascii="Times New Roman" w:hAnsi="Times New Roman" w:cs="Times New Roman"/>
                </w:rPr>
                <w:t>,</w:t>
              </w:r>
              <w:r>
                <w:rPr>
                  <w:rFonts w:ascii="Times New Roman" w:cs="Times New Roman"/>
                </w:rPr>
                <w:t>账面余额与公允价值相近；截至</w:t>
              </w:r>
              <w:r>
                <w:rPr>
                  <w:rFonts w:ascii="Times New Roman" w:hAnsi="Times New Roman" w:cs="Times New Roman"/>
                </w:rPr>
                <w:t>2021</w:t>
              </w:r>
              <w:r>
                <w:rPr>
                  <w:rFonts w:ascii="Times New Roman" w:cs="Times New Roman"/>
                </w:rPr>
                <w:t>年</w:t>
              </w:r>
              <w:r>
                <w:rPr>
                  <w:rFonts w:ascii="Times New Roman" w:hAnsi="Times New Roman" w:cs="Times New Roman"/>
                </w:rPr>
                <w:t>12</w:t>
              </w:r>
              <w:r>
                <w:rPr>
                  <w:rFonts w:ascii="Times New Roman" w:cs="Times New Roman"/>
                </w:rPr>
                <w:t>月</w:t>
              </w:r>
              <w:r>
                <w:rPr>
                  <w:rFonts w:ascii="Times New Roman" w:hAnsi="Times New Roman" w:cs="Times New Roman"/>
                </w:rPr>
                <w:t>31</w:t>
              </w:r>
              <w:r>
                <w:rPr>
                  <w:rFonts w:ascii="Times New Roman" w:cs="Times New Roman"/>
                </w:rPr>
                <w:t>日</w:t>
              </w:r>
              <w:r>
                <w:rPr>
                  <w:rFonts w:ascii="Times New Roman" w:hAnsi="Times New Roman" w:cs="Times New Roman"/>
                </w:rPr>
                <w:t>,</w:t>
              </w:r>
              <w:r>
                <w:rPr>
                  <w:rFonts w:ascii="Times New Roman" w:cs="Times New Roman"/>
                </w:rPr>
                <w:t>本公司无质押的应收款项</w:t>
              </w:r>
              <w:r>
                <w:t>融资。</w:t>
              </w:r>
            </w:p>
            <w:p>
              <w:r>
                <w:t>（3）期末已背书或贴现且在资产负债表日尚未到期的应收款项融资</w:t>
              </w:r>
            </w:p>
            <w:tbl>
              <w:tblPr>
                <w:tblStyle w:val="107"/>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877"/>
                <w:gridCol w:w="3050"/>
                <w:gridCol w:w="3122"/>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1590" w:type="pct"/>
                    <w:vAlign w:val="center"/>
                  </w:tcPr>
                  <w:p>
                    <w:pPr>
                      <w:rPr>
                        <w:rFonts w:ascii="Times New Roman" w:hAnsi="Times New Roman" w:cs="Times New Roman"/>
                      </w:rPr>
                    </w:pPr>
                    <w:r>
                      <w:rPr>
                        <w:rFonts w:ascii="Times New Roman" w:cs="Times New Roman"/>
                      </w:rPr>
                      <w:t>项目</w:t>
                    </w:r>
                  </w:p>
                </w:tc>
                <w:tc>
                  <w:tcPr>
                    <w:tcW w:w="1685" w:type="pct"/>
                    <w:vAlign w:val="center"/>
                  </w:tcPr>
                  <w:p>
                    <w:pPr>
                      <w:rPr>
                        <w:rFonts w:ascii="Times New Roman" w:hAnsi="Times New Roman" w:cs="Times New Roman"/>
                      </w:rPr>
                    </w:pPr>
                    <w:r>
                      <w:rPr>
                        <w:rFonts w:ascii="Times New Roman" w:cs="Times New Roman"/>
                      </w:rPr>
                      <w:t>期末终止确认金额</w:t>
                    </w:r>
                  </w:p>
                </w:tc>
                <w:tc>
                  <w:tcPr>
                    <w:tcW w:w="1725" w:type="pct"/>
                    <w:vAlign w:val="center"/>
                  </w:tcPr>
                  <w:p>
                    <w:pPr>
                      <w:rPr>
                        <w:rFonts w:ascii="Times New Roman" w:hAnsi="Times New Roman" w:cs="Times New Roman"/>
                      </w:rPr>
                    </w:pPr>
                    <w:r>
                      <w:rPr>
                        <w:rFonts w:ascii="Times New Roman" w:cs="Times New Roman"/>
                      </w:rPr>
                      <w:t>期末未终止确认金额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1590" w:type="pct"/>
                    <w:vAlign w:val="center"/>
                  </w:tcPr>
                  <w:p>
                    <w:pPr>
                      <w:rPr>
                        <w:rFonts w:ascii="Times New Roman" w:hAnsi="Times New Roman" w:cs="Times New Roman"/>
                      </w:rPr>
                    </w:pPr>
                    <w:r>
                      <w:rPr>
                        <w:rFonts w:ascii="Times New Roman" w:cs="Times New Roman"/>
                      </w:rPr>
                      <w:t>银行承兑汇票</w:t>
                    </w:r>
                  </w:p>
                </w:tc>
                <w:tc>
                  <w:tcPr>
                    <w:tcW w:w="1685" w:type="pct"/>
                    <w:vAlign w:val="center"/>
                  </w:tcPr>
                  <w:p>
                    <w:pPr>
                      <w:jc w:val="right"/>
                      <w:rPr>
                        <w:rFonts w:ascii="Times New Roman" w:hAnsi="Times New Roman" w:cs="Times New Roman"/>
                        <w:sz w:val="18"/>
                        <w:szCs w:val="18"/>
                      </w:rPr>
                    </w:pPr>
                    <w:r>
                      <w:rPr>
                        <w:rFonts w:ascii="Times New Roman" w:hAnsi="Times New Roman" w:cs="Times New Roman"/>
                        <w:sz w:val="18"/>
                        <w:szCs w:val="18"/>
                      </w:rPr>
                      <w:t>5,215,486.65</w:t>
                    </w:r>
                  </w:p>
                </w:tc>
                <w:tc>
                  <w:tcPr>
                    <w:tcW w:w="1725" w:type="pct"/>
                    <w:vAlign w:val="center"/>
                  </w:tcPr>
                  <w:p>
                    <w:pPr>
                      <w:jc w:val="right"/>
                      <w:rPr>
                        <w:rFonts w:ascii="Times New Roman" w:hAnsi="Times New Roman" w:cs="Times New Roman"/>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1590" w:type="pct"/>
                    <w:vAlign w:val="center"/>
                  </w:tcPr>
                  <w:p>
                    <w:pPr>
                      <w:rPr>
                        <w:rFonts w:ascii="Times New Roman" w:hAnsi="Times New Roman" w:cs="Times New Roman"/>
                      </w:rPr>
                    </w:pPr>
                    <w:r>
                      <w:rPr>
                        <w:rFonts w:ascii="Times New Roman" w:cs="Times New Roman"/>
                      </w:rPr>
                      <w:t>合计</w:t>
                    </w:r>
                  </w:p>
                </w:tc>
                <w:tc>
                  <w:tcPr>
                    <w:tcW w:w="1685" w:type="pct"/>
                    <w:vAlign w:val="center"/>
                  </w:tcPr>
                  <w:p>
                    <w:pPr>
                      <w:jc w:val="right"/>
                      <w:rPr>
                        <w:rFonts w:ascii="Times New Roman" w:hAnsi="Times New Roman" w:cs="Times New Roman"/>
                        <w:sz w:val="18"/>
                        <w:szCs w:val="18"/>
                      </w:rPr>
                    </w:pPr>
                    <w:r>
                      <w:rPr>
                        <w:rFonts w:ascii="Times New Roman" w:hAnsi="Times New Roman" w:cs="Times New Roman"/>
                        <w:sz w:val="18"/>
                        <w:szCs w:val="18"/>
                      </w:rPr>
                      <w:t>5,215,486.65</w:t>
                    </w:r>
                  </w:p>
                </w:tc>
                <w:tc>
                  <w:tcPr>
                    <w:tcW w:w="1725" w:type="pct"/>
                    <w:vAlign w:val="center"/>
                  </w:tcPr>
                  <w:p>
                    <w:pPr>
                      <w:jc w:val="right"/>
                      <w:rPr>
                        <w:rFonts w:ascii="Times New Roman" w:hAnsi="Times New Roman" w:cs="Times New Roman"/>
                        <w:sz w:val="18"/>
                        <w:szCs w:val="18"/>
                      </w:rPr>
                    </w:pPr>
                  </w:p>
                </w:tc>
              </w:tr>
            </w:tbl>
            <w:p/>
          </w:sdtContent>
        </w:sdt>
        <w:bookmarkEnd w:id="147"/>
        <w:p/>
        <w:p>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865724629"/>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bookmarkEnd w:id="148"/>
        <w:p/>
        <w:p>
          <w:r>
            <w:rPr>
              <w:rFonts w:hint="eastAsia"/>
            </w:rPr>
            <w:t>其他</w:t>
          </w:r>
          <w:r>
            <w:t>说明</w:t>
          </w:r>
          <w:r>
            <w:rPr>
              <w:rFonts w:hint="eastAsia"/>
            </w:rPr>
            <w:t>：</w:t>
          </w:r>
        </w:p>
        <w:sdt>
          <w:sdtPr>
            <w:rPr>
              <w:rFonts w:hint="eastAsia"/>
            </w:rPr>
            <w:alias w:val="是否适用：应收款项融资其他说明[双击切换]"/>
            <w:tag w:val="_GBC_19d5ef5dfbe64f2d98d9ab83a2e48c14"/>
            <w:id w:val="865724631"/>
            <w:lock w:val="sdtLocked"/>
          </w:sdtPr>
          <w:sdtEndPr>
            <w:rPr>
              <w:rFonts w:hint="eastAsia"/>
            </w:rPr>
          </w:sdtEndPr>
          <w:sdtContent>
            <w:p>
              <w:bookmarkStart w:id="149" w:name="_Hlk13057390"/>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pStyle w:val="4"/>
            <w:rPr>
              <w:szCs w:val="21"/>
            </w:rPr>
          </w:pPr>
        </w:p>
      </w:sdtContent>
    </w:sdt>
    <w:bookmarkEnd w:id="146"/>
    <w:bookmarkEnd w:id="149"/>
    <w:p>
      <w:pPr>
        <w:rPr>
          <w:szCs w:val="21"/>
        </w:rPr>
      </w:pPr>
    </w:p>
    <w:p>
      <w:pPr>
        <w:pStyle w:val="4"/>
        <w:numPr>
          <w:ilvl w:val="0"/>
          <w:numId w:val="79"/>
        </w:numPr>
      </w:pPr>
      <w:r>
        <w:rPr>
          <w:rFonts w:hint="eastAsia"/>
        </w:rPr>
        <w:t>预付款项</w:t>
      </w:r>
    </w:p>
    <w:sdt>
      <w:sdtPr>
        <w:rPr>
          <w:rFonts w:hint="eastAsia" w:eastAsia="宋体" w:cs="宋体" w:asciiTheme="minorHAnsi" w:hAnsiTheme="minorHAnsi"/>
          <w:b w:val="0"/>
          <w:bCs w:val="0"/>
          <w:kern w:val="0"/>
          <w:szCs w:val="22"/>
        </w:rPr>
        <w:alias w:val="模块:预付款项按账龄列示"/>
        <w:tag w:val="_SEC_c3a77c7d5fc54cf3891eeb30bc294643"/>
        <w:id w:val="865724652"/>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82"/>
            </w:numPr>
            <w:ind w:left="426" w:hanging="426"/>
          </w:pPr>
          <w:r>
            <w:rPr>
              <w:rFonts w:hint="eastAsia"/>
            </w:rPr>
            <w:t>预付款项按账龄列示</w:t>
          </w:r>
        </w:p>
        <w:sdt>
          <w:sdtPr>
            <w:rPr>
              <w:rFonts w:hint="eastAsia"/>
            </w:rPr>
            <w:alias w:val="是否适用：预付款项按账龄列示[双击切换]"/>
            <w:tag w:val="_GBC_9c50af2eedb44a33921bab4a9f5ef35c"/>
            <w:id w:val="865724634"/>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财务附注：预付账款账龄"/>
              <w:tag w:val="_GBC_25e874c523c14d528beabbdb96c27981"/>
              <w:id w:val="865724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8657246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86"/>
            <w:gridCol w:w="1926"/>
            <w:gridCol w:w="1911"/>
            <w:gridCol w:w="1910"/>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37" w:hRule="atLeast"/>
            </w:trPr>
            <w:sdt>
              <w:sdtPr>
                <w:rPr>
                  <w:rFonts w:ascii="Times New Roman" w:hAnsi="Times New Roman" w:cs="Times New Roman"/>
                </w:rPr>
                <w:tag w:val="_PLD_497c76328aa14442bd9ed8d02efaffdc"/>
                <w:id w:val="865724637"/>
                <w:lock w:val="sdtLocked"/>
              </w:sdtPr>
              <w:sdtEndPr>
                <w:rPr>
                  <w:rFonts w:ascii="Times New Roman" w:hAnsi="Times New Roman" w:cs="Times New Roman"/>
                </w:rPr>
              </w:sdtEndPr>
              <w:sdtContent>
                <w:tc>
                  <w:tcPr>
                    <w:tcW w:w="765" w:type="pct"/>
                    <w:vMerge w:val="restart"/>
                    <w:vAlign w:val="center"/>
                  </w:tcPr>
                  <w:p>
                    <w:pPr>
                      <w:ind w:right="5"/>
                      <w:jc w:val="center"/>
                      <w:rPr>
                        <w:rFonts w:ascii="Times New Roman" w:hAnsi="Times New Roman" w:cs="Times New Roman"/>
                        <w:szCs w:val="21"/>
                      </w:rPr>
                    </w:pPr>
                    <w:r>
                      <w:rPr>
                        <w:rFonts w:ascii="Times New Roman" w:cs="Times New Roman"/>
                        <w:szCs w:val="21"/>
                      </w:rPr>
                      <w:t>账龄</w:t>
                    </w:r>
                  </w:p>
                </w:tc>
              </w:sdtContent>
            </w:sdt>
            <w:sdt>
              <w:sdtPr>
                <w:rPr>
                  <w:rFonts w:ascii="Times New Roman" w:hAnsi="Times New Roman" w:cs="Times New Roman"/>
                </w:rPr>
                <w:tag w:val="_PLD_3c7cef9fd55549768916decb59114918"/>
                <w:id w:val="865724638"/>
                <w:lock w:val="sdtLocked"/>
              </w:sdtPr>
              <w:sdtEndPr>
                <w:rPr>
                  <w:rFonts w:ascii="Times New Roman" w:hAnsi="Times New Roman" w:cs="Times New Roman"/>
                </w:rPr>
              </w:sdtEndPr>
              <w:sdtContent>
                <w:tc>
                  <w:tcPr>
                    <w:tcW w:w="2118" w:type="pct"/>
                    <w:gridSpan w:val="2"/>
                    <w:vAlign w:val="center"/>
                  </w:tcPr>
                  <w:p>
                    <w:pPr>
                      <w:ind w:right="5"/>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3338d9aea932468fa8faa1bef2db4526"/>
                <w:id w:val="865724639"/>
                <w:lock w:val="sdtLocked"/>
              </w:sdtPr>
              <w:sdtEndPr>
                <w:rPr>
                  <w:rFonts w:ascii="Times New Roman" w:hAnsi="Times New Roman" w:cs="Times New Roman"/>
                </w:rPr>
              </w:sdtEndPr>
              <w:sdtContent>
                <w:tc>
                  <w:tcPr>
                    <w:tcW w:w="2117" w:type="pct"/>
                    <w:gridSpan w:val="2"/>
                    <w:vAlign w:val="center"/>
                  </w:tcPr>
                  <w:p>
                    <w:pPr>
                      <w:ind w:right="5"/>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5" w:type="pct"/>
                <w:vMerge w:val="continue"/>
              </w:tcPr>
              <w:p>
                <w:pPr>
                  <w:rPr>
                    <w:rFonts w:ascii="Times New Roman" w:hAnsi="Times New Roman" w:cs="Times New Roman"/>
                    <w:szCs w:val="21"/>
                  </w:rPr>
                </w:pPr>
              </w:p>
            </w:tc>
            <w:sdt>
              <w:sdtPr>
                <w:rPr>
                  <w:rFonts w:ascii="Times New Roman" w:hAnsi="Times New Roman" w:cs="Times New Roman"/>
                </w:rPr>
                <w:tag w:val="_PLD_2b1b05d61c574fe485d979f04a81c8c9"/>
                <w:id w:val="865724640"/>
                <w:lock w:val="sdtLocked"/>
              </w:sdtPr>
              <w:sdtEndPr>
                <w:rPr>
                  <w:rFonts w:ascii="Times New Roman" w:hAnsi="Times New Roman" w:cs="Times New Roman"/>
                </w:rPr>
              </w:sdtEndPr>
              <w:sdtContent>
                <w:tc>
                  <w:tcPr>
                    <w:tcW w:w="1063" w:type="pct"/>
                    <w:vAlign w:val="center"/>
                  </w:tcPr>
                  <w:p>
                    <w:pPr>
                      <w:ind w:right="5"/>
                      <w:jc w:val="center"/>
                      <w:rPr>
                        <w:rFonts w:ascii="Times New Roman" w:hAnsi="Times New Roman" w:cs="Times New Roman"/>
                        <w:szCs w:val="21"/>
                      </w:rPr>
                    </w:pPr>
                    <w:r>
                      <w:rPr>
                        <w:rFonts w:ascii="Times New Roman" w:cs="Times New Roman"/>
                        <w:szCs w:val="21"/>
                      </w:rPr>
                      <w:t>金额</w:t>
                    </w:r>
                  </w:p>
                </w:tc>
              </w:sdtContent>
            </w:sdt>
            <w:sdt>
              <w:sdtPr>
                <w:rPr>
                  <w:rFonts w:ascii="Times New Roman" w:hAnsi="Times New Roman" w:cs="Times New Roman"/>
                </w:rPr>
                <w:tag w:val="_PLD_7faf25028eff45ce8c6bf33a9060f296"/>
                <w:id w:val="865724641"/>
                <w:lock w:val="sdtLocked"/>
              </w:sdtPr>
              <w:sdtEndPr>
                <w:rPr>
                  <w:rFonts w:ascii="Times New Roman" w:hAnsi="Times New Roman" w:cs="Times New Roman"/>
                </w:rPr>
              </w:sdtEndPr>
              <w:sdtContent>
                <w:tc>
                  <w:tcPr>
                    <w:tcW w:w="1055" w:type="pct"/>
                    <w:vAlign w:val="center"/>
                  </w:tcPr>
                  <w:p>
                    <w:pPr>
                      <w:ind w:right="5"/>
                      <w:jc w:val="center"/>
                      <w:rPr>
                        <w:rFonts w:ascii="Times New Roman" w:hAnsi="Times New Roman" w:cs="Times New Roman"/>
                        <w:szCs w:val="21"/>
                      </w:rPr>
                    </w:pPr>
                    <w:r>
                      <w:rPr>
                        <w:rFonts w:ascii="Times New Roman" w:cs="Times New Roman"/>
                        <w:szCs w:val="21"/>
                      </w:rPr>
                      <w:t>比例</w:t>
                    </w:r>
                    <w:r>
                      <w:rPr>
                        <w:rFonts w:ascii="Times New Roman" w:hAnsi="Times New Roman" w:cs="Times New Roman"/>
                        <w:szCs w:val="21"/>
                      </w:rPr>
                      <w:t>(%)</w:t>
                    </w:r>
                  </w:p>
                </w:tc>
              </w:sdtContent>
            </w:sdt>
            <w:sdt>
              <w:sdtPr>
                <w:rPr>
                  <w:rFonts w:ascii="Times New Roman" w:hAnsi="Times New Roman" w:cs="Times New Roman"/>
                </w:rPr>
                <w:tag w:val="_PLD_56219e7f20ba4e60b1a3edd32c1c534e"/>
                <w:id w:val="865724642"/>
                <w:lock w:val="sdtLocked"/>
              </w:sdtPr>
              <w:sdtEndPr>
                <w:rPr>
                  <w:rFonts w:ascii="Times New Roman" w:hAnsi="Times New Roman" w:cs="Times New Roman"/>
                </w:rPr>
              </w:sdtEndPr>
              <w:sdtContent>
                <w:tc>
                  <w:tcPr>
                    <w:tcW w:w="1054" w:type="pct"/>
                    <w:vAlign w:val="center"/>
                  </w:tcPr>
                  <w:p>
                    <w:pPr>
                      <w:ind w:right="5"/>
                      <w:jc w:val="center"/>
                      <w:rPr>
                        <w:rFonts w:ascii="Times New Roman" w:hAnsi="Times New Roman" w:cs="Times New Roman"/>
                        <w:szCs w:val="21"/>
                      </w:rPr>
                    </w:pPr>
                    <w:r>
                      <w:rPr>
                        <w:rFonts w:ascii="Times New Roman" w:cs="Times New Roman"/>
                        <w:szCs w:val="21"/>
                      </w:rPr>
                      <w:t>金额</w:t>
                    </w:r>
                  </w:p>
                </w:tc>
              </w:sdtContent>
            </w:sdt>
            <w:sdt>
              <w:sdtPr>
                <w:rPr>
                  <w:rFonts w:ascii="Times New Roman" w:hAnsi="Times New Roman" w:cs="Times New Roman"/>
                </w:rPr>
                <w:tag w:val="_PLD_430fca228ced43ada83018b2091f7abf"/>
                <w:id w:val="865724643"/>
                <w:lock w:val="sdtLocked"/>
              </w:sdtPr>
              <w:sdtEndPr>
                <w:rPr>
                  <w:rFonts w:ascii="Times New Roman" w:hAnsi="Times New Roman" w:cs="Times New Roman"/>
                </w:rPr>
              </w:sdtEndPr>
              <w:sdtContent>
                <w:tc>
                  <w:tcPr>
                    <w:tcW w:w="1063" w:type="pct"/>
                    <w:vAlign w:val="center"/>
                  </w:tcPr>
                  <w:p>
                    <w:pPr>
                      <w:ind w:right="5"/>
                      <w:jc w:val="center"/>
                      <w:rPr>
                        <w:rFonts w:ascii="Times New Roman" w:hAnsi="Times New Roman" w:cs="Times New Roman"/>
                        <w:szCs w:val="21"/>
                      </w:rPr>
                    </w:pPr>
                    <w:r>
                      <w:rPr>
                        <w:rFonts w:ascii="Times New Roman" w:cs="Times New Roman"/>
                        <w:szCs w:val="21"/>
                      </w:rPr>
                      <w:t>比例</w:t>
                    </w:r>
                    <w:r>
                      <w:rPr>
                        <w:rFonts w:ascii="Times New Roman" w:hAnsi="Times New Roman" w:cs="Times New Roman"/>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99" w:hRule="atLeast"/>
            </w:trPr>
            <w:sdt>
              <w:sdtPr>
                <w:rPr>
                  <w:rFonts w:ascii="Times New Roman" w:hAnsi="Times New Roman" w:cs="Times New Roman"/>
                </w:rPr>
                <w:tag w:val="_PLD_174778f02a0244e0b2b8c44129503d0e"/>
                <w:id w:val="865724644"/>
                <w:lock w:val="sdtLocked"/>
              </w:sdtPr>
              <w:sdtEndPr>
                <w:rPr>
                  <w:rFonts w:ascii="Times New Roman" w:hAnsi="Times New Roman" w:cs="Times New Roman"/>
                </w:rPr>
              </w:sdtEndPr>
              <w:sdtContent>
                <w:tc>
                  <w:tcPr>
                    <w:tcW w:w="765" w:type="pct"/>
                  </w:tcPr>
                  <w:p>
                    <w:pPr>
                      <w:ind w:right="5"/>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年以内</w:t>
                    </w:r>
                  </w:p>
                </w:tc>
              </w:sdtContent>
            </w:sdt>
            <w:tc>
              <w:tcPr>
                <w:tcW w:w="1063" w:type="pct"/>
                <w:vAlign w:val="center"/>
              </w:tcPr>
              <w:p>
                <w:pPr>
                  <w:ind w:right="5"/>
                  <w:jc w:val="right"/>
                  <w:rPr>
                    <w:rFonts w:ascii="Times New Roman" w:hAnsi="Times New Roman" w:cs="Times New Roman"/>
                    <w:szCs w:val="21"/>
                  </w:rPr>
                </w:pPr>
                <w:r>
                  <w:rPr>
                    <w:rFonts w:ascii="Times New Roman" w:hAnsi="Times New Roman" w:cs="Times New Roman"/>
                  </w:rPr>
                  <w:t>21,302,237.60</w:t>
                </w:r>
              </w:p>
            </w:tc>
            <w:tc>
              <w:tcPr>
                <w:tcW w:w="1055" w:type="pct"/>
                <w:vAlign w:val="center"/>
              </w:tcPr>
              <w:p>
                <w:pPr>
                  <w:ind w:right="5"/>
                  <w:jc w:val="right"/>
                  <w:rPr>
                    <w:rFonts w:ascii="Times New Roman" w:hAnsi="Times New Roman" w:cs="Times New Roman"/>
                    <w:szCs w:val="21"/>
                  </w:rPr>
                </w:pPr>
                <w:r>
                  <w:rPr>
                    <w:rFonts w:ascii="Times New Roman" w:hAnsi="Times New Roman" w:cs="Times New Roman"/>
                  </w:rPr>
                  <w:t>90.91</w:t>
                </w:r>
              </w:p>
            </w:tc>
            <w:tc>
              <w:tcPr>
                <w:tcW w:w="1054" w:type="pct"/>
                <w:vAlign w:val="center"/>
              </w:tcPr>
              <w:p>
                <w:pPr>
                  <w:ind w:right="5"/>
                  <w:jc w:val="right"/>
                  <w:rPr>
                    <w:rFonts w:ascii="Times New Roman" w:hAnsi="Times New Roman" w:cs="Times New Roman"/>
                    <w:szCs w:val="21"/>
                  </w:rPr>
                </w:pPr>
                <w:r>
                  <w:rPr>
                    <w:rFonts w:ascii="Times New Roman" w:hAnsi="Times New Roman" w:cs="Times New Roman"/>
                  </w:rPr>
                  <w:t>15,326,182.61</w:t>
                </w:r>
              </w:p>
            </w:tc>
            <w:tc>
              <w:tcPr>
                <w:tcW w:w="1063" w:type="pct"/>
                <w:vAlign w:val="center"/>
              </w:tcPr>
              <w:p>
                <w:pPr>
                  <w:ind w:right="5"/>
                  <w:jc w:val="right"/>
                  <w:rPr>
                    <w:rFonts w:ascii="Times New Roman" w:hAnsi="Times New Roman" w:cs="Times New Roman"/>
                    <w:szCs w:val="21"/>
                  </w:rPr>
                </w:pPr>
                <w:r>
                  <w:rPr>
                    <w:rFonts w:ascii="Times New Roman" w:hAnsi="Times New Roman" w:cs="Times New Roman"/>
                  </w:rPr>
                  <w:t>96.59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4b385111cb5344928917e1906f5b2ab9"/>
                <w:id w:val="865724645"/>
                <w:lock w:val="sdtLocked"/>
              </w:sdtPr>
              <w:sdtEndPr>
                <w:rPr>
                  <w:rFonts w:ascii="Times New Roman" w:hAnsi="Times New Roman" w:cs="Times New Roman"/>
                </w:rPr>
              </w:sdtEndPr>
              <w:sdtContent>
                <w:tc>
                  <w:tcPr>
                    <w:tcW w:w="765" w:type="pct"/>
                  </w:tcPr>
                  <w:p>
                    <w:pPr>
                      <w:ind w:right="5"/>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至</w:t>
                    </w:r>
                    <w:r>
                      <w:rPr>
                        <w:rFonts w:ascii="Times New Roman" w:hAnsi="Times New Roman" w:cs="Times New Roman"/>
                        <w:szCs w:val="21"/>
                      </w:rPr>
                      <w:t>2</w:t>
                    </w:r>
                    <w:r>
                      <w:rPr>
                        <w:rFonts w:ascii="Times New Roman" w:cs="Times New Roman"/>
                        <w:szCs w:val="21"/>
                      </w:rPr>
                      <w:t>年</w:t>
                    </w:r>
                  </w:p>
                </w:tc>
              </w:sdtContent>
            </w:sdt>
            <w:tc>
              <w:tcPr>
                <w:tcW w:w="1063" w:type="pct"/>
                <w:vAlign w:val="center"/>
              </w:tcPr>
              <w:p>
                <w:pPr>
                  <w:ind w:right="5"/>
                  <w:jc w:val="right"/>
                  <w:rPr>
                    <w:rFonts w:ascii="Times New Roman" w:hAnsi="Times New Roman" w:cs="Times New Roman"/>
                    <w:szCs w:val="21"/>
                  </w:rPr>
                </w:pPr>
                <w:r>
                  <w:rPr>
                    <w:rFonts w:ascii="Times New Roman" w:hAnsi="Times New Roman" w:cs="Times New Roman"/>
                  </w:rPr>
                  <w:t>1,657,779.54</w:t>
                </w:r>
              </w:p>
            </w:tc>
            <w:tc>
              <w:tcPr>
                <w:tcW w:w="1055" w:type="pct"/>
                <w:vAlign w:val="center"/>
              </w:tcPr>
              <w:p>
                <w:pPr>
                  <w:ind w:right="5"/>
                  <w:jc w:val="right"/>
                  <w:rPr>
                    <w:rFonts w:ascii="Times New Roman" w:hAnsi="Times New Roman" w:cs="Times New Roman"/>
                    <w:szCs w:val="21"/>
                  </w:rPr>
                </w:pPr>
                <w:r>
                  <w:rPr>
                    <w:rFonts w:ascii="Times New Roman" w:hAnsi="Times New Roman" w:cs="Times New Roman"/>
                  </w:rPr>
                  <w:t>7.08</w:t>
                </w:r>
              </w:p>
            </w:tc>
            <w:tc>
              <w:tcPr>
                <w:tcW w:w="1054" w:type="pct"/>
                <w:vAlign w:val="center"/>
              </w:tcPr>
              <w:p>
                <w:pPr>
                  <w:ind w:right="5"/>
                  <w:jc w:val="right"/>
                  <w:rPr>
                    <w:rFonts w:ascii="Times New Roman" w:hAnsi="Times New Roman" w:cs="Times New Roman"/>
                    <w:szCs w:val="21"/>
                  </w:rPr>
                </w:pPr>
                <w:r>
                  <w:rPr>
                    <w:rFonts w:ascii="Times New Roman" w:hAnsi="Times New Roman" w:cs="Times New Roman"/>
                  </w:rPr>
                  <w:t>252,384.56</w:t>
                </w:r>
              </w:p>
            </w:tc>
            <w:tc>
              <w:tcPr>
                <w:tcW w:w="1063" w:type="pct"/>
                <w:vAlign w:val="center"/>
              </w:tcPr>
              <w:p>
                <w:pPr>
                  <w:ind w:right="5"/>
                  <w:jc w:val="right"/>
                  <w:rPr>
                    <w:rFonts w:ascii="Times New Roman" w:hAnsi="Times New Roman" w:cs="Times New Roman"/>
                    <w:szCs w:val="21"/>
                  </w:rPr>
                </w:pPr>
                <w:r>
                  <w:rPr>
                    <w:rFonts w:ascii="Times New Roman" w:hAnsi="Times New Roman" w:cs="Times New Roman"/>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eea945633abf49e9bb136b919b3abb21"/>
                <w:id w:val="865724646"/>
                <w:lock w:val="sdtLocked"/>
              </w:sdtPr>
              <w:sdtEndPr>
                <w:rPr>
                  <w:rFonts w:ascii="Times New Roman" w:hAnsi="Times New Roman" w:cs="Times New Roman"/>
                </w:rPr>
              </w:sdtEndPr>
              <w:sdtContent>
                <w:tc>
                  <w:tcPr>
                    <w:tcW w:w="765" w:type="pct"/>
                  </w:tcPr>
                  <w:p>
                    <w:pPr>
                      <w:ind w:right="5"/>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至</w:t>
                    </w:r>
                    <w:r>
                      <w:rPr>
                        <w:rFonts w:ascii="Times New Roman" w:hAnsi="Times New Roman" w:cs="Times New Roman"/>
                        <w:szCs w:val="21"/>
                      </w:rPr>
                      <w:t>3</w:t>
                    </w:r>
                    <w:r>
                      <w:rPr>
                        <w:rFonts w:ascii="Times New Roman" w:cs="Times New Roman"/>
                        <w:szCs w:val="21"/>
                      </w:rPr>
                      <w:t>年</w:t>
                    </w:r>
                  </w:p>
                </w:tc>
              </w:sdtContent>
            </w:sdt>
            <w:tc>
              <w:tcPr>
                <w:tcW w:w="1063" w:type="pct"/>
                <w:vAlign w:val="center"/>
              </w:tcPr>
              <w:p>
                <w:pPr>
                  <w:ind w:right="5"/>
                  <w:jc w:val="right"/>
                  <w:rPr>
                    <w:rFonts w:ascii="Times New Roman" w:hAnsi="Times New Roman" w:cs="Times New Roman"/>
                    <w:szCs w:val="21"/>
                  </w:rPr>
                </w:pPr>
                <w:r>
                  <w:rPr>
                    <w:rFonts w:ascii="Times New Roman" w:hAnsi="Times New Roman" w:cs="Times New Roman"/>
                  </w:rPr>
                  <w:t>237,550.22</w:t>
                </w:r>
              </w:p>
            </w:tc>
            <w:tc>
              <w:tcPr>
                <w:tcW w:w="1055" w:type="pct"/>
                <w:vAlign w:val="center"/>
              </w:tcPr>
              <w:p>
                <w:pPr>
                  <w:ind w:right="5"/>
                  <w:jc w:val="right"/>
                  <w:rPr>
                    <w:rFonts w:ascii="Times New Roman" w:hAnsi="Times New Roman" w:cs="Times New Roman"/>
                    <w:szCs w:val="21"/>
                  </w:rPr>
                </w:pPr>
                <w:r>
                  <w:rPr>
                    <w:rFonts w:ascii="Times New Roman" w:hAnsi="Times New Roman" w:cs="Times New Roman"/>
                  </w:rPr>
                  <w:t>1.01</w:t>
                </w:r>
              </w:p>
            </w:tc>
            <w:tc>
              <w:tcPr>
                <w:tcW w:w="1054" w:type="pct"/>
                <w:vAlign w:val="center"/>
              </w:tcPr>
              <w:p>
                <w:pPr>
                  <w:ind w:right="5"/>
                  <w:jc w:val="right"/>
                  <w:rPr>
                    <w:rFonts w:ascii="Times New Roman" w:hAnsi="Times New Roman" w:cs="Times New Roman"/>
                    <w:szCs w:val="21"/>
                  </w:rPr>
                </w:pPr>
                <w:r>
                  <w:rPr>
                    <w:rFonts w:ascii="Times New Roman" w:hAnsi="Times New Roman" w:cs="Times New Roman"/>
                  </w:rPr>
                  <w:t>14,941.68</w:t>
                </w:r>
              </w:p>
            </w:tc>
            <w:tc>
              <w:tcPr>
                <w:tcW w:w="1063" w:type="pct"/>
                <w:vAlign w:val="center"/>
              </w:tcPr>
              <w:p>
                <w:pPr>
                  <w:ind w:right="5"/>
                  <w:jc w:val="right"/>
                  <w:rPr>
                    <w:rFonts w:ascii="Times New Roman" w:hAnsi="Times New Roman" w:cs="Times New Roman"/>
                    <w:szCs w:val="21"/>
                  </w:rPr>
                </w:pPr>
                <w:r>
                  <w:rPr>
                    <w:rFonts w:ascii="Times New Roman" w:hAnsi="Times New Roman" w:cs="Times New Roma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62c62dab318848a98f90bfda1a77337c"/>
                <w:id w:val="865724647"/>
                <w:lock w:val="sdtLocked"/>
              </w:sdtPr>
              <w:sdtEndPr>
                <w:rPr>
                  <w:rFonts w:ascii="Times New Roman" w:hAnsi="Times New Roman" w:cs="Times New Roman"/>
                </w:rPr>
              </w:sdtEndPr>
              <w:sdtContent>
                <w:tc>
                  <w:tcPr>
                    <w:tcW w:w="765" w:type="pct"/>
                  </w:tcPr>
                  <w:p>
                    <w:pPr>
                      <w:ind w:right="5"/>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年以上</w:t>
                    </w:r>
                  </w:p>
                </w:tc>
              </w:sdtContent>
            </w:sdt>
            <w:tc>
              <w:tcPr>
                <w:tcW w:w="1063" w:type="pct"/>
                <w:vAlign w:val="center"/>
              </w:tcPr>
              <w:p>
                <w:pPr>
                  <w:ind w:right="5"/>
                  <w:jc w:val="right"/>
                  <w:rPr>
                    <w:rFonts w:ascii="Times New Roman" w:hAnsi="Times New Roman" w:cs="Times New Roman"/>
                    <w:szCs w:val="21"/>
                  </w:rPr>
                </w:pPr>
                <w:r>
                  <w:rPr>
                    <w:rFonts w:ascii="Times New Roman" w:hAnsi="Times New Roman" w:cs="Times New Roman"/>
                  </w:rPr>
                  <w:t>233,566.27</w:t>
                </w:r>
              </w:p>
            </w:tc>
            <w:tc>
              <w:tcPr>
                <w:tcW w:w="1055" w:type="pct"/>
                <w:vAlign w:val="center"/>
              </w:tcPr>
              <w:p>
                <w:pPr>
                  <w:ind w:right="5"/>
                  <w:jc w:val="right"/>
                  <w:rPr>
                    <w:rFonts w:ascii="Times New Roman" w:hAnsi="Times New Roman" w:cs="Times New Roman"/>
                    <w:szCs w:val="21"/>
                  </w:rPr>
                </w:pPr>
                <w:r>
                  <w:rPr>
                    <w:rFonts w:ascii="Times New Roman" w:hAnsi="Times New Roman" w:cs="Times New Roman"/>
                  </w:rPr>
                  <w:t>1.00</w:t>
                </w:r>
              </w:p>
            </w:tc>
            <w:tc>
              <w:tcPr>
                <w:tcW w:w="1054" w:type="pct"/>
                <w:vAlign w:val="center"/>
              </w:tcPr>
              <w:p>
                <w:pPr>
                  <w:ind w:right="5"/>
                  <w:jc w:val="right"/>
                  <w:rPr>
                    <w:rFonts w:ascii="Times New Roman" w:hAnsi="Times New Roman" w:cs="Times New Roman"/>
                    <w:szCs w:val="21"/>
                  </w:rPr>
                </w:pPr>
                <w:r>
                  <w:rPr>
                    <w:rFonts w:ascii="Times New Roman" w:hAnsi="Times New Roman" w:cs="Times New Roman"/>
                  </w:rPr>
                  <w:t>273,236.40</w:t>
                </w:r>
              </w:p>
            </w:tc>
            <w:tc>
              <w:tcPr>
                <w:tcW w:w="1063" w:type="pct"/>
                <w:vAlign w:val="center"/>
              </w:tcPr>
              <w:p>
                <w:pPr>
                  <w:ind w:right="5"/>
                  <w:jc w:val="right"/>
                  <w:rPr>
                    <w:rFonts w:ascii="Times New Roman" w:hAnsi="Times New Roman" w:cs="Times New Roman"/>
                    <w:szCs w:val="21"/>
                  </w:rPr>
                </w:pPr>
                <w:r>
                  <w:rPr>
                    <w:rFonts w:ascii="Times New Roman" w:hAnsi="Times New Roman" w:cs="Times New Roman"/>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a51bfbd8cae641f4b76a376fea94ac53"/>
                <w:id w:val="865724650"/>
                <w:lock w:val="sdtLocked"/>
              </w:sdtPr>
              <w:sdtEndPr>
                <w:rPr>
                  <w:rFonts w:ascii="Times New Roman" w:hAnsi="Times New Roman" w:cs="Times New Roman"/>
                </w:rPr>
              </w:sdtEndPr>
              <w:sdtContent>
                <w:tc>
                  <w:tcPr>
                    <w:tcW w:w="765" w:type="pct"/>
                  </w:tcPr>
                  <w:p>
                    <w:pPr>
                      <w:ind w:right="5"/>
                      <w:jc w:val="center"/>
                      <w:rPr>
                        <w:rFonts w:ascii="Times New Roman" w:hAnsi="Times New Roman" w:cs="Times New Roman"/>
                        <w:szCs w:val="21"/>
                      </w:rPr>
                    </w:pPr>
                    <w:r>
                      <w:rPr>
                        <w:rFonts w:ascii="Times New Roman" w:cs="Times New Roman"/>
                        <w:szCs w:val="21"/>
                      </w:rPr>
                      <w:t>合计</w:t>
                    </w:r>
                  </w:p>
                </w:tc>
              </w:sdtContent>
            </w:sdt>
            <w:tc>
              <w:tcPr>
                <w:tcW w:w="1063" w:type="pct"/>
                <w:vAlign w:val="center"/>
              </w:tcPr>
              <w:p>
                <w:pPr>
                  <w:jc w:val="right"/>
                  <w:rPr>
                    <w:rFonts w:ascii="Times New Roman" w:hAnsi="Times New Roman" w:cs="Times New Roman"/>
                    <w:sz w:val="24"/>
                  </w:rPr>
                </w:pPr>
                <w:r>
                  <w:rPr>
                    <w:rFonts w:ascii="Times New Roman" w:hAnsi="Times New Roman" w:cs="Times New Roman"/>
                  </w:rPr>
                  <w:t>23,431,133.63</w:t>
                </w:r>
              </w:p>
            </w:tc>
            <w:tc>
              <w:tcPr>
                <w:tcW w:w="1055" w:type="pct"/>
                <w:vAlign w:val="center"/>
              </w:tcPr>
              <w:p>
                <w:pPr>
                  <w:jc w:val="right"/>
                  <w:rPr>
                    <w:rFonts w:ascii="Times New Roman" w:hAnsi="Times New Roman" w:cs="Times New Roman"/>
                    <w:sz w:val="24"/>
                  </w:rPr>
                </w:pPr>
                <w:r>
                  <w:rPr>
                    <w:rFonts w:ascii="Times New Roman" w:hAnsi="Times New Roman" w:cs="Times New Roman"/>
                  </w:rPr>
                  <w:t>100</w:t>
                </w:r>
              </w:p>
            </w:tc>
            <w:tc>
              <w:tcPr>
                <w:tcW w:w="1054" w:type="pct"/>
                <w:vAlign w:val="center"/>
              </w:tcPr>
              <w:p>
                <w:pPr>
                  <w:jc w:val="right"/>
                  <w:rPr>
                    <w:rFonts w:ascii="Times New Roman" w:hAnsi="Times New Roman" w:cs="Times New Roman"/>
                    <w:sz w:val="24"/>
                  </w:rPr>
                </w:pPr>
                <w:r>
                  <w:rPr>
                    <w:rFonts w:ascii="Times New Roman" w:hAnsi="Times New Roman" w:cs="Times New Roman"/>
                  </w:rPr>
                  <w:t>15,866,745.25</w:t>
                </w:r>
              </w:p>
            </w:tc>
            <w:tc>
              <w:tcPr>
                <w:tcW w:w="1063" w:type="pct"/>
                <w:vAlign w:val="center"/>
              </w:tcPr>
              <w:p>
                <w:pPr>
                  <w:jc w:val="right"/>
                  <w:rPr>
                    <w:rFonts w:ascii="Times New Roman" w:hAnsi="Times New Roman" w:cs="Times New Roman"/>
                    <w:sz w:val="24"/>
                  </w:rPr>
                </w:pPr>
                <w:r>
                  <w:rPr>
                    <w:rFonts w:ascii="Times New Roman" w:hAnsi="Times New Roman" w:cs="Times New Roman"/>
                  </w:rPr>
                  <w:t>100</w:t>
                </w:r>
              </w:p>
            </w:tc>
          </w:tr>
        </w:tbl>
        <w:p/>
        <w:p>
          <w:pPr>
            <w:rPr>
              <w:szCs w:val="21"/>
            </w:rPr>
          </w:pPr>
          <w:r>
            <w:t>账</w:t>
          </w:r>
          <w:r>
            <w:rPr>
              <w:rFonts w:hint="eastAsia"/>
              <w:szCs w:val="21"/>
            </w:rPr>
            <w:t>龄超过1年且金额重要的预付款项未及时结算原因</w:t>
          </w:r>
          <w:r>
            <w:rPr>
              <w:szCs w:val="21"/>
            </w:rPr>
            <w:t>的说明：</w:t>
          </w:r>
        </w:p>
        <w:tbl>
          <w:tblPr>
            <w:tblStyle w:val="10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712"/>
            <w:gridCol w:w="1868"/>
            <w:gridCol w:w="1086"/>
            <w:gridCol w:w="2862"/>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590"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单位名称</w:t>
                </w:r>
              </w:p>
            </w:tc>
            <w:tc>
              <w:tcPr>
                <w:tcW w:w="1095"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期末余额</w:t>
                </w:r>
              </w:p>
            </w:tc>
            <w:tc>
              <w:tcPr>
                <w:tcW w:w="637"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账龄</w:t>
                </w:r>
              </w:p>
            </w:tc>
            <w:tc>
              <w:tcPr>
                <w:tcW w:w="1678"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未及时结算原因</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90" w:type="pct"/>
                <w:shd w:val="clear" w:color="auto" w:fill="auto"/>
                <w:vAlign w:val="center"/>
              </w:tcPr>
              <w:p>
                <w:pPr>
                  <w:spacing w:line="480" w:lineRule="exact"/>
                  <w:rPr>
                    <w:rFonts w:ascii="Times New Roman" w:hAnsi="Times New Roman" w:cs="Times New Roman"/>
                    <w:sz w:val="18"/>
                    <w:szCs w:val="18"/>
                  </w:rPr>
                </w:pPr>
                <w:r>
                  <w:rPr>
                    <w:rFonts w:ascii="Times New Roman" w:cs="Times New Roman"/>
                    <w:sz w:val="18"/>
                    <w:szCs w:val="18"/>
                  </w:rPr>
                  <w:t>山东淄博俱进化工有限公司</w:t>
                </w:r>
              </w:p>
            </w:tc>
            <w:tc>
              <w:tcPr>
                <w:tcW w:w="1095" w:type="pct"/>
                <w:shd w:val="clear" w:color="auto" w:fill="auto"/>
                <w:vAlign w:val="bottom"/>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 xml:space="preserve">  232,500.00 </w:t>
                </w:r>
              </w:p>
            </w:tc>
            <w:tc>
              <w:tcPr>
                <w:tcW w:w="637" w:type="pct"/>
                <w:shd w:val="clear" w:color="auto" w:fill="auto"/>
                <w:vAlign w:val="center"/>
              </w:tcPr>
              <w:p>
                <w:pPr>
                  <w:spacing w:line="480" w:lineRule="exact"/>
                  <w:jc w:val="center"/>
                  <w:rPr>
                    <w:rFonts w:ascii="Times New Roman" w:hAnsi="Times New Roman" w:cs="Times New Roman"/>
                    <w:sz w:val="18"/>
                    <w:szCs w:val="18"/>
                  </w:rPr>
                </w:pPr>
                <w:r>
                  <w:rPr>
                    <w:rFonts w:ascii="Times New Roman" w:hAnsi="Times New Roman" w:cs="Times New Roman"/>
                    <w:sz w:val="18"/>
                    <w:szCs w:val="18"/>
                  </w:rPr>
                  <w:t>1-2</w:t>
                </w:r>
                <w:r>
                  <w:rPr>
                    <w:rFonts w:ascii="Times New Roman" w:cs="Times New Roman"/>
                    <w:sz w:val="18"/>
                    <w:szCs w:val="18"/>
                  </w:rPr>
                  <w:t>年</w:t>
                </w:r>
              </w:p>
            </w:tc>
            <w:tc>
              <w:tcPr>
                <w:tcW w:w="1678"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货未到未结算</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90" w:type="pct"/>
                <w:shd w:val="clear" w:color="auto" w:fill="auto"/>
                <w:vAlign w:val="center"/>
              </w:tcPr>
              <w:p>
                <w:pPr>
                  <w:spacing w:line="480" w:lineRule="exact"/>
                  <w:rPr>
                    <w:rFonts w:ascii="Times New Roman" w:hAnsi="Times New Roman" w:cs="Times New Roman"/>
                    <w:sz w:val="18"/>
                    <w:szCs w:val="18"/>
                  </w:rPr>
                </w:pPr>
                <w:r>
                  <w:rPr>
                    <w:rFonts w:ascii="Times New Roman" w:cs="Times New Roman"/>
                    <w:sz w:val="18"/>
                    <w:szCs w:val="18"/>
                  </w:rPr>
                  <w:t>宜兴玉海包装材料有限公司</w:t>
                </w:r>
              </w:p>
            </w:tc>
            <w:tc>
              <w:tcPr>
                <w:tcW w:w="1095" w:type="pct"/>
                <w:shd w:val="clear" w:color="auto" w:fill="auto"/>
                <w:vAlign w:val="bottom"/>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 xml:space="preserve">  180,304.70 </w:t>
                </w:r>
              </w:p>
            </w:tc>
            <w:tc>
              <w:tcPr>
                <w:tcW w:w="637" w:type="pct"/>
                <w:shd w:val="clear" w:color="auto" w:fill="auto"/>
                <w:vAlign w:val="center"/>
              </w:tcPr>
              <w:p>
                <w:pPr>
                  <w:spacing w:line="480" w:lineRule="exact"/>
                  <w:jc w:val="center"/>
                  <w:rPr>
                    <w:rFonts w:ascii="Times New Roman" w:hAnsi="Times New Roman" w:cs="Times New Roman"/>
                    <w:sz w:val="18"/>
                    <w:szCs w:val="18"/>
                  </w:rPr>
                </w:pPr>
                <w:r>
                  <w:rPr>
                    <w:rFonts w:ascii="Times New Roman" w:hAnsi="Times New Roman" w:cs="Times New Roman"/>
                    <w:sz w:val="18"/>
                    <w:szCs w:val="18"/>
                  </w:rPr>
                  <w:t>2-3</w:t>
                </w:r>
                <w:r>
                  <w:rPr>
                    <w:rFonts w:ascii="Times New Roman" w:cs="Times New Roman"/>
                    <w:sz w:val="18"/>
                    <w:szCs w:val="18"/>
                  </w:rPr>
                  <w:t>年</w:t>
                </w:r>
              </w:p>
            </w:tc>
            <w:tc>
              <w:tcPr>
                <w:tcW w:w="1678"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货未到未结算</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90" w:type="pct"/>
                <w:shd w:val="clear" w:color="auto" w:fill="auto"/>
                <w:vAlign w:val="center"/>
              </w:tcPr>
              <w:p>
                <w:pPr>
                  <w:spacing w:line="480" w:lineRule="exact"/>
                  <w:rPr>
                    <w:rFonts w:ascii="Times New Roman" w:hAnsi="Times New Roman" w:cs="Times New Roman"/>
                    <w:sz w:val="18"/>
                    <w:szCs w:val="18"/>
                  </w:rPr>
                </w:pPr>
                <w:r>
                  <w:rPr>
                    <w:rFonts w:ascii="Times New Roman" w:cs="Times New Roman"/>
                    <w:sz w:val="18"/>
                    <w:szCs w:val="18"/>
                  </w:rPr>
                  <w:t>上海百文会展有限公司</w:t>
                </w:r>
              </w:p>
            </w:tc>
            <w:tc>
              <w:tcPr>
                <w:tcW w:w="1095" w:type="pct"/>
                <w:shd w:val="clear" w:color="auto" w:fill="auto"/>
                <w:vAlign w:val="bottom"/>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 xml:space="preserve">  176,603.77 </w:t>
                </w:r>
              </w:p>
            </w:tc>
            <w:tc>
              <w:tcPr>
                <w:tcW w:w="637" w:type="pct"/>
                <w:shd w:val="clear" w:color="auto" w:fill="auto"/>
                <w:vAlign w:val="center"/>
              </w:tcPr>
              <w:p>
                <w:pPr>
                  <w:spacing w:line="480" w:lineRule="exact"/>
                  <w:jc w:val="center"/>
                  <w:rPr>
                    <w:rFonts w:ascii="Times New Roman" w:hAnsi="Times New Roman" w:cs="Times New Roman"/>
                    <w:sz w:val="18"/>
                    <w:szCs w:val="18"/>
                  </w:rPr>
                </w:pPr>
                <w:r>
                  <w:rPr>
                    <w:rFonts w:ascii="Times New Roman" w:hAnsi="Times New Roman" w:cs="Times New Roman"/>
                    <w:sz w:val="18"/>
                    <w:szCs w:val="18"/>
                  </w:rPr>
                  <w:t>1-2</w:t>
                </w:r>
                <w:r>
                  <w:rPr>
                    <w:rFonts w:ascii="Times New Roman" w:cs="Times New Roman"/>
                    <w:sz w:val="18"/>
                    <w:szCs w:val="18"/>
                  </w:rPr>
                  <w:t>年</w:t>
                </w:r>
              </w:p>
            </w:tc>
            <w:tc>
              <w:tcPr>
                <w:tcW w:w="1678"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货未到未结算</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590"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合计</w:t>
                </w:r>
              </w:p>
            </w:tc>
            <w:tc>
              <w:tcPr>
                <w:tcW w:w="1095" w:type="pct"/>
                <w:shd w:val="clear" w:color="auto" w:fill="auto"/>
                <w:vAlign w:val="bottom"/>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589,408.47</w:t>
                </w:r>
              </w:p>
            </w:tc>
            <w:tc>
              <w:tcPr>
                <w:tcW w:w="637"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hAnsi="Arial Narrow" w:cs="Times New Roman"/>
                    <w:color w:val="000000"/>
                    <w:sz w:val="18"/>
                    <w:szCs w:val="18"/>
                  </w:rPr>
                  <w:t>　</w:t>
                </w:r>
              </w:p>
            </w:tc>
            <w:tc>
              <w:tcPr>
                <w:tcW w:w="1678" w:type="pct"/>
                <w:shd w:val="clear" w:color="auto" w:fill="auto"/>
                <w:vAlign w:val="center"/>
              </w:tcPr>
              <w:p>
                <w:pPr>
                  <w:widowControl w:val="0"/>
                  <w:spacing w:line="480" w:lineRule="exact"/>
                  <w:rPr>
                    <w:rFonts w:ascii="Times New Roman" w:hAnsi="Times New Roman" w:cs="Times New Roman"/>
                    <w:color w:val="000000"/>
                    <w:sz w:val="18"/>
                    <w:szCs w:val="18"/>
                  </w:rPr>
                </w:pPr>
                <w:r>
                  <w:rPr>
                    <w:rFonts w:ascii="Times New Roman" w:hAnsi="Arial Narrow" w:cs="Times New Roman"/>
                    <w:color w:val="000000"/>
                    <w:sz w:val="18"/>
                    <w:szCs w:val="18"/>
                  </w:rPr>
                  <w:t>　</w:t>
                </w:r>
              </w:p>
            </w:tc>
          </w:tr>
        </w:tbl>
        <w:p/>
      </w:sdtContent>
    </w:sdt>
    <w:sdt>
      <w:sdtPr>
        <w:rPr>
          <w:rFonts w:hint="eastAsia" w:ascii="宋体" w:hAnsi="宋体" w:eastAsia="宋体" w:cs="宋体"/>
          <w:b w:val="0"/>
          <w:bCs w:val="0"/>
          <w:kern w:val="0"/>
          <w:szCs w:val="24"/>
        </w:rPr>
        <w:alias w:val="模块:预付款项金额前五名单位情况"/>
        <w:tag w:val="_SEC_8a85592946074248a7ee474e6adb363e"/>
        <w:id w:val="865724664"/>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3"/>
              <w:numId w:val="82"/>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865724653"/>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10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1"/>
            <w:gridCol w:w="3013"/>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szCs w:val="21"/>
                </w:rPr>
                <w:tag w:val="_PLD_0ab17d7ae0014b6192c9dd0e6d3d3a25"/>
                <w:id w:val="865724654"/>
                <w:lock w:val="sdtLocked"/>
              </w:sdtPr>
              <w:sdtEndPr>
                <w:rPr>
                  <w:rFonts w:ascii="Times New Roman" w:hAnsi="Times New Roman" w:cs="Times New Roman"/>
                  <w:szCs w:val="21"/>
                </w:rPr>
              </w:sdtEndPr>
              <w:sdtContent>
                <w:tc>
                  <w:tcPr>
                    <w:tcW w:w="1666" w:type="pct"/>
                    <w:vAlign w:val="center"/>
                  </w:tcPr>
                  <w:p>
                    <w:pPr>
                      <w:ind w:right="105"/>
                      <w:jc w:val="center"/>
                      <w:rPr>
                        <w:rFonts w:ascii="Times New Roman" w:hAnsi="Times New Roman" w:cs="Times New Roman"/>
                        <w:szCs w:val="21"/>
                      </w:rPr>
                    </w:pPr>
                    <w:r>
                      <w:rPr>
                        <w:rFonts w:ascii="Times New Roman" w:cs="Times New Roman"/>
                        <w:szCs w:val="21"/>
                      </w:rPr>
                      <w:t>单位名称</w:t>
                    </w:r>
                  </w:p>
                </w:tc>
              </w:sdtContent>
            </w:sdt>
            <w:sdt>
              <w:sdtPr>
                <w:rPr>
                  <w:rFonts w:ascii="Times New Roman" w:hAnsi="Times New Roman" w:cs="Times New Roman"/>
                  <w:szCs w:val="21"/>
                </w:rPr>
                <w:tag w:val="_PLD_cdd4a1e632c94d14908eb36a620946a9"/>
                <w:id w:val="865724655"/>
                <w:lock w:val="sdtLocked"/>
              </w:sdtPr>
              <w:sdtEndPr>
                <w:rPr>
                  <w:rFonts w:ascii="Times New Roman" w:hAnsi="Times New Roman" w:cs="Times New Roman"/>
                  <w:szCs w:val="21"/>
                </w:rPr>
              </w:sdtEndPr>
              <w:sdtContent>
                <w:tc>
                  <w:tcPr>
                    <w:tcW w:w="1667" w:type="pct"/>
                    <w:vAlign w:val="center"/>
                  </w:tcPr>
                  <w:p>
                    <w:pPr>
                      <w:ind w:right="73"/>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szCs w:val="21"/>
                </w:rPr>
                <w:tag w:val="_PLD_c9db34035f63426095900b82cc8a8131"/>
                <w:id w:val="865724656"/>
                <w:lock w:val="sdtLocked"/>
              </w:sdtPr>
              <w:sdtEndPr>
                <w:rPr>
                  <w:rFonts w:ascii="Times New Roman" w:hAnsi="Times New Roman" w:cs="Times New Roman"/>
                  <w:szCs w:val="21"/>
                </w:rPr>
              </w:sdtEndPr>
              <w:sdtContent>
                <w:tc>
                  <w:tcPr>
                    <w:tcW w:w="1667" w:type="pct"/>
                    <w:vAlign w:val="center"/>
                  </w:tcPr>
                  <w:p>
                    <w:pPr>
                      <w:jc w:val="center"/>
                      <w:rPr>
                        <w:rFonts w:ascii="Times New Roman" w:hAnsi="Times New Roman" w:cs="Times New Roman"/>
                        <w:szCs w:val="21"/>
                      </w:rPr>
                    </w:pPr>
                    <w:r>
                      <w:rPr>
                        <w:rFonts w:ascii="Times New Roman" w:cs="Times New Roman"/>
                        <w:szCs w:val="21"/>
                      </w:rPr>
                      <w:t>占预付款项期末余额合计数的比例</w:t>
                    </w:r>
                    <w:r>
                      <w:rPr>
                        <w:rFonts w:ascii="Times New Roman" w:hAnsi="Times New Roman" w:cs="Times New Roman"/>
                        <w:szCs w:val="21"/>
                      </w:rPr>
                      <w:t>(%)</w:t>
                    </w:r>
                  </w:p>
                </w:tc>
              </w:sdtContent>
            </w:sdt>
          </w:tr>
          <w:sdt>
            <w:sdtPr>
              <w:rPr>
                <w:rFonts w:ascii="Times New Roman" w:hAnsi="Times New Roman" w:cs="Times New Roman"/>
                <w:szCs w:val="21"/>
              </w:rPr>
              <w:alias w:val="预付帐款欠款户"/>
              <w:tag w:val="_TUP_93f51bbe2cf24bbea15847f5b49a356b"/>
              <w:id w:val="86572465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rPr>
                        <w:rFonts w:ascii="Times New Roman" w:hAnsi="Times New Roman" w:cs="Times New Roman"/>
                        <w:szCs w:val="21"/>
                      </w:rPr>
                    </w:pPr>
                    <w:r>
                      <w:rPr>
                        <w:rFonts w:ascii="Times New Roman" w:cs="Times New Roman"/>
                      </w:rPr>
                      <w:t>义乌市地友商贸有限公司</w:t>
                    </w:r>
                  </w:p>
                </w:tc>
                <w:tc>
                  <w:tcPr>
                    <w:tcW w:w="1667" w:type="pct"/>
                    <w:vAlign w:val="center"/>
                  </w:tcPr>
                  <w:p>
                    <w:pPr>
                      <w:jc w:val="right"/>
                      <w:rPr>
                        <w:rFonts w:ascii="Times New Roman" w:hAnsi="Times New Roman" w:cs="Times New Roman"/>
                        <w:sz w:val="24"/>
                      </w:rPr>
                    </w:pPr>
                    <w:r>
                      <w:rPr>
                        <w:rFonts w:ascii="Times New Roman" w:hAnsi="Times New Roman" w:cs="Times New Roman"/>
                      </w:rPr>
                      <w:t>5,105,620.73</w:t>
                    </w:r>
                  </w:p>
                </w:tc>
                <w:tc>
                  <w:tcPr>
                    <w:tcW w:w="1667" w:type="pct"/>
                    <w:vAlign w:val="center"/>
                  </w:tcPr>
                  <w:p>
                    <w:pPr>
                      <w:jc w:val="right"/>
                      <w:rPr>
                        <w:rFonts w:ascii="Times New Roman" w:hAnsi="Times New Roman" w:cs="Times New Roman"/>
                        <w:szCs w:val="21"/>
                      </w:rPr>
                    </w:pPr>
                    <w:r>
                      <w:rPr>
                        <w:rFonts w:ascii="Times New Roman" w:hAnsi="Times New Roman" w:cs="Times New Roman"/>
                      </w:rPr>
                      <w:t>21.79</w:t>
                    </w:r>
                  </w:p>
                </w:tc>
              </w:tr>
            </w:sdtContent>
          </w:sdt>
          <w:sdt>
            <w:sdtPr>
              <w:rPr>
                <w:rFonts w:ascii="Times New Roman" w:hAnsi="Times New Roman" w:cs="Times New Roman"/>
                <w:szCs w:val="21"/>
              </w:rPr>
              <w:alias w:val="预付帐款欠款户"/>
              <w:tag w:val="_TUP_93f51bbe2cf24bbea15847f5b49a356b"/>
              <w:id w:val="86572465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rPr>
                        <w:rFonts w:ascii="Times New Roman" w:hAnsi="Times New Roman" w:cs="Times New Roman"/>
                        <w:szCs w:val="21"/>
                      </w:rPr>
                    </w:pPr>
                    <w:r>
                      <w:rPr>
                        <w:rFonts w:ascii="Times New Roman" w:cs="Times New Roman"/>
                      </w:rPr>
                      <w:t>广西九州通医药有限公司</w:t>
                    </w:r>
                  </w:p>
                </w:tc>
                <w:tc>
                  <w:tcPr>
                    <w:tcW w:w="1667" w:type="pct"/>
                    <w:vAlign w:val="center"/>
                  </w:tcPr>
                  <w:p>
                    <w:pPr>
                      <w:jc w:val="right"/>
                      <w:rPr>
                        <w:rFonts w:ascii="Times New Roman" w:hAnsi="Times New Roman" w:cs="Times New Roman"/>
                        <w:sz w:val="24"/>
                      </w:rPr>
                    </w:pPr>
                    <w:r>
                      <w:rPr>
                        <w:rFonts w:ascii="Times New Roman" w:hAnsi="Times New Roman" w:cs="Times New Roman"/>
                      </w:rPr>
                      <w:t>2,640,000.00</w:t>
                    </w:r>
                  </w:p>
                </w:tc>
                <w:tc>
                  <w:tcPr>
                    <w:tcW w:w="1667" w:type="pct"/>
                    <w:vAlign w:val="center"/>
                  </w:tcPr>
                  <w:p>
                    <w:pPr>
                      <w:jc w:val="right"/>
                      <w:rPr>
                        <w:rFonts w:ascii="Times New Roman" w:hAnsi="Times New Roman" w:cs="Times New Roman"/>
                        <w:szCs w:val="21"/>
                      </w:rPr>
                    </w:pPr>
                    <w:r>
                      <w:rPr>
                        <w:rFonts w:ascii="Times New Roman" w:hAnsi="Times New Roman" w:cs="Times New Roman"/>
                      </w:rPr>
                      <w:t>11.27</w:t>
                    </w:r>
                  </w:p>
                </w:tc>
              </w:tr>
            </w:sdtContent>
          </w:sdt>
          <w:sdt>
            <w:sdtPr>
              <w:rPr>
                <w:rFonts w:ascii="Times New Roman" w:hAnsi="Times New Roman" w:cs="Times New Roman"/>
                <w:szCs w:val="21"/>
              </w:rPr>
              <w:alias w:val="预付帐款欠款户"/>
              <w:tag w:val="_TUP_93f51bbe2cf24bbea15847f5b49a356b"/>
              <w:id w:val="86572465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rPr>
                        <w:rFonts w:ascii="Times New Roman" w:hAnsi="Times New Roman" w:cs="Times New Roman"/>
                        <w:szCs w:val="21"/>
                      </w:rPr>
                    </w:pPr>
                    <w:r>
                      <w:rPr>
                        <w:rFonts w:ascii="Times New Roman" w:cs="Times New Roman"/>
                      </w:rPr>
                      <w:t>宁波高新区艾克酒店用品有限公司</w:t>
                    </w:r>
                  </w:p>
                </w:tc>
                <w:tc>
                  <w:tcPr>
                    <w:tcW w:w="1667" w:type="pct"/>
                    <w:vAlign w:val="center"/>
                  </w:tcPr>
                  <w:p>
                    <w:pPr>
                      <w:jc w:val="right"/>
                      <w:rPr>
                        <w:rFonts w:ascii="Times New Roman" w:hAnsi="Times New Roman" w:cs="Times New Roman"/>
                        <w:sz w:val="24"/>
                      </w:rPr>
                    </w:pPr>
                    <w:r>
                      <w:rPr>
                        <w:rFonts w:ascii="Times New Roman" w:hAnsi="Times New Roman" w:cs="Times New Roman"/>
                      </w:rPr>
                      <w:t>1,056,157.90</w:t>
                    </w:r>
                  </w:p>
                </w:tc>
                <w:tc>
                  <w:tcPr>
                    <w:tcW w:w="1667" w:type="pct"/>
                    <w:vAlign w:val="center"/>
                  </w:tcPr>
                  <w:p>
                    <w:pPr>
                      <w:jc w:val="right"/>
                      <w:rPr>
                        <w:rFonts w:ascii="Times New Roman" w:hAnsi="Times New Roman" w:cs="Times New Roman"/>
                        <w:szCs w:val="21"/>
                      </w:rPr>
                    </w:pPr>
                    <w:r>
                      <w:rPr>
                        <w:rFonts w:ascii="Times New Roman" w:hAnsi="Times New Roman" w:cs="Times New Roman"/>
                      </w:rPr>
                      <w:t>4.51</w:t>
                    </w:r>
                  </w:p>
                </w:tc>
              </w:tr>
            </w:sdtContent>
          </w:sdt>
          <w:sdt>
            <w:sdtPr>
              <w:rPr>
                <w:rFonts w:ascii="Times New Roman" w:hAnsi="Times New Roman" w:cs="Times New Roman"/>
                <w:szCs w:val="21"/>
              </w:rPr>
              <w:alias w:val="预付帐款欠款户"/>
              <w:tag w:val="_TUP_93f51bbe2cf24bbea15847f5b49a356b"/>
              <w:id w:val="86572466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rPr>
                        <w:rFonts w:ascii="Times New Roman" w:hAnsi="Times New Roman" w:cs="Times New Roman"/>
                        <w:szCs w:val="21"/>
                      </w:rPr>
                    </w:pPr>
                    <w:r>
                      <w:rPr>
                        <w:rFonts w:ascii="Times New Roman" w:cs="Times New Roman"/>
                      </w:rPr>
                      <w:t>汉庭星空（上海）酒店管理有限公司</w:t>
                    </w:r>
                  </w:p>
                </w:tc>
                <w:tc>
                  <w:tcPr>
                    <w:tcW w:w="1667" w:type="pct"/>
                    <w:vAlign w:val="center"/>
                  </w:tcPr>
                  <w:p>
                    <w:pPr>
                      <w:jc w:val="right"/>
                      <w:rPr>
                        <w:rFonts w:ascii="Times New Roman" w:hAnsi="Times New Roman" w:cs="Times New Roman"/>
                        <w:sz w:val="24"/>
                      </w:rPr>
                    </w:pPr>
                    <w:r>
                      <w:rPr>
                        <w:rFonts w:ascii="Times New Roman" w:hAnsi="Times New Roman" w:cs="Times New Roman"/>
                      </w:rPr>
                      <w:t>1,019,037.74</w:t>
                    </w:r>
                  </w:p>
                </w:tc>
                <w:tc>
                  <w:tcPr>
                    <w:tcW w:w="1667" w:type="pct"/>
                    <w:vAlign w:val="center"/>
                  </w:tcPr>
                  <w:p>
                    <w:pPr>
                      <w:jc w:val="right"/>
                      <w:rPr>
                        <w:rFonts w:ascii="Times New Roman" w:hAnsi="Times New Roman" w:cs="Times New Roman"/>
                        <w:szCs w:val="21"/>
                      </w:rPr>
                    </w:pPr>
                    <w:r>
                      <w:rPr>
                        <w:rFonts w:ascii="Times New Roman" w:hAnsi="Times New Roman" w:cs="Times New Roman"/>
                      </w:rPr>
                      <w:t>4.35</w:t>
                    </w:r>
                  </w:p>
                </w:tc>
              </w:tr>
            </w:sdtContent>
          </w:sdt>
          <w:sdt>
            <w:sdtPr>
              <w:rPr>
                <w:rFonts w:ascii="Times New Roman" w:hAnsi="Times New Roman" w:cs="Times New Roman"/>
                <w:szCs w:val="21"/>
              </w:rPr>
              <w:alias w:val="预付帐款欠款户"/>
              <w:tag w:val="_TUP_93f51bbe2cf24bbea15847f5b49a356b"/>
              <w:id w:val="86572466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pPr>
                      <w:ind w:right="105"/>
                      <w:rPr>
                        <w:rFonts w:ascii="Times New Roman" w:hAnsi="Times New Roman" w:cs="Times New Roman"/>
                        <w:szCs w:val="21"/>
                      </w:rPr>
                    </w:pPr>
                    <w:r>
                      <w:rPr>
                        <w:rFonts w:ascii="Times New Roman" w:cs="Times New Roman"/>
                      </w:rPr>
                      <w:t>武汉火蝠电子商务有限公司</w:t>
                    </w:r>
                  </w:p>
                </w:tc>
                <w:tc>
                  <w:tcPr>
                    <w:tcW w:w="1667" w:type="pct"/>
                    <w:vAlign w:val="center"/>
                  </w:tcPr>
                  <w:p>
                    <w:pPr>
                      <w:jc w:val="right"/>
                      <w:rPr>
                        <w:rFonts w:ascii="Times New Roman" w:hAnsi="Times New Roman" w:cs="Times New Roman"/>
                        <w:sz w:val="24"/>
                      </w:rPr>
                    </w:pPr>
                    <w:r>
                      <w:rPr>
                        <w:rFonts w:ascii="Times New Roman" w:hAnsi="Times New Roman" w:cs="Times New Roman"/>
                      </w:rPr>
                      <w:t>600,000.00</w:t>
                    </w:r>
                  </w:p>
                </w:tc>
                <w:tc>
                  <w:tcPr>
                    <w:tcW w:w="1667" w:type="pct"/>
                    <w:vAlign w:val="center"/>
                  </w:tcPr>
                  <w:p>
                    <w:pPr>
                      <w:jc w:val="right"/>
                      <w:rPr>
                        <w:rFonts w:ascii="Times New Roman" w:hAnsi="Times New Roman" w:cs="Times New Roman"/>
                        <w:szCs w:val="21"/>
                      </w:rPr>
                    </w:pPr>
                    <w:r>
                      <w:rPr>
                        <w:rFonts w:ascii="Times New Roman" w:hAnsi="Times New Roman" w:cs="Times New Roman"/>
                      </w:rPr>
                      <w:t>2.56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sdt>
                <w:sdtPr>
                  <w:rPr>
                    <w:rFonts w:ascii="Times New Roman" w:hAnsi="Times New Roman" w:cs="Times New Roman"/>
                    <w:szCs w:val="21"/>
                  </w:rPr>
                  <w:tag w:val="_PLD_6013c930571c4255bf5da8f1352aaf1f"/>
                  <w:id w:val="865724662"/>
                  <w:lock w:val="sdtLocked"/>
                </w:sdtPr>
                <w:sdtEndPr>
                  <w:rPr>
                    <w:rFonts w:ascii="Times New Roman" w:hAnsi="Times New Roman" w:cs="Times New Roman"/>
                    <w:szCs w:val="21"/>
                  </w:rPr>
                </w:sdtEndPr>
                <w:sdtContent>
                  <w:p>
                    <w:pPr>
                      <w:ind w:right="105"/>
                      <w:jc w:val="center"/>
                      <w:rPr>
                        <w:rFonts w:ascii="Times New Roman" w:hAnsi="Times New Roman" w:cs="Times New Roman"/>
                        <w:szCs w:val="21"/>
                      </w:rPr>
                    </w:pPr>
                    <w:r>
                      <w:rPr>
                        <w:rFonts w:ascii="Times New Roman" w:cs="Times New Roman"/>
                        <w:szCs w:val="21"/>
                      </w:rPr>
                      <w:t>合计</w:t>
                    </w:r>
                  </w:p>
                </w:sdtContent>
              </w:sdt>
            </w:tc>
            <w:tc>
              <w:tcPr>
                <w:tcW w:w="1667" w:type="pct"/>
                <w:vAlign w:val="center"/>
              </w:tcPr>
              <w:p>
                <w:pPr>
                  <w:ind w:right="73"/>
                  <w:jc w:val="right"/>
                  <w:rPr>
                    <w:rFonts w:ascii="Times New Roman" w:hAnsi="Times New Roman" w:cs="Times New Roman"/>
                    <w:szCs w:val="21"/>
                  </w:rPr>
                </w:pPr>
                <w:r>
                  <w:rPr>
                    <w:rFonts w:ascii="Times New Roman" w:hAnsi="Times New Roman" w:cs="Times New Roman"/>
                    <w:szCs w:val="21"/>
                  </w:rPr>
                  <w:t>10,420,816.37</w:t>
                </w:r>
              </w:p>
            </w:tc>
            <w:tc>
              <w:tcPr>
                <w:tcW w:w="1667" w:type="pct"/>
                <w:vAlign w:val="center"/>
              </w:tcPr>
              <w:p>
                <w:pPr>
                  <w:jc w:val="right"/>
                  <w:rPr>
                    <w:rFonts w:ascii="Times New Roman" w:hAnsi="Times New Roman" w:cs="Times New Roman"/>
                    <w:szCs w:val="21"/>
                  </w:rPr>
                </w:pPr>
                <w:r>
                  <w:rPr>
                    <w:rFonts w:ascii="Times New Roman" w:hAnsi="Times New Roman" w:cs="Times New Roman"/>
                  </w:rPr>
                  <w:t>44.48</w:t>
                </w:r>
              </w:p>
            </w:tc>
          </w:tr>
        </w:tbl>
        <w:p>
          <w:pPr>
            <w:snapToGrid w:val="0"/>
            <w:spacing w:line="240" w:lineRule="atLeast"/>
            <w:rPr>
              <w:szCs w:val="21"/>
            </w:rPr>
          </w:pPr>
        </w:p>
      </w:sdtContent>
    </w:sdt>
    <w:p>
      <w:pPr>
        <w:snapToGrid w:val="0"/>
        <w:spacing w:line="240" w:lineRule="atLeast"/>
        <w:rPr>
          <w:szCs w:val="21"/>
        </w:rPr>
      </w:pPr>
    </w:p>
    <w:sdt>
      <w:sdtPr>
        <w:rPr>
          <w:rFonts w:hint="eastAsia" w:ascii="Times New Roman" w:hAnsi="Times New Roman"/>
          <w:b/>
          <w:bCs/>
        </w:rPr>
        <w:alias w:val="模块:预付款项的说明"/>
        <w:tag w:val="_SEC_b4786b512c5648f09f6aeb396ccb9ee7"/>
        <w:id w:val="865724666"/>
        <w:lock w:val="sdtLocked"/>
        <w:placeholder>
          <w:docPart w:val="GBC22222222222222222222222222222"/>
        </w:placeholder>
      </w:sdtPr>
      <w:sdtEndPr>
        <w:rPr>
          <w:rFonts w:hint="default" w:ascii="Times New Roman" w:hAnsi="Times New Roman"/>
          <w:b w:val="0"/>
          <w:bCs w:val="0"/>
        </w:rPr>
      </w:sdtEndPr>
      <w:sdtContent>
        <w:p>
          <w:r>
            <w:rPr>
              <w:rFonts w:hint="eastAsia"/>
            </w:rPr>
            <w:t>其他说明</w:t>
          </w:r>
        </w:p>
        <w:sdt>
          <w:sdtPr>
            <w:rPr>
              <w:rFonts w:hint="eastAsia"/>
              <w:szCs w:val="21"/>
            </w:rPr>
            <w:alias w:val="是否适用：预付帐款的说明[双击切换]"/>
            <w:tag w:val="_GBC_292d88b78b6d439981e508e0126d8061"/>
            <w:id w:val="86572466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0"/>
          <w:numId w:val="79"/>
        </w:numPr>
      </w:pPr>
      <w:r>
        <w:rPr>
          <w:rFonts w:hint="eastAsia"/>
        </w:rPr>
        <w:t>其他应收款</w:t>
      </w:r>
    </w:p>
    <w:sdt>
      <w:sdtPr>
        <w:rPr>
          <w:rFonts w:hint="eastAsia" w:ascii="宋体" w:hAnsi="宋体" w:eastAsia="宋体" w:cs="宋体"/>
          <w:b w:val="0"/>
          <w:bCs w:val="0"/>
          <w:kern w:val="0"/>
          <w:szCs w:val="24"/>
        </w:rPr>
        <w:alias w:val="模块:其他应收款分类列示"/>
        <w:tag w:val="_SEC_832356e7ad3a4fd389aa33f3370163f0"/>
        <w:id w:val="865724677"/>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pPr>
          <w:bookmarkStart w:id="150" w:name="_Hlk532906090"/>
          <w:r>
            <w:rPr>
              <w:rFonts w:hint="eastAsia" w:ascii="宋体" w:hAnsi="宋体" w:eastAsia="宋体" w:cs="宋体"/>
              <w:kern w:val="0"/>
              <w:szCs w:val="24"/>
            </w:rPr>
            <w:t>项目列示</w:t>
          </w:r>
        </w:p>
        <w:sdt>
          <w:sdtPr>
            <w:alias w:val="是否适用：其他应收款分类列示[双击切换]"/>
            <w:tag w:val="_GBC_5cf24a2049f64010a4df1f0db5a97234"/>
            <w:id w:val="86572466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应收款分类列示"/>
              <w:tag w:val="_GBC_7f9aa6546943491ca0ac8585be1822b5"/>
              <w:id w:val="8657246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865724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4377dcbf8fc04365884311b6628ee70c"/>
                <w:id w:val="865724670"/>
                <w:lock w:val="sdtLocked"/>
              </w:sdtPr>
              <w:sdtEndPr>
                <w:rPr>
                  <w:rFonts w:ascii="Times New Roman" w:hAnsi="Times New Roman" w:cs="Times New Roman"/>
                </w:rPr>
              </w:sdtEndPr>
              <w:sdtContent>
                <w:tc>
                  <w:tcPr>
                    <w:tcW w:w="1764" w:type="pct"/>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9eed799cfa4b445abd6bf2c21c8e53d1"/>
                <w:id w:val="865724671"/>
                <w:lock w:val="sdtLocked"/>
              </w:sdtPr>
              <w:sdtEndPr>
                <w:rPr>
                  <w:rFonts w:ascii="Times New Roman" w:hAnsi="Times New Roman" w:cs="Times New Roman"/>
                </w:rPr>
              </w:sdtEndPr>
              <w:sdtContent>
                <w:tc>
                  <w:tcPr>
                    <w:tcW w:w="1622" w:type="pct"/>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200365ee1196470e91075b949a7f5552"/>
                <w:id w:val="865724672"/>
                <w:lock w:val="sdtLocked"/>
              </w:sdtPr>
              <w:sdtEndPr>
                <w:rPr>
                  <w:rFonts w:ascii="Times New Roman" w:hAnsi="Times New Roman" w:cs="Times New Roman"/>
                </w:rPr>
              </w:sdtEndPr>
              <w:sdtContent>
                <w:tc>
                  <w:tcPr>
                    <w:tcW w:w="1614" w:type="pct"/>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d057e8dff1234d46846699dd5feb85cb"/>
                <w:id w:val="865724673"/>
                <w:lock w:val="sdtLocked"/>
              </w:sdtPr>
              <w:sdtEndPr>
                <w:rPr>
                  <w:rFonts w:ascii="Times New Roman" w:hAnsi="Times New Roman" w:cs="Times New Roman"/>
                </w:rPr>
              </w:sdtEndPr>
              <w:sdtContent>
                <w:tc>
                  <w:tcPr>
                    <w:tcW w:w="1764" w:type="pct"/>
                  </w:tcPr>
                  <w:p>
                    <w:pPr>
                      <w:ind w:right="5"/>
                      <w:rPr>
                        <w:rFonts w:ascii="Times New Roman" w:hAnsi="Times New Roman" w:cs="Times New Roman"/>
                        <w:szCs w:val="21"/>
                      </w:rPr>
                    </w:pPr>
                    <w:r>
                      <w:rPr>
                        <w:rFonts w:ascii="Times New Roman" w:cs="Times New Roman"/>
                        <w:szCs w:val="21"/>
                      </w:rPr>
                      <w:t>应收利息</w:t>
                    </w:r>
                  </w:p>
                </w:tc>
              </w:sdtContent>
            </w:sdt>
            <w:tc>
              <w:tcPr>
                <w:tcW w:w="1622" w:type="pct"/>
              </w:tcPr>
              <w:p>
                <w:pPr>
                  <w:ind w:right="5"/>
                  <w:jc w:val="right"/>
                  <w:rPr>
                    <w:rFonts w:ascii="Times New Roman" w:hAnsi="Times New Roman" w:cs="Times New Roman"/>
                    <w:szCs w:val="21"/>
                  </w:rPr>
                </w:pPr>
              </w:p>
            </w:tc>
            <w:tc>
              <w:tcPr>
                <w:tcW w:w="1614" w:type="pct"/>
              </w:tcPr>
              <w:p>
                <w:pPr>
                  <w:ind w:right="5"/>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0a7e2171c2154f80a555ff0bce99834b"/>
                <w:id w:val="865724674"/>
                <w:lock w:val="sdtLocked"/>
              </w:sdtPr>
              <w:sdtEndPr>
                <w:rPr>
                  <w:rFonts w:ascii="Times New Roman" w:hAnsi="Times New Roman" w:cs="Times New Roman"/>
                </w:rPr>
              </w:sdtEndPr>
              <w:sdtContent>
                <w:tc>
                  <w:tcPr>
                    <w:tcW w:w="1764" w:type="pct"/>
                  </w:tcPr>
                  <w:p>
                    <w:pPr>
                      <w:ind w:right="5"/>
                      <w:rPr>
                        <w:rFonts w:ascii="Times New Roman" w:hAnsi="Times New Roman" w:cs="Times New Roman"/>
                        <w:szCs w:val="21"/>
                      </w:rPr>
                    </w:pPr>
                    <w:r>
                      <w:rPr>
                        <w:rFonts w:ascii="Times New Roman" w:cs="Times New Roman"/>
                        <w:szCs w:val="21"/>
                      </w:rPr>
                      <w:t>应收股利</w:t>
                    </w:r>
                  </w:p>
                </w:tc>
              </w:sdtContent>
            </w:sdt>
            <w:tc>
              <w:tcPr>
                <w:tcW w:w="1622" w:type="pct"/>
              </w:tcPr>
              <w:p>
                <w:pPr>
                  <w:ind w:right="5"/>
                  <w:jc w:val="right"/>
                  <w:rPr>
                    <w:rFonts w:ascii="Times New Roman" w:hAnsi="Times New Roman" w:cs="Times New Roman"/>
                    <w:szCs w:val="21"/>
                  </w:rPr>
                </w:pPr>
              </w:p>
            </w:tc>
            <w:tc>
              <w:tcPr>
                <w:tcW w:w="1614" w:type="pct"/>
              </w:tcPr>
              <w:p>
                <w:pPr>
                  <w:ind w:right="5"/>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2110eaa82be949499badb3b40511c6e3"/>
                <w:id w:val="865724675"/>
                <w:lock w:val="sdtLocked"/>
              </w:sdtPr>
              <w:sdtEndPr>
                <w:rPr>
                  <w:rFonts w:ascii="Times New Roman" w:hAnsi="Times New Roman" w:cs="Times New Roman"/>
                </w:rPr>
              </w:sdtEndPr>
              <w:sdtContent>
                <w:tc>
                  <w:tcPr>
                    <w:tcW w:w="1764" w:type="pct"/>
                  </w:tcPr>
                  <w:p>
                    <w:pPr>
                      <w:ind w:right="5"/>
                      <w:rPr>
                        <w:rFonts w:ascii="Times New Roman" w:hAnsi="Times New Roman" w:cs="Times New Roman"/>
                        <w:szCs w:val="21"/>
                      </w:rPr>
                    </w:pPr>
                    <w:r>
                      <w:rPr>
                        <w:rFonts w:ascii="Times New Roman" w:cs="Times New Roman"/>
                        <w:szCs w:val="21"/>
                      </w:rPr>
                      <w:t>其他应收款</w:t>
                    </w:r>
                  </w:p>
                </w:tc>
              </w:sdtContent>
            </w:sdt>
            <w:tc>
              <w:tcPr>
                <w:tcW w:w="1622" w:type="pct"/>
                <w:vAlign w:val="center"/>
              </w:tcPr>
              <w:p>
                <w:pPr>
                  <w:jc w:val="right"/>
                  <w:rPr>
                    <w:rFonts w:ascii="Times New Roman" w:hAnsi="Times New Roman" w:cs="Times New Roman"/>
                    <w:sz w:val="24"/>
                  </w:rPr>
                </w:pPr>
                <w:r>
                  <w:rPr>
                    <w:rFonts w:ascii="Times New Roman" w:hAnsi="Times New Roman" w:cs="Times New Roman"/>
                  </w:rPr>
                  <w:t>11,073,306.21</w:t>
                </w:r>
              </w:p>
            </w:tc>
            <w:tc>
              <w:tcPr>
                <w:tcW w:w="1614" w:type="pct"/>
                <w:vAlign w:val="center"/>
              </w:tcPr>
              <w:p>
                <w:pPr>
                  <w:jc w:val="right"/>
                  <w:rPr>
                    <w:rFonts w:ascii="Times New Roman" w:hAnsi="Times New Roman" w:cs="Times New Roman"/>
                    <w:sz w:val="24"/>
                  </w:rPr>
                </w:pPr>
                <w:r>
                  <w:rPr>
                    <w:rFonts w:ascii="Times New Roman" w:hAnsi="Times New Roman" w:cs="Times New Roman"/>
                  </w:rPr>
                  <w:t>630,520,969.93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3e5832c53835461581fdc41cd6b8f81f"/>
                <w:id w:val="865724676"/>
                <w:lock w:val="sdtLocked"/>
              </w:sdtPr>
              <w:sdtEndPr>
                <w:rPr>
                  <w:rFonts w:ascii="Times New Roman" w:hAnsi="Times New Roman" w:cs="Times New Roman"/>
                </w:rPr>
              </w:sdtEndPr>
              <w:sdtContent>
                <w:tc>
                  <w:tcPr>
                    <w:tcW w:w="1764" w:type="pct"/>
                  </w:tcPr>
                  <w:p>
                    <w:pPr>
                      <w:autoSpaceDE w:val="0"/>
                      <w:autoSpaceDN w:val="0"/>
                      <w:adjustRightInd w:val="0"/>
                      <w:rPr>
                        <w:rFonts w:ascii="Times New Roman" w:hAnsi="Times New Roman" w:cs="Times New Roman"/>
                        <w:szCs w:val="21"/>
                      </w:rPr>
                    </w:pPr>
                    <w:r>
                      <w:rPr>
                        <w:rFonts w:ascii="Times New Roman" w:cs="Times New Roman"/>
                        <w:szCs w:val="21"/>
                      </w:rPr>
                      <w:t>合计</w:t>
                    </w:r>
                  </w:p>
                </w:tc>
              </w:sdtContent>
            </w:sdt>
            <w:tc>
              <w:tcPr>
                <w:tcW w:w="1622" w:type="pct"/>
                <w:vAlign w:val="center"/>
              </w:tcPr>
              <w:p>
                <w:pPr>
                  <w:jc w:val="right"/>
                  <w:rPr>
                    <w:rFonts w:ascii="Times New Roman" w:hAnsi="Times New Roman" w:cs="Times New Roman"/>
                    <w:sz w:val="24"/>
                  </w:rPr>
                </w:pPr>
                <w:r>
                  <w:rPr>
                    <w:rFonts w:ascii="Times New Roman" w:hAnsi="Times New Roman" w:cs="Times New Roman"/>
                  </w:rPr>
                  <w:t>11,073,306.21</w:t>
                </w:r>
              </w:p>
            </w:tc>
            <w:tc>
              <w:tcPr>
                <w:tcW w:w="1614" w:type="pct"/>
                <w:vAlign w:val="center"/>
              </w:tcPr>
              <w:p>
                <w:pPr>
                  <w:jc w:val="right"/>
                  <w:rPr>
                    <w:rFonts w:ascii="Times New Roman" w:hAnsi="Times New Roman" w:cs="Times New Roman"/>
                    <w:sz w:val="24"/>
                  </w:rPr>
                </w:pPr>
                <w:r>
                  <w:rPr>
                    <w:rFonts w:ascii="Times New Roman" w:hAnsi="Times New Roman" w:cs="Times New Roman"/>
                  </w:rPr>
                  <w:t>630,520,969.93</w:t>
                </w:r>
              </w:p>
            </w:tc>
          </w:tr>
        </w:tbl>
        <w:p/>
      </w:sdtContent>
    </w:sdt>
    <w:bookmarkEnd w:id="150"/>
    <w:sdt>
      <w:sdtPr>
        <w:rPr>
          <w:rFonts w:hint="eastAsia"/>
          <w:szCs w:val="21"/>
        </w:rPr>
        <w:alias w:val="模块:其他应收款分类列示其他说明"/>
        <w:tag w:val="_SEC_9f746d8f63c24963bbf193ceb3ce319d"/>
        <w:id w:val="865724679"/>
        <w:lock w:val="sdtLocked"/>
        <w:placeholder>
          <w:docPart w:val="GBC22222222222222222222222222222"/>
        </w:placeholder>
      </w:sdtPr>
      <w:sdtEndPr>
        <w:rPr>
          <w:rFonts w:hint="default"/>
          <w:szCs w:val="21"/>
        </w:rPr>
      </w:sdtEndPr>
      <w:sdtContent>
        <w:p>
          <w:pPr>
            <w:rPr>
              <w:szCs w:val="21"/>
            </w:rPr>
          </w:pPr>
          <w:bookmarkStart w:id="151" w:name="_Hlk532906097"/>
          <w:r>
            <w:rPr>
              <w:rFonts w:hint="eastAsia"/>
              <w:szCs w:val="21"/>
            </w:rPr>
            <w:t>其他说明：</w:t>
          </w:r>
          <w:bookmarkEnd w:id="151"/>
        </w:p>
        <w:sdt>
          <w:sdtPr>
            <w:rPr>
              <w:szCs w:val="21"/>
            </w:rPr>
            <w:alias w:val="是否适用：其他应收款分类列示其他说明[双击切换]"/>
            <w:tag w:val="_GBC_87a25d8043fc4fcfac6a8c802b58dfc7"/>
            <w:id w:val="86572467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pStyle w:val="5"/>
        <w:ind w:left="360" w:hanging="360"/>
      </w:pPr>
      <w:r>
        <w:rPr>
          <w:rFonts w:hint="eastAsia"/>
        </w:rPr>
        <w:t>应收利息</w:t>
      </w:r>
    </w:p>
    <w:sdt>
      <w:sdtPr>
        <w:rPr>
          <w:rFonts w:hint="eastAsia" w:eastAsia="宋体" w:cs="宋体" w:asciiTheme="minorHAnsi" w:hAnsiTheme="minorHAnsi"/>
          <w:b w:val="0"/>
          <w:bCs w:val="0"/>
          <w:kern w:val="0"/>
          <w:szCs w:val="22"/>
        </w:rPr>
        <w:alias w:val="模块:应收利息"/>
        <w:tag w:val="_SEC_e7556b18b03f4947b14c0b36c675ff06"/>
        <w:id w:val="865724681"/>
        <w:lock w:val="sdtLocked"/>
        <w:placeholder>
          <w:docPart w:val="GBC22222222222222222222222222222"/>
        </w:placeholder>
      </w:sdtPr>
      <w:sdtEndPr>
        <w:rPr>
          <w:rFonts w:hint="eastAsia" w:ascii="Times New Roman" w:hAnsi="Times New Roman" w:eastAsia="宋体" w:cs="Times New Roman"/>
          <w:b w:val="0"/>
          <w:bCs w:val="0"/>
          <w:kern w:val="2"/>
          <w:szCs w:val="24"/>
        </w:rPr>
      </w:sdtEndPr>
      <w:sdtContent>
        <w:p>
          <w:pPr>
            <w:pStyle w:val="5"/>
            <w:numPr>
              <w:ilvl w:val="3"/>
              <w:numId w:val="83"/>
            </w:numPr>
            <w:ind w:left="426" w:hanging="426"/>
          </w:pPr>
          <w:r>
            <w:rPr>
              <w:rFonts w:hint="eastAsia"/>
            </w:rPr>
            <w:t>应收利息分类</w:t>
          </w:r>
        </w:p>
        <w:sdt>
          <w:sdtPr>
            <w:alias w:val="是否适用：应收利息分类[双击切换]"/>
            <w:tag w:val="_GBC_83217ec91e3240eeb9ff337eca1b11bb"/>
            <w:id w:val="865724680"/>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逾期利息"/>
        <w:tag w:val="_SEC_2b1aed9928154ce3b72406656569e1a0"/>
        <w:id w:val="865724683"/>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83"/>
            </w:numPr>
            <w:ind w:left="426" w:hanging="426"/>
          </w:pPr>
          <w:r>
            <w:rPr>
              <w:rFonts w:hint="eastAsia"/>
            </w:rPr>
            <w:t>重要逾期利息</w:t>
          </w:r>
        </w:p>
        <w:sdt>
          <w:sdtPr>
            <w:alias w:val="是否适用：重要逾期利息[双击切换]"/>
            <w:tag w:val="_GBC_4720cbb6fd9144c2b14ef7120e6159be"/>
            <w:id w:val="86572468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1"/>
        </w:rPr>
        <w:alias w:val="模块:坏账准备计提情况"/>
        <w:tag w:val="_SEC_d2c4f1952afe44258e5612ef28731834"/>
        <w:id w:val="865724685"/>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3"/>
              <w:numId w:val="83"/>
            </w:numPr>
            <w:ind w:left="426" w:hanging="426"/>
            <w:rPr>
              <w:szCs w:val="21"/>
            </w:rPr>
          </w:pPr>
          <w:bookmarkStart w:id="152" w:name="_Hlk533867290"/>
          <w:r>
            <w:rPr>
              <w:rFonts w:hint="eastAsia" w:ascii="宋体" w:hAnsi="宋体" w:eastAsia="宋体" w:cs="宋体"/>
              <w:bCs w:val="0"/>
              <w:kern w:val="0"/>
              <w:szCs w:val="21"/>
            </w:rPr>
            <w:t>坏账准备计提情况</w:t>
          </w:r>
        </w:p>
        <w:sdt>
          <w:sdtPr>
            <w:rPr>
              <w:szCs w:val="21"/>
            </w:rPr>
            <w:alias w:val="是否适用：应收利息坏账准备调节表[双击切换]"/>
            <w:tag w:val="_GBC_2926f106217b4c11a5fe606b79f60d83"/>
            <w:id w:val="86572468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rPr>
              <w:szCs w:val="21"/>
            </w:rPr>
          </w:pPr>
        </w:p>
        <w:p>
          <w:pPr>
            <w:autoSpaceDE w:val="0"/>
            <w:autoSpaceDN w:val="0"/>
            <w:adjustRightInd w:val="0"/>
            <w:ind w:right="105" w:rightChars="50"/>
            <w:rPr>
              <w:szCs w:val="21"/>
            </w:rPr>
          </w:pPr>
        </w:p>
      </w:sdtContent>
    </w:sdt>
    <w:bookmarkEnd w:id="152"/>
    <w:sdt>
      <w:sdtPr>
        <w:rPr>
          <w:rFonts w:hint="eastAsia"/>
          <w:b/>
          <w:bCs/>
        </w:rPr>
        <w:alias w:val="模块:应收利息的说明"/>
        <w:tag w:val="_SEC_f928a6e9e75047f3b72b49250b05ba14"/>
        <w:id w:val="865724687"/>
        <w:lock w:val="sdtLocked"/>
        <w:placeholder>
          <w:docPart w:val="GBC22222222222222222222222222222"/>
        </w:placeholder>
      </w:sdtPr>
      <w:sdtEndPr>
        <w:rPr>
          <w:rFonts w:hint="default"/>
          <w:b w:val="0"/>
          <w:bCs w:val="0"/>
          <w:szCs w:val="21"/>
        </w:rPr>
      </w:sdtEndPr>
      <w:sdtContent>
        <w:p>
          <w:r>
            <w:rPr>
              <w:rFonts w:hint="eastAsia"/>
            </w:rPr>
            <w:t>其他说明：</w:t>
          </w:r>
        </w:p>
        <w:sdt>
          <w:sdtPr>
            <w:rPr>
              <w:rFonts w:hint="eastAsia"/>
              <w:szCs w:val="21"/>
            </w:rPr>
            <w:alias w:val="是否适用：应收利息的说明[双击切换]"/>
            <w:tag w:val="_GBC_353af20a1db84c639b0e03e660c37a48"/>
            <w:id w:val="86572468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eastAsia="宋体" w:asciiTheme="minorHAnsi" w:hAnsiTheme="minorHAnsi" w:cstheme="minorBidi"/>
          <w:b w:val="0"/>
          <w:bCs w:val="0"/>
          <w:kern w:val="0"/>
          <w:szCs w:val="22"/>
        </w:rPr>
        <w:alias w:val="模块:应收股利"/>
        <w:tag w:val="_SEC_531f695428244731b7e3fcf9986e03c5"/>
        <w:id w:val="865724689"/>
        <w:lock w:val="sdtLocked"/>
        <w:placeholder>
          <w:docPart w:val="GBC22222222222222222222222222222"/>
        </w:placeholder>
      </w:sdtPr>
      <w:sdtEndPr>
        <w:rPr>
          <w:rFonts w:hint="eastAsia" w:ascii="Times New Roman" w:hAnsi="Times New Roman" w:eastAsia="宋体" w:cs="Times New Roman"/>
          <w:b w:val="0"/>
          <w:bCs w:val="0"/>
          <w:kern w:val="0"/>
          <w:szCs w:val="24"/>
        </w:rPr>
      </w:sdtEndPr>
      <w:sdtContent>
        <w:p>
          <w:pPr>
            <w:pStyle w:val="5"/>
            <w:numPr>
              <w:ilvl w:val="3"/>
              <w:numId w:val="83"/>
            </w:numPr>
            <w:ind w:left="426" w:hanging="426"/>
          </w:pPr>
          <w:r>
            <w:rPr>
              <w:rFonts w:hint="eastAsia"/>
            </w:rPr>
            <w:t>应收股利</w:t>
          </w:r>
        </w:p>
        <w:sdt>
          <w:sdtPr>
            <w:alias w:val="是否适用：应收股利[双击切换]"/>
            <w:tag w:val="_GBC_c0f7b0360a644690b0472107042df17a"/>
            <w:id w:val="865724688"/>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eastAsia="宋体" w:asciiTheme="minorHAnsi" w:hAnsiTheme="minorHAnsi" w:cstheme="minorBidi"/>
          <w:b w:val="0"/>
          <w:bCs w:val="0"/>
          <w:kern w:val="0"/>
          <w:szCs w:val="22"/>
        </w:rPr>
        <w:alias w:val="模块:应收股利"/>
        <w:tag w:val="_SEC_9503084ad1734739bb1a74f5476ec07c"/>
        <w:id w:val="865724691"/>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83"/>
            </w:numPr>
            <w:ind w:left="426" w:hanging="426"/>
          </w:pPr>
          <w:r>
            <w:rPr>
              <w:rFonts w:hint="eastAsia"/>
            </w:rPr>
            <w:t>重要的账龄超过1年的应收股利</w:t>
          </w:r>
        </w:p>
        <w:p>
          <w:sdt>
            <w:sdtPr>
              <w:rPr>
                <w:rFonts w:hint="eastAsia"/>
                <w:szCs w:val="21"/>
              </w:rPr>
              <w:alias w:val="是否适用：重要的账龄超过1年的应收股利[双击切换]"/>
              <w:tag w:val="_GBC_d46c4e6d2f2e4e20b430a619bde9abe8"/>
              <w:id w:val="865724690"/>
              <w:lock w:val="sdtLocked"/>
              <w:placeholder>
                <w:docPart w:val="GBC22222222222222222222222222222"/>
              </w:placeholder>
            </w:sdtPr>
            <w:sdtEndPr>
              <w:rPr>
                <w:rFonts w:hint="eastAsia"/>
                <w:szCs w:val="21"/>
              </w:rPr>
            </w:sdtEnd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sdt>
      <w:sdtPr>
        <w:rPr>
          <w:rFonts w:hint="eastAsia" w:ascii="宋体" w:hAnsi="宋体" w:eastAsia="宋体" w:cs="宋体"/>
          <w:b w:val="0"/>
          <w:bCs w:val="0"/>
          <w:kern w:val="0"/>
          <w:szCs w:val="24"/>
        </w:rPr>
        <w:alias w:val="模块:坏账准备计提情况"/>
        <w:tag w:val="_SEC_bfa6d1d8f0d04386aa81c3673c519221"/>
        <w:id w:val="865724693"/>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3"/>
              <w:numId w:val="83"/>
            </w:numPr>
            <w:ind w:left="426" w:hanging="426"/>
          </w:pPr>
          <w:bookmarkStart w:id="153" w:name="_Hlk533421146"/>
          <w:r>
            <w:rPr>
              <w:rFonts w:hint="eastAsia" w:ascii="宋体" w:hAnsi="宋体" w:eastAsia="宋体" w:cs="宋体"/>
              <w:bCs w:val="0"/>
              <w:kern w:val="0"/>
              <w:szCs w:val="24"/>
            </w:rPr>
            <w:t>坏账准备计提情况</w:t>
          </w:r>
        </w:p>
        <w:sdt>
          <w:sdtPr>
            <w:alias w:val="是否适用：应收股利坏账准备调节表[双击切换]"/>
            <w:tag w:val="_GBC_847cf15503744e02b8ac7395c17d2da6"/>
            <w:id w:val="865724692"/>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105" w:rightChars="50"/>
            <w:rPr>
              <w:szCs w:val="21"/>
            </w:rPr>
          </w:pPr>
        </w:p>
        <w:p>
          <w:pPr>
            <w:autoSpaceDE w:val="0"/>
            <w:autoSpaceDN w:val="0"/>
            <w:adjustRightInd w:val="0"/>
            <w:ind w:right="105" w:rightChars="50"/>
            <w:rPr>
              <w:szCs w:val="21"/>
            </w:rPr>
          </w:pPr>
        </w:p>
      </w:sdtContent>
    </w:sdt>
    <w:bookmarkEnd w:id="153"/>
    <w:sdt>
      <w:sdtPr>
        <w:rPr>
          <w:rFonts w:hint="eastAsia"/>
          <w:szCs w:val="21"/>
        </w:rPr>
        <w:alias w:val="模块:应收股利的说明"/>
        <w:tag w:val="_SEC_e50f0bae57ac4f97bb5148c612a8ca48"/>
        <w:id w:val="865724695"/>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p>
          <w:pPr>
            <w:rPr>
              <w:szCs w:val="21"/>
            </w:rPr>
          </w:pPr>
          <w:sdt>
            <w:sdtPr>
              <w:rPr>
                <w:szCs w:val="21"/>
              </w:rPr>
              <w:alias w:val="是否适用：应收股利的说明[双击切换]"/>
              <w:tag w:val="_GBC_22314d2cdf794d5f90af92f13665da22"/>
              <w:id w:val="865724694"/>
              <w:lock w:val="sdtLocked"/>
              <w:placeholder>
                <w:docPart w:val="GBC22222222222222222222222222222"/>
              </w:placeholder>
            </w:sdtPr>
            <w:sdtEndPr>
              <w:rPr>
                <w:szCs w:val="21"/>
              </w:rPr>
            </w:sdtEnd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p>
      <w:pPr>
        <w:snapToGrid w:val="0"/>
        <w:spacing w:line="240" w:lineRule="atLeast"/>
        <w:ind w:right="25" w:rightChars="12"/>
        <w:rPr>
          <w:color w:val="FF0000"/>
          <w:szCs w:val="21"/>
        </w:rPr>
      </w:pPr>
    </w:p>
    <w:p>
      <w:pPr>
        <w:pStyle w:val="5"/>
        <w:ind w:left="360" w:hanging="360"/>
      </w:pPr>
      <w:r>
        <w:rPr>
          <w:rFonts w:hint="eastAsia"/>
        </w:rPr>
        <w:t>其他应收款</w:t>
      </w:r>
    </w:p>
    <w:sdt>
      <w:sdtPr>
        <w:rPr>
          <w:rFonts w:hint="eastAsia" w:ascii="宋体" w:hAnsi="宋体" w:eastAsia="宋体" w:cs="宋体"/>
          <w:b w:val="0"/>
          <w:bCs w:val="0"/>
          <w:kern w:val="0"/>
          <w:szCs w:val="24"/>
        </w:rPr>
        <w:alias w:val="模块:按账龄披露"/>
        <w:tag w:val="_SEC_9cd4f6309fba4b598ec2f3a0a4e083ad"/>
        <w:id w:val="865724715"/>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3"/>
              <w:numId w:val="83"/>
            </w:numPr>
            <w:ind w:left="426" w:hanging="426"/>
          </w:pPr>
          <w:bookmarkStart w:id="154" w:name="_Hlk533421204"/>
          <w:r>
            <w:rPr>
              <w:rFonts w:hint="eastAsia"/>
            </w:rPr>
            <w:t>按账龄披露</w:t>
          </w:r>
          <w:bookmarkEnd w:id="154"/>
        </w:p>
        <w:sdt>
          <w:sdtPr>
            <w:rPr>
              <w:rFonts w:hint="eastAsia"/>
              <w:szCs w:val="21"/>
            </w:rPr>
            <w:alias w:val="是否适用：组合中，按账龄分析法计提坏账准备的其他应收账款[双击切换]"/>
            <w:tag w:val="_GBC_b46a4e720a884c40b402c5b30a4f4432"/>
            <w:id w:val="86572469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8657246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8657246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589"/>
            <w:gridCol w:w="4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3693c274d2774e098d4e6f0b6ce787c4"/>
                <w:id w:val="865724699"/>
                <w:lock w:val="sdtLocked"/>
              </w:sdtPr>
              <w:sdtEndPr>
                <w:rPr>
                  <w:rFonts w:ascii="Times New Roman" w:hAnsi="Times New Roman" w:cs="Times New Roman"/>
                </w:rPr>
              </w:sdtEndPr>
              <w:sdtContent>
                <w:tc>
                  <w:tcPr>
                    <w:tcW w:w="25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账龄</w:t>
                    </w:r>
                  </w:p>
                </w:tc>
              </w:sdtContent>
            </w:sdt>
            <w:sdt>
              <w:sdtPr>
                <w:rPr>
                  <w:rFonts w:ascii="Times New Roman" w:hAnsi="Times New Roman" w:cs="Times New Roman"/>
                </w:rPr>
                <w:tag w:val="_PLD_592d3cc76c64401da21e664b374ad045"/>
                <w:id w:val="865724700"/>
                <w:lock w:val="sdtLocked"/>
              </w:sdtPr>
              <w:sdtEndPr>
                <w:rPr>
                  <w:rFonts w:ascii="Times New Roman" w:hAnsi="Times New Roman" w:cs="Times New Roman"/>
                </w:rPr>
              </w:sdtEndPr>
              <w:sdtContent>
                <w:tc>
                  <w:tcPr>
                    <w:tcW w:w="246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6947d7a3e56e4c59be970f76736c65e3"/>
                <w:id w:val="865724701"/>
                <w:lock w:val="sdtLocked"/>
              </w:sdtPr>
              <w:sdtEndPr>
                <w:rPr>
                  <w:rFonts w:ascii="Times New Roman" w:hAnsi="Times New Roman" w:cs="Times New Roman"/>
                </w:rPr>
              </w:sdtEndPr>
              <w:sdtContent>
                <w:tc>
                  <w:tcPr>
                    <w:tcW w:w="5000" w:type="pct"/>
                    <w:gridSpan w:val="2"/>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FF0000"/>
                        <w:szCs w:val="21"/>
                      </w:rPr>
                    </w:pPr>
                    <w:r>
                      <w:rPr>
                        <w:rFonts w:ascii="Times New Roman" w:hAnsi="Times New Roman" w:cs="Times New Roman"/>
                        <w:szCs w:val="21"/>
                      </w:rPr>
                      <w:t>1</w:t>
                    </w:r>
                    <w:r>
                      <w:rPr>
                        <w:rFonts w:ascii="Times New Roman" w:cs="Times New Roman"/>
                        <w:szCs w:val="21"/>
                      </w:rPr>
                      <w:t>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b7cf536363dd4da2bae7017806fba883"/>
                <w:id w:val="865724702"/>
                <w:lock w:val="sdtLocked"/>
              </w:sdtPr>
              <w:sdtEndPr>
                <w:rPr>
                  <w:rFonts w:ascii="Times New Roman" w:hAnsi="Times New Roman" w:cs="Times New Roman"/>
                </w:rPr>
              </w:sdtEndPr>
              <w:sdtContent>
                <w:tc>
                  <w:tcPr>
                    <w:tcW w:w="5000" w:type="pct"/>
                    <w:gridSpan w:val="2"/>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其中：</w:t>
                    </w:r>
                    <w:r>
                      <w:rPr>
                        <w:rFonts w:ascii="Times New Roman" w:hAnsi="Times New Roman" w:cs="Times New Roman"/>
                        <w:szCs w:val="21"/>
                      </w:rPr>
                      <w:t>1</w:t>
                    </w:r>
                    <w:r>
                      <w:rPr>
                        <w:rFonts w:ascii="Times New Roman" w:cs="Times New Roman"/>
                        <w:szCs w:val="21"/>
                      </w:rPr>
                      <w:t>年以内分项</w:t>
                    </w:r>
                  </w:p>
                </w:tc>
              </w:sdtContent>
            </w:sdt>
          </w:tr>
          <w:sdt>
            <w:sdtPr>
              <w:rPr>
                <w:rFonts w:ascii="Times New Roman" w:hAnsi="Times New Roman" w:cs="Times New Roman"/>
                <w:szCs w:val="21"/>
              </w:rPr>
              <w:alias w:val="一年以内其他应收款金额明细"/>
              <w:tag w:val="_TUP_dfa535b506af4aeb868cc2263d0644f6"/>
              <w:id w:val="86572470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533"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0.5</w:t>
                    </w:r>
                    <w:r>
                      <w:rPr>
                        <w:rFonts w:ascii="Times New Roman" w:cs="Times New Roman"/>
                      </w:rPr>
                      <w:t>年以内</w:t>
                    </w:r>
                  </w:p>
                </w:tc>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3,015,089.33</w:t>
                    </w:r>
                  </w:p>
                </w:tc>
              </w:tr>
            </w:sdtContent>
          </w:sdt>
          <w:sdt>
            <w:sdtPr>
              <w:rPr>
                <w:rFonts w:ascii="Times New Roman" w:hAnsi="Times New Roman" w:cs="Times New Roman"/>
                <w:szCs w:val="21"/>
              </w:rPr>
              <w:alias w:val="一年以内其他应收款金额明细"/>
              <w:tag w:val="_TUP_dfa535b506af4aeb868cc2263d0644f6"/>
              <w:id w:val="86572470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533"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0.5</w:t>
                    </w:r>
                    <w:r>
                      <w:rPr>
                        <w:rFonts w:ascii="Times New Roman" w:cs="Times New Roman"/>
                      </w:rPr>
                      <w:t>年至</w:t>
                    </w:r>
                    <w:r>
                      <w:rPr>
                        <w:rFonts w:ascii="Times New Roman" w:hAnsi="Times New Roman" w:cs="Times New Roman"/>
                      </w:rPr>
                      <w:t>1</w:t>
                    </w:r>
                    <w:r>
                      <w:rPr>
                        <w:rFonts w:ascii="Times New Roman" w:cs="Times New Roman"/>
                      </w:rPr>
                      <w:t>年</w:t>
                    </w:r>
                  </w:p>
                </w:tc>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3,235,112.48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f0ea7052fc724634bba2abea66f07723"/>
                <w:id w:val="865724705"/>
                <w:lock w:val="sdtLocked"/>
              </w:sdtPr>
              <w:sdtEndPr>
                <w:rPr>
                  <w:rFonts w:ascii="Times New Roman" w:hAnsi="Times New Roman" w:cs="Times New Roman"/>
                </w:rPr>
              </w:sdtEndPr>
              <w:sdtContent>
                <w:tc>
                  <w:tcPr>
                    <w:tcW w:w="2533"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年以内小计</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6,250,201.81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98586cfb9fec441587daa5f6317031cb"/>
                <w:id w:val="865724706"/>
                <w:lock w:val="sdtLocked"/>
              </w:sdtPr>
              <w:sdtEndPr>
                <w:rPr>
                  <w:rFonts w:ascii="Times New Roman" w:hAnsi="Times New Roman" w:cs="Times New Roman"/>
                </w:rPr>
              </w:sdtEndPr>
              <w:sdtContent>
                <w:tc>
                  <w:tcPr>
                    <w:tcW w:w="2533"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至</w:t>
                    </w:r>
                    <w:r>
                      <w:rPr>
                        <w:rFonts w:ascii="Times New Roman" w:hAnsi="Times New Roman" w:cs="Times New Roman"/>
                        <w:szCs w:val="21"/>
                      </w:rPr>
                      <w:t>2</w:t>
                    </w:r>
                    <w:r>
                      <w:rPr>
                        <w:rFonts w:ascii="Times New Roman" w:cs="Times New Roman"/>
                        <w:szCs w:val="21"/>
                      </w:rPr>
                      <w:t>年</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3,308,120.89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c7dfbea412634188b20a56b875d5c1a0"/>
                <w:id w:val="865724707"/>
                <w:lock w:val="sdtLocked"/>
              </w:sdtPr>
              <w:sdtEndPr>
                <w:rPr>
                  <w:rFonts w:ascii="Times New Roman" w:hAnsi="Times New Roman" w:cs="Times New Roman"/>
                </w:rPr>
              </w:sdtEndPr>
              <w:sdtContent>
                <w:tc>
                  <w:tcPr>
                    <w:tcW w:w="2533"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至</w:t>
                    </w:r>
                    <w:r>
                      <w:rPr>
                        <w:rFonts w:ascii="Times New Roman" w:hAnsi="Times New Roman" w:cs="Times New Roman"/>
                        <w:szCs w:val="21"/>
                      </w:rPr>
                      <w:t>3</w:t>
                    </w:r>
                    <w:r>
                      <w:rPr>
                        <w:rFonts w:ascii="Times New Roman" w:cs="Times New Roman"/>
                        <w:szCs w:val="21"/>
                      </w:rPr>
                      <w:t>年</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3,369,608.87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7dbeac7b61054fb5aa2ba4792e03ec86"/>
                <w:id w:val="865724708"/>
                <w:lock w:val="sdtLocked"/>
              </w:sdtPr>
              <w:sdtEndPr>
                <w:rPr>
                  <w:rFonts w:ascii="Times New Roman" w:hAnsi="Times New Roman" w:cs="Times New Roman"/>
                </w:rPr>
              </w:sdtEndPr>
              <w:sdtContent>
                <w:tc>
                  <w:tcPr>
                    <w:tcW w:w="2533"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年以上</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2,175,872.49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1219b34745ba43bd8890e188ec4fd1f5"/>
                <w:id w:val="865724709"/>
                <w:lock w:val="sdtLocked"/>
              </w:sdtPr>
              <w:sdtEndPr>
                <w:rPr>
                  <w:rFonts w:ascii="Times New Roman" w:hAnsi="Times New Roman" w:cs="Times New Roman"/>
                </w:rPr>
              </w:sdtEndPr>
              <w:sdtContent>
                <w:tc>
                  <w:tcPr>
                    <w:tcW w:w="2533"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至</w:t>
                    </w:r>
                    <w:r>
                      <w:rPr>
                        <w:rFonts w:ascii="Times New Roman" w:hAnsi="Times New Roman" w:cs="Times New Roman"/>
                        <w:szCs w:val="21"/>
                      </w:rPr>
                      <w:t>4</w:t>
                    </w:r>
                    <w:r>
                      <w:rPr>
                        <w:rFonts w:ascii="Times New Roman" w:cs="Times New Roman"/>
                        <w:szCs w:val="21"/>
                      </w:rPr>
                      <w:t>年</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139aa65599744a2ba97edb44895346cd"/>
                <w:id w:val="865724710"/>
                <w:lock w:val="sdtLocked"/>
              </w:sdtPr>
              <w:sdtEndPr>
                <w:rPr>
                  <w:rFonts w:ascii="Times New Roman" w:hAnsi="Times New Roman" w:cs="Times New Roman"/>
                </w:rPr>
              </w:sdtEndPr>
              <w:sdtContent>
                <w:tc>
                  <w:tcPr>
                    <w:tcW w:w="2533"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至</w:t>
                    </w:r>
                    <w:r>
                      <w:rPr>
                        <w:rFonts w:ascii="Times New Roman" w:hAnsi="Times New Roman" w:cs="Times New Roman"/>
                        <w:szCs w:val="21"/>
                      </w:rPr>
                      <w:t>5</w:t>
                    </w:r>
                    <w:r>
                      <w:rPr>
                        <w:rFonts w:ascii="Times New Roman" w:cs="Times New Roman"/>
                        <w:szCs w:val="21"/>
                      </w:rPr>
                      <w:t>年</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7ea221e85abe4d948804f7b8cb9abd12"/>
                <w:id w:val="865724711"/>
                <w:lock w:val="sdtLocked"/>
              </w:sdtPr>
              <w:sdtEndPr>
                <w:rPr>
                  <w:rFonts w:ascii="Times New Roman" w:hAnsi="Times New Roman" w:cs="Times New Roman"/>
                </w:rPr>
              </w:sdtEndPr>
              <w:sdtContent>
                <w:tc>
                  <w:tcPr>
                    <w:tcW w:w="2533"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5</w:t>
                    </w:r>
                    <w:r>
                      <w:rPr>
                        <w:rFonts w:ascii="Times New Roman" w:cs="Times New Roman"/>
                        <w:szCs w:val="21"/>
                      </w:rPr>
                      <w:t>年以上</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12,996,251.70</w:t>
                </w:r>
              </w:p>
            </w:tc>
          </w:tr>
          <w:sdt>
            <w:sdtPr>
              <w:rPr>
                <w:rFonts w:ascii="Times New Roman" w:hAnsi="Times New Roman" w:cs="Times New Roman"/>
              </w:rPr>
              <w:alias w:val="按账龄分析法计提坏账准备的其他应收款明细"/>
              <w:tag w:val="_TUP_ee38dddc16a8427aa70aa7b0949306f1"/>
              <w:id w:val="86572471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533"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cs="Times New Roman"/>
                      </w:rPr>
                      <w:t>坏账准备</w:t>
                    </w:r>
                  </w:p>
                </w:tc>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-17,026,749.55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86909243a0c54a05a7001e5799415551"/>
                <w:id w:val="865724714"/>
                <w:lock w:val="sdtLocked"/>
              </w:sdtPr>
              <w:sdtEndPr>
                <w:rPr>
                  <w:rFonts w:ascii="Times New Roman" w:hAnsi="Times New Roman" w:cs="Times New Roman"/>
                </w:rPr>
              </w:sdtEndPr>
              <w:sdtContent>
                <w:tc>
                  <w:tcPr>
                    <w:tcW w:w="25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合计</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11,073,306.21</w:t>
                </w:r>
              </w:p>
            </w:tc>
          </w:tr>
        </w:tbl>
        <w:p/>
        <w:p/>
      </w:sdtContent>
    </w:sdt>
    <w:p/>
    <w:sdt>
      <w:sdtPr>
        <w:rPr>
          <w:rFonts w:hint="eastAsia" w:ascii="宋体" w:hAnsi="宋体" w:eastAsia="宋体" w:cs="宋体"/>
          <w:b w:val="0"/>
          <w:bCs w:val="0"/>
          <w:kern w:val="0"/>
          <w:szCs w:val="24"/>
        </w:rPr>
        <w:alias w:val="模块:按款项性质分类情况"/>
        <w:tag w:val="_SEC_8efe5956682a453f8d45e3b621bac05e"/>
        <w:id w:val="865724728"/>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83"/>
            </w:numPr>
            <w:ind w:left="426" w:hanging="426"/>
          </w:pPr>
          <w:r>
            <w:rPr>
              <w:rFonts w:hint="eastAsia"/>
            </w:rPr>
            <w:t>按款项性质分类情况</w:t>
          </w:r>
        </w:p>
        <w:p>
          <w:sdt>
            <w:sdtPr>
              <w:alias w:val="是否适用：其他应收款按款项性质分类情况[双击切换]"/>
              <w:tag w:val="_GBC_f8f8208812d5412eb0a2fdddf1a9d330"/>
              <w:id w:val="865724716"/>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ind w:firstLine="6510" w:firstLineChars="3100"/>
            <w:rPr>
              <w:rFonts w:ascii="Times New Roman" w:hAnsi="Times New Roman" w:cs="Times New Roman"/>
            </w:rPr>
          </w:pPr>
          <w:r>
            <w:rPr>
              <w:rFonts w:ascii="Times New Roman" w:cs="Times New Roman"/>
            </w:rPr>
            <w:t>单位：</w:t>
          </w:r>
          <w:sdt>
            <w:sdtPr>
              <w:rPr>
                <w:rFonts w:ascii="Times New Roman" w:hAnsi="Times New Roman" w:cs="Times New Roman"/>
              </w:rPr>
              <w:alias w:val="单位：财务附注：其他应收款按款项性质分类情况"/>
              <w:tag w:val="_GBC_6e3e3b79e1a6467e8f5cdcabc0a95e4a"/>
              <w:id w:val="865724717"/>
              <w:lock w:val="sdtLocked"/>
              <w:comboBox>
                <w:listItem w:displayText="元" w:value="1"/>
                <w:listItem w:displayText="千元" w:value="1000"/>
                <w:listItem w:displayText="万元" w:value="10000"/>
                <w:listItem w:displayText="百万元" w:value="1000000"/>
                <w:listItem w:displayText="亿元" w:value="100000000"/>
              </w:comboBox>
            </w:sdtPr>
            <w:sdtEndPr>
              <w:rPr>
                <w:rFonts w:ascii="Times New Roman" w:hAnsi="Times New Roman" w:cs="Times New Roman"/>
              </w:rPr>
            </w:sdtEndPr>
            <w:sdtContent>
              <w:r>
                <w:rPr>
                  <w:rFonts w:ascii="Times New Roman" w:cs="Times New Roman"/>
                </w:rPr>
                <w:t>元</w:t>
              </w:r>
            </w:sdtContent>
          </w:sdt>
          <w:r>
            <w:rPr>
              <w:rFonts w:ascii="Times New Roman" w:hAnsi="Times New Roman" w:cs="Times New Roman"/>
            </w:rPr>
            <w:t xml:space="preserve">  </w:t>
          </w:r>
          <w:r>
            <w:rPr>
              <w:rFonts w:ascii="Times New Roman" w:cs="Times New Roman"/>
            </w:rPr>
            <w:t>币种：</w:t>
          </w:r>
          <w:sdt>
            <w:sdtPr>
              <w:rPr>
                <w:rFonts w:ascii="Times New Roman" w:hAnsi="Times New Roman" w:cs="Times New Roman"/>
              </w:rPr>
              <w:alias w:val="币种：财务附注：其他应收款按款项性质分类情况"/>
              <w:tag w:val="_GBC_09f3d6bcff8b483f9de34a3ddb25bad4"/>
              <w:id w:val="8657247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Times New Roman" w:hAnsi="Times New Roman" w:cs="Times New Roman"/>
              </w:rPr>
            </w:sdtEndPr>
            <w:sdtContent>
              <w:r>
                <w:rPr>
                  <w:rFonts w:ascii="Times New Roman" w:cs="Times New Roman"/>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2981"/>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3e4ae09c73a4371a49803278d537455"/>
                <w:id w:val="865724719"/>
                <w:lock w:val="sdtLocked"/>
              </w:sdtPr>
              <w:sdtEndPr>
                <w:rPr>
                  <w:rFonts w:ascii="Times New Roman" w:hAnsi="Times New Roman" w:cs="Times New Roman"/>
                </w:rPr>
              </w:sdtEndPr>
              <w:sdtContent>
                <w:tc>
                  <w:tcPr>
                    <w:tcW w:w="1700" w:type="pct"/>
                    <w:shd w:val="clear" w:color="auto" w:fill="auto"/>
                    <w:vAlign w:val="center"/>
                  </w:tcPr>
                  <w:p>
                    <w:pPr>
                      <w:jc w:val="center"/>
                      <w:rPr>
                        <w:rFonts w:ascii="Times New Roman" w:hAnsi="Times New Roman" w:cs="Times New Roman"/>
                      </w:rPr>
                    </w:pPr>
                    <w:r>
                      <w:rPr>
                        <w:rFonts w:ascii="Times New Roman" w:cs="Times New Roman"/>
                      </w:rPr>
                      <w:t>款项性质</w:t>
                    </w:r>
                  </w:p>
                </w:tc>
              </w:sdtContent>
            </w:sdt>
            <w:sdt>
              <w:sdtPr>
                <w:rPr>
                  <w:rFonts w:ascii="Times New Roman" w:hAnsi="Times New Roman" w:cs="Times New Roman"/>
                </w:rPr>
                <w:tag w:val="_PLD_166416173edb4a39b34c47c78d0dc766"/>
                <w:id w:val="865724720"/>
                <w:lock w:val="sdtLocked"/>
              </w:sdtPr>
              <w:sdtEndPr>
                <w:rPr>
                  <w:rFonts w:ascii="Times New Roman" w:hAnsi="Times New Roman" w:cs="Times New Roman"/>
                </w:rPr>
              </w:sdtEndPr>
              <w:sdtContent>
                <w:tc>
                  <w:tcPr>
                    <w:tcW w:w="1647" w:type="pct"/>
                    <w:shd w:val="clear" w:color="auto" w:fill="auto"/>
                    <w:vAlign w:val="center"/>
                  </w:tcPr>
                  <w:p>
                    <w:pPr>
                      <w:jc w:val="center"/>
                      <w:rPr>
                        <w:rFonts w:ascii="Times New Roman" w:hAnsi="Times New Roman" w:cs="Times New Roman"/>
                      </w:rPr>
                    </w:pPr>
                    <w:r>
                      <w:rPr>
                        <w:rFonts w:ascii="Times New Roman" w:cs="Times New Roman"/>
                      </w:rPr>
                      <w:t>期末账面余额</w:t>
                    </w:r>
                  </w:p>
                </w:tc>
              </w:sdtContent>
            </w:sdt>
            <w:sdt>
              <w:sdtPr>
                <w:rPr>
                  <w:rFonts w:ascii="Times New Roman" w:hAnsi="Times New Roman" w:cs="Times New Roman"/>
                </w:rPr>
                <w:tag w:val="_PLD_a78baace40634aeaaff4786c955e1f60"/>
                <w:id w:val="865724721"/>
                <w:lock w:val="sdtLocked"/>
              </w:sdtPr>
              <w:sdtEndPr>
                <w:rPr>
                  <w:rFonts w:ascii="Times New Roman" w:hAnsi="Times New Roman" w:cs="Times New Roman"/>
                </w:rPr>
              </w:sdtEndPr>
              <w:sdtContent>
                <w:tc>
                  <w:tcPr>
                    <w:tcW w:w="1653" w:type="pct"/>
                    <w:shd w:val="clear" w:color="auto" w:fill="auto"/>
                    <w:vAlign w:val="center"/>
                  </w:tcPr>
                  <w:p>
                    <w:pPr>
                      <w:jc w:val="center"/>
                      <w:rPr>
                        <w:rFonts w:ascii="Times New Roman" w:hAnsi="Times New Roman" w:cs="Times New Roman"/>
                      </w:rPr>
                    </w:pPr>
                    <w:r>
                      <w:rPr>
                        <w:rFonts w:ascii="Times New Roman" w:cs="Times New Roman"/>
                      </w:rPr>
                      <w:t>期初账面余额</w:t>
                    </w:r>
                  </w:p>
                </w:tc>
              </w:sdtContent>
            </w:sdt>
          </w:tr>
          <w:sdt>
            <w:sdtPr>
              <w:rPr>
                <w:rFonts w:ascii="Times New Roman" w:hAnsi="Times New Roman" w:cs="Times New Roman"/>
              </w:rPr>
              <w:alias w:val="其他应收款按款项性质分类情况明细"/>
              <w:tag w:val="_TUP_57a46f72357b45e3ae87e72e625249f6"/>
              <w:id w:val="865724722"/>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imes New Roman" w:hAnsi="Times New Roman" w:cs="Times New Roman"/>
                      </w:rPr>
                    </w:pPr>
                    <w:r>
                      <w:rPr>
                        <w:rFonts w:ascii="Times New Roman" w:cs="Times New Roman"/>
                      </w:rPr>
                      <w:t>转让款</w:t>
                    </w:r>
                  </w:p>
                </w:tc>
                <w:tc>
                  <w:tcPr>
                    <w:tcW w:w="1647" w:type="pct"/>
                    <w:shd w:val="clear" w:color="auto" w:fill="auto"/>
                  </w:tcPr>
                  <w:p>
                    <w:pPr>
                      <w:jc w:val="right"/>
                      <w:rPr>
                        <w:rFonts w:ascii="Times New Roman" w:hAnsi="Times New Roman" w:cs="Times New Roman"/>
                      </w:rPr>
                    </w:pPr>
                  </w:p>
                </w:tc>
                <w:tc>
                  <w:tcPr>
                    <w:tcW w:w="1653" w:type="pct"/>
                    <w:shd w:val="clear" w:color="auto" w:fill="auto"/>
                  </w:tcPr>
                  <w:p>
                    <w:pPr>
                      <w:jc w:val="right"/>
                      <w:rPr>
                        <w:rFonts w:ascii="Times New Roman" w:hAnsi="Times New Roman" w:cs="Times New Roman"/>
                      </w:rPr>
                    </w:pPr>
                    <w:r>
                      <w:rPr>
                        <w:rFonts w:ascii="Times New Roman" w:hAnsi="Times New Roman" w:cs="Times New Roman"/>
                      </w:rPr>
                      <w:t>615,873,712.57</w:t>
                    </w:r>
                  </w:p>
                </w:tc>
              </w:tr>
            </w:sdtContent>
          </w:sdt>
          <w:sdt>
            <w:sdtPr>
              <w:rPr>
                <w:rFonts w:ascii="Times New Roman" w:hAnsi="Times New Roman" w:cs="Times New Roman"/>
              </w:rPr>
              <w:alias w:val="其他应收款按款项性质分类情况明细"/>
              <w:tag w:val="_TUP_57a46f72357b45e3ae87e72e625249f6"/>
              <w:id w:val="865724723"/>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imes New Roman" w:hAnsi="Times New Roman" w:cs="Times New Roman"/>
                      </w:rPr>
                    </w:pPr>
                    <w:r>
                      <w:rPr>
                        <w:rFonts w:ascii="Times New Roman" w:cs="Times New Roman"/>
                      </w:rPr>
                      <w:t>往来款</w:t>
                    </w:r>
                  </w:p>
                </w:tc>
                <w:tc>
                  <w:tcPr>
                    <w:tcW w:w="1647" w:type="pct"/>
                    <w:shd w:val="clear" w:color="auto" w:fill="auto"/>
                    <w:vAlign w:val="center"/>
                  </w:tcPr>
                  <w:p>
                    <w:pPr>
                      <w:jc w:val="right"/>
                      <w:rPr>
                        <w:rFonts w:ascii="Times New Roman" w:hAnsi="Times New Roman" w:cs="Times New Roman"/>
                      </w:rPr>
                    </w:pPr>
                    <w:r>
                      <w:rPr>
                        <w:rFonts w:ascii="Times New Roman" w:hAnsi="Times New Roman" w:cs="Times New Roman"/>
                      </w:rPr>
                      <w:t>13,096,343.61</w:t>
                    </w:r>
                  </w:p>
                </w:tc>
                <w:tc>
                  <w:tcPr>
                    <w:tcW w:w="1653" w:type="pct"/>
                    <w:shd w:val="clear" w:color="auto" w:fill="auto"/>
                    <w:vAlign w:val="center"/>
                  </w:tcPr>
                  <w:p>
                    <w:pPr>
                      <w:jc w:val="right"/>
                      <w:rPr>
                        <w:rFonts w:ascii="Times New Roman" w:hAnsi="Times New Roman" w:cs="Times New Roman"/>
                      </w:rPr>
                    </w:pPr>
                    <w:r>
                      <w:rPr>
                        <w:rFonts w:ascii="Times New Roman" w:hAnsi="Times New Roman" w:cs="Times New Roman"/>
                      </w:rPr>
                      <w:t>11,388,029.62</w:t>
                    </w:r>
                  </w:p>
                </w:tc>
              </w:tr>
            </w:sdtContent>
          </w:sdt>
          <w:sdt>
            <w:sdtPr>
              <w:rPr>
                <w:rFonts w:ascii="Times New Roman" w:hAnsi="Times New Roman" w:cs="Times New Roman"/>
              </w:rPr>
              <w:alias w:val="其他应收款按款项性质分类情况明细"/>
              <w:tag w:val="_TUP_57a46f72357b45e3ae87e72e625249f6"/>
              <w:id w:val="865724724"/>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imes New Roman" w:hAnsi="Times New Roman" w:cs="Times New Roman"/>
                      </w:rPr>
                    </w:pPr>
                    <w:r>
                      <w:rPr>
                        <w:rFonts w:ascii="Times New Roman" w:cs="Times New Roman"/>
                      </w:rPr>
                      <w:t>押金及保证金</w:t>
                    </w:r>
                  </w:p>
                </w:tc>
                <w:tc>
                  <w:tcPr>
                    <w:tcW w:w="1647" w:type="pct"/>
                    <w:shd w:val="clear" w:color="auto" w:fill="auto"/>
                    <w:vAlign w:val="center"/>
                  </w:tcPr>
                  <w:p>
                    <w:pPr>
                      <w:jc w:val="right"/>
                      <w:rPr>
                        <w:rFonts w:ascii="Times New Roman" w:hAnsi="Times New Roman" w:cs="Times New Roman"/>
                      </w:rPr>
                    </w:pPr>
                    <w:r>
                      <w:rPr>
                        <w:rFonts w:ascii="Times New Roman" w:hAnsi="Times New Roman" w:cs="Times New Roman"/>
                      </w:rPr>
                      <w:t>5,072,143.61</w:t>
                    </w:r>
                  </w:p>
                </w:tc>
                <w:tc>
                  <w:tcPr>
                    <w:tcW w:w="1653" w:type="pct"/>
                    <w:shd w:val="clear" w:color="auto" w:fill="auto"/>
                    <w:vAlign w:val="center"/>
                  </w:tcPr>
                  <w:p>
                    <w:pPr>
                      <w:jc w:val="right"/>
                      <w:rPr>
                        <w:rFonts w:ascii="Times New Roman" w:hAnsi="Times New Roman" w:cs="Times New Roman"/>
                      </w:rPr>
                    </w:pPr>
                    <w:r>
                      <w:rPr>
                        <w:rFonts w:ascii="Times New Roman" w:hAnsi="Times New Roman" w:cs="Times New Roman"/>
                      </w:rPr>
                      <w:t>4,256,505.00</w:t>
                    </w:r>
                  </w:p>
                </w:tc>
              </w:tr>
            </w:sdtContent>
          </w:sdt>
          <w:sdt>
            <w:sdtPr>
              <w:rPr>
                <w:rFonts w:ascii="Times New Roman" w:hAnsi="Times New Roman" w:cs="Times New Roman"/>
              </w:rPr>
              <w:alias w:val="其他应收款按款项性质分类情况明细"/>
              <w:tag w:val="_TUP_57a46f72357b45e3ae87e72e625249f6"/>
              <w:id w:val="865724725"/>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imes New Roman" w:hAnsi="Times New Roman" w:cs="Times New Roman"/>
                      </w:rPr>
                    </w:pPr>
                    <w:r>
                      <w:rPr>
                        <w:rFonts w:ascii="Times New Roman" w:cs="Times New Roman"/>
                      </w:rPr>
                      <w:t>备用金</w:t>
                    </w:r>
                  </w:p>
                </w:tc>
                <w:tc>
                  <w:tcPr>
                    <w:tcW w:w="1647" w:type="pct"/>
                    <w:shd w:val="clear" w:color="auto" w:fill="auto"/>
                    <w:vAlign w:val="center"/>
                  </w:tcPr>
                  <w:p>
                    <w:pPr>
                      <w:jc w:val="right"/>
                      <w:rPr>
                        <w:rFonts w:ascii="Times New Roman" w:hAnsi="Times New Roman" w:cs="Times New Roman"/>
                      </w:rPr>
                    </w:pPr>
                    <w:r>
                      <w:rPr>
                        <w:rFonts w:ascii="Times New Roman" w:hAnsi="Times New Roman" w:cs="Times New Roman"/>
                      </w:rPr>
                      <w:t>7,365,675.29</w:t>
                    </w:r>
                  </w:p>
                </w:tc>
                <w:tc>
                  <w:tcPr>
                    <w:tcW w:w="1653" w:type="pct"/>
                    <w:shd w:val="clear" w:color="auto" w:fill="auto"/>
                    <w:vAlign w:val="center"/>
                  </w:tcPr>
                  <w:p>
                    <w:pPr>
                      <w:jc w:val="right"/>
                      <w:rPr>
                        <w:rFonts w:ascii="Times New Roman" w:hAnsi="Times New Roman" w:cs="Times New Roman"/>
                      </w:rPr>
                    </w:pPr>
                    <w:r>
                      <w:rPr>
                        <w:rFonts w:ascii="Times New Roman" w:hAnsi="Times New Roman" w:cs="Times New Roman"/>
                      </w:rPr>
                      <w:t>11,211,461.53</w:t>
                    </w:r>
                  </w:p>
                </w:tc>
              </w:tr>
            </w:sdtContent>
          </w:sdt>
          <w:sdt>
            <w:sdtPr>
              <w:rPr>
                <w:rFonts w:ascii="Times New Roman" w:hAnsi="Times New Roman" w:cs="Times New Roman"/>
              </w:rPr>
              <w:alias w:val="其他应收款按款项性质分类情况明细"/>
              <w:tag w:val="_TUP_57a46f72357b45e3ae87e72e625249f6"/>
              <w:id w:val="865724726"/>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imes New Roman" w:hAnsi="Times New Roman" w:cs="Times New Roman"/>
                      </w:rPr>
                    </w:pPr>
                    <w:r>
                      <w:rPr>
                        <w:rFonts w:ascii="Times New Roman" w:cs="Times New Roman"/>
                      </w:rPr>
                      <w:t>其他</w:t>
                    </w:r>
                  </w:p>
                </w:tc>
                <w:tc>
                  <w:tcPr>
                    <w:tcW w:w="1647" w:type="pct"/>
                    <w:shd w:val="clear" w:color="auto" w:fill="auto"/>
                    <w:vAlign w:val="center"/>
                  </w:tcPr>
                  <w:p>
                    <w:pPr>
                      <w:jc w:val="right"/>
                      <w:rPr>
                        <w:rFonts w:ascii="Times New Roman" w:hAnsi="Times New Roman" w:cs="Times New Roman"/>
                      </w:rPr>
                    </w:pPr>
                    <w:r>
                      <w:rPr>
                        <w:rFonts w:ascii="Times New Roman" w:hAnsi="Times New Roman" w:cs="Times New Roman"/>
                      </w:rPr>
                      <w:t>2,565,893.25</w:t>
                    </w:r>
                  </w:p>
                </w:tc>
                <w:tc>
                  <w:tcPr>
                    <w:tcW w:w="1653" w:type="pct"/>
                    <w:shd w:val="clear" w:color="auto" w:fill="auto"/>
                    <w:vAlign w:val="center"/>
                  </w:tcPr>
                  <w:p>
                    <w:pPr>
                      <w:jc w:val="right"/>
                      <w:rPr>
                        <w:rFonts w:ascii="Times New Roman" w:hAnsi="Times New Roman" w:cs="Times New Roman"/>
                      </w:rPr>
                    </w:pPr>
                    <w:r>
                      <w:rPr>
                        <w:rFonts w:ascii="Times New Roman" w:hAnsi="Times New Roman" w:cs="Times New Roman"/>
                      </w:rPr>
                      <w:t>4,061,194.28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caa65b7047104096987b4ba036051976"/>
                <w:id w:val="865724727"/>
                <w:lock w:val="sdtLocked"/>
              </w:sdtPr>
              <w:sdtEndPr>
                <w:rPr>
                  <w:rFonts w:ascii="Times New Roman" w:hAnsi="Times New Roman" w:cs="Times New Roman"/>
                </w:rPr>
              </w:sdtEndPr>
              <w:sdtContent>
                <w:tc>
                  <w:tcPr>
                    <w:tcW w:w="1700" w:type="pct"/>
                    <w:shd w:val="clear" w:color="auto" w:fill="auto"/>
                  </w:tcPr>
                  <w:p>
                    <w:pPr>
                      <w:jc w:val="center"/>
                      <w:rPr>
                        <w:rFonts w:ascii="Times New Roman" w:hAnsi="Times New Roman" w:cs="Times New Roman"/>
                      </w:rPr>
                    </w:pPr>
                    <w:r>
                      <w:rPr>
                        <w:rFonts w:ascii="Times New Roman" w:cs="Times New Roman"/>
                      </w:rPr>
                      <w:t>合计</w:t>
                    </w:r>
                  </w:p>
                </w:tc>
              </w:sdtContent>
            </w:sdt>
            <w:tc>
              <w:tcPr>
                <w:tcW w:w="1647" w:type="pct"/>
                <w:shd w:val="clear" w:color="auto" w:fill="auto"/>
                <w:vAlign w:val="center"/>
              </w:tcPr>
              <w:p>
                <w:pPr>
                  <w:jc w:val="right"/>
                  <w:rPr>
                    <w:rFonts w:ascii="Times New Roman" w:hAnsi="Times New Roman" w:cs="Times New Roman"/>
                    <w:sz w:val="24"/>
                  </w:rPr>
                </w:pPr>
                <w:r>
                  <w:rPr>
                    <w:rFonts w:ascii="Times New Roman" w:hAnsi="Times New Roman" w:cs="Times New Roman"/>
                  </w:rPr>
                  <w:t>28,100,055.76</w:t>
                </w:r>
              </w:p>
            </w:tc>
            <w:tc>
              <w:tcPr>
                <w:tcW w:w="1653" w:type="pct"/>
                <w:shd w:val="clear" w:color="auto" w:fill="auto"/>
                <w:vAlign w:val="center"/>
              </w:tcPr>
              <w:p>
                <w:pPr>
                  <w:jc w:val="right"/>
                  <w:rPr>
                    <w:rFonts w:ascii="Times New Roman" w:hAnsi="Times New Roman" w:cs="Times New Roman"/>
                    <w:sz w:val="24"/>
                  </w:rPr>
                </w:pPr>
                <w:r>
                  <w:rPr>
                    <w:rFonts w:ascii="Times New Roman" w:hAnsi="Times New Roman" w:cs="Times New Roman"/>
                  </w:rPr>
                  <w:t>646,790,903.00</w:t>
                </w:r>
              </w:p>
            </w:tc>
          </w:tr>
        </w:tbl>
        <w:p/>
        <w:p/>
      </w:sdtContent>
    </w:sdt>
    <w:sdt>
      <w:sdtPr>
        <w:rPr>
          <w:rFonts w:hint="eastAsia" w:ascii="宋体" w:hAnsi="宋体" w:eastAsia="宋体" w:cs="宋体"/>
          <w:b w:val="0"/>
          <w:bCs w:val="0"/>
          <w:kern w:val="0"/>
          <w:szCs w:val="24"/>
        </w:rPr>
        <w:alias w:val="模块:坏账准备计提情况"/>
        <w:tag w:val="_SEC_cb69c8378cb54035bc6be62addb6389d"/>
        <w:id w:val="865724753"/>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83"/>
            </w:numPr>
            <w:ind w:left="426" w:hanging="426"/>
          </w:pPr>
          <w:bookmarkStart w:id="155" w:name="_Hlk533867880"/>
          <w:r>
            <w:rPr>
              <w:rFonts w:hint="eastAsia" w:ascii="宋体" w:hAnsi="宋体" w:eastAsia="宋体" w:cs="宋体"/>
              <w:bCs w:val="0"/>
              <w:kern w:val="0"/>
              <w:szCs w:val="24"/>
            </w:rPr>
            <w:t>坏账准备计提情况</w:t>
          </w:r>
        </w:p>
        <w:sdt>
          <w:sdtPr>
            <w:rPr>
              <w:szCs w:val="21"/>
            </w:rPr>
            <w:alias w:val="是否适用：其他应收款坏账准备调节表[双击切换]"/>
            <w:tag w:val="_GBC_89d7c1af9f504137a919fea1a314fa80"/>
            <w:id w:val="865724729"/>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jc w:val="right"/>
            <w:rPr>
              <w:szCs w:val="21"/>
            </w:rPr>
          </w:pPr>
          <w:r>
            <w:rPr>
              <w:rFonts w:hint="eastAsia"/>
              <w:szCs w:val="21"/>
            </w:rPr>
            <w:t>单位：</w:t>
          </w:r>
          <w:sdt>
            <w:sdtPr>
              <w:rPr>
                <w:rFonts w:hint="eastAsia"/>
                <w:szCs w:val="21"/>
              </w:rPr>
              <w:alias w:val="单位：其他应收款坏账准备调节表"/>
              <w:tag w:val="_GBC_1e902dc07fc44240af1ff69475733c28"/>
              <w:id w:val="8657247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865724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582"/>
            <w:gridCol w:w="1980"/>
            <w:gridCol w:w="198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f734c3456a843bda898d16924c52045"/>
                <w:id w:val="865724732"/>
                <w:lock w:val="sdtLocked"/>
              </w:sdtPr>
              <w:sdtEndPr>
                <w:rPr>
                  <w:rFonts w:ascii="Times New Roman" w:hAnsi="Times New Roman" w:cs="Times New Roman"/>
                </w:rPr>
              </w:sdtEndPr>
              <w:sdtContent>
                <w:tc>
                  <w:tcPr>
                    <w:tcW w:w="998" w:type="pct"/>
                    <w:vMerge w:val="restart"/>
                    <w:vAlign w:val="center"/>
                  </w:tcPr>
                  <w:p>
                    <w:pPr>
                      <w:pStyle w:val="87"/>
                      <w:spacing w:after="0"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坏账准备</w:t>
                    </w:r>
                  </w:p>
                </w:tc>
              </w:sdtContent>
            </w:sdt>
            <w:sdt>
              <w:sdtPr>
                <w:rPr>
                  <w:rFonts w:ascii="Times New Roman" w:hAnsi="Times New Roman" w:cs="Times New Roman"/>
                </w:rPr>
                <w:tag w:val="_PLD_cc2d5e47d032466f8f32fd4edec15e33"/>
                <w:id w:val="865724733"/>
                <w:lock w:val="sdtLocked"/>
              </w:sdtPr>
              <w:sdtEndPr>
                <w:rPr>
                  <w:rFonts w:ascii="Times New Roman" w:hAnsi="Times New Roman" w:cs="Times New Roman"/>
                </w:rPr>
              </w:sdtEndPr>
              <w:sdtContent>
                <w:tc>
                  <w:tcPr>
                    <w:tcW w:w="874" w:type="pct"/>
                    <w:vAlign w:val="center"/>
                  </w:tcPr>
                  <w:p>
                    <w:pPr>
                      <w:pStyle w:val="87"/>
                      <w:spacing w:after="0"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第一阶段</w:t>
                    </w:r>
                  </w:p>
                </w:tc>
              </w:sdtContent>
            </w:sdt>
            <w:sdt>
              <w:sdtPr>
                <w:rPr>
                  <w:rFonts w:ascii="Times New Roman" w:hAnsi="Times New Roman" w:cs="Times New Roman"/>
                </w:rPr>
                <w:tag w:val="_PLD_f7ffd31ab3534493bb75ab7d04c0c751"/>
                <w:id w:val="865724734"/>
                <w:lock w:val="sdtLocked"/>
              </w:sdtPr>
              <w:sdtEndPr>
                <w:rPr>
                  <w:rFonts w:ascii="Times New Roman" w:hAnsi="Times New Roman" w:cs="Times New Roman"/>
                </w:rPr>
              </w:sdtEndPr>
              <w:sdtContent>
                <w:tc>
                  <w:tcPr>
                    <w:tcW w:w="1094" w:type="pct"/>
                    <w:vAlign w:val="center"/>
                  </w:tcPr>
                  <w:p>
                    <w:pPr>
                      <w:pStyle w:val="87"/>
                      <w:spacing w:after="0"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第二阶段</w:t>
                    </w:r>
                  </w:p>
                </w:tc>
              </w:sdtContent>
            </w:sdt>
            <w:sdt>
              <w:sdtPr>
                <w:rPr>
                  <w:rFonts w:ascii="Times New Roman" w:hAnsi="Times New Roman" w:cs="Times New Roman"/>
                </w:rPr>
                <w:tag w:val="_PLD_b787de87168848159cb3a46726196c34"/>
                <w:id w:val="865724735"/>
                <w:lock w:val="sdtLocked"/>
              </w:sdtPr>
              <w:sdtEndPr>
                <w:rPr>
                  <w:rFonts w:ascii="Times New Roman" w:hAnsi="Times New Roman" w:cs="Times New Roman"/>
                </w:rPr>
              </w:sdtEndPr>
              <w:sdtContent>
                <w:tc>
                  <w:tcPr>
                    <w:tcW w:w="1094" w:type="pct"/>
                    <w:vAlign w:val="center"/>
                  </w:tcPr>
                  <w:p>
                    <w:pPr>
                      <w:pStyle w:val="87"/>
                      <w:spacing w:after="0"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第三阶段</w:t>
                    </w:r>
                  </w:p>
                </w:tc>
              </w:sdtContent>
            </w:sdt>
            <w:sdt>
              <w:sdtPr>
                <w:rPr>
                  <w:rFonts w:ascii="Times New Roman" w:hAnsi="Times New Roman" w:cs="Times New Roman"/>
                </w:rPr>
                <w:tag w:val="_PLD_3b31af1f922741a8874346a86f3e2d25"/>
                <w:id w:val="865724736"/>
                <w:lock w:val="sdtLocked"/>
              </w:sdtPr>
              <w:sdtEndPr>
                <w:rPr>
                  <w:rFonts w:ascii="Times New Roman" w:hAnsi="Times New Roman" w:cs="Times New Roman"/>
                </w:rPr>
              </w:sdtEndPr>
              <w:sdtContent>
                <w:tc>
                  <w:tcPr>
                    <w:tcW w:w="940" w:type="pct"/>
                    <w:vMerge w:val="restart"/>
                    <w:vAlign w:val="center"/>
                  </w:tcPr>
                  <w:p>
                    <w:pPr>
                      <w:pStyle w:val="87"/>
                      <w:spacing w:after="0"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continue"/>
                <w:vAlign w:val="center"/>
              </w:tcPr>
              <w:p>
                <w:pPr>
                  <w:jc w:val="center"/>
                  <w:rPr>
                    <w:rFonts w:ascii="Times New Roman" w:hAnsi="Times New Roman" w:cs="Times New Roman"/>
                    <w:color w:val="008000"/>
                    <w:szCs w:val="21"/>
                  </w:rPr>
                </w:pPr>
              </w:p>
            </w:tc>
            <w:sdt>
              <w:sdtPr>
                <w:rPr>
                  <w:rFonts w:ascii="Times New Roman" w:hAnsi="Times New Roman" w:cs="Times New Roman"/>
                </w:rPr>
                <w:tag w:val="_PLD_7158bbb0fd6b45478d53b382f0c1a5e9"/>
                <w:id w:val="865724737"/>
                <w:lock w:val="sdtLocked"/>
              </w:sdtPr>
              <w:sdtEndPr>
                <w:rPr>
                  <w:rFonts w:ascii="Times New Roman" w:hAnsi="Times New Roman" w:cs="Times New Roman"/>
                </w:rPr>
              </w:sdtEndPr>
              <w:sdtContent>
                <w:tc>
                  <w:tcPr>
                    <w:tcW w:w="874" w:type="pct"/>
                    <w:vAlign w:val="center"/>
                  </w:tcPr>
                  <w:p>
                    <w:pPr>
                      <w:pStyle w:val="87"/>
                      <w:spacing w:after="0"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未来</w:t>
                    </w:r>
                    <w:r>
                      <w:rPr>
                        <w:rFonts w:ascii="Times New Roman" w:hAnsi="Times New Roman" w:eastAsia="宋体" w:cs="Times New Roman"/>
                        <w:sz w:val="21"/>
                        <w:szCs w:val="21"/>
                        <w:lang w:eastAsia="zh-CN"/>
                      </w:rPr>
                      <w:t>12</w:t>
                    </w:r>
                    <w:r>
                      <w:rPr>
                        <w:rFonts w:ascii="Times New Roman" w:hAnsi="宋体" w:eastAsia="宋体" w:cs="Times New Roman"/>
                        <w:sz w:val="21"/>
                        <w:szCs w:val="21"/>
                        <w:lang w:eastAsia="zh-CN"/>
                      </w:rPr>
                      <w:t>个月预期信用损失</w:t>
                    </w:r>
                  </w:p>
                </w:tc>
              </w:sdtContent>
            </w:sdt>
            <w:sdt>
              <w:sdtPr>
                <w:rPr>
                  <w:rFonts w:ascii="Times New Roman" w:hAnsi="Times New Roman" w:cs="Times New Roman"/>
                </w:rPr>
                <w:tag w:val="_PLD_a456fd5785a44d89b944d155197986fc"/>
                <w:id w:val="865724738"/>
                <w:lock w:val="sdtLocked"/>
              </w:sdtPr>
              <w:sdtEndPr>
                <w:rPr>
                  <w:rFonts w:ascii="Times New Roman" w:hAnsi="Times New Roman" w:cs="Times New Roman"/>
                </w:rPr>
              </w:sdtEndPr>
              <w:sdtContent>
                <w:tc>
                  <w:tcPr>
                    <w:tcW w:w="1094" w:type="pct"/>
                    <w:vAlign w:val="center"/>
                  </w:tcPr>
                  <w:p>
                    <w:pPr>
                      <w:pStyle w:val="87"/>
                      <w:spacing w:after="0"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整个存续期预期信用损失</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未发生信用减值</w:t>
                    </w:r>
                    <w:r>
                      <w:rPr>
                        <w:rFonts w:ascii="Times New Roman" w:hAnsi="Times New Roman" w:eastAsia="宋体" w:cs="Times New Roman"/>
                        <w:sz w:val="21"/>
                        <w:szCs w:val="21"/>
                        <w:lang w:eastAsia="zh-CN"/>
                      </w:rPr>
                      <w:t>)</w:t>
                    </w:r>
                  </w:p>
                </w:tc>
              </w:sdtContent>
            </w:sdt>
            <w:sdt>
              <w:sdtPr>
                <w:rPr>
                  <w:rFonts w:ascii="Times New Roman" w:hAnsi="Times New Roman" w:cs="Times New Roman"/>
                </w:rPr>
                <w:tag w:val="_PLD_fb9265a3aa334f7ab93242b9630540b0"/>
                <w:id w:val="865724739"/>
                <w:lock w:val="sdtLocked"/>
              </w:sdtPr>
              <w:sdtEndPr>
                <w:rPr>
                  <w:rFonts w:ascii="Times New Roman" w:hAnsi="Times New Roman" w:cs="Times New Roman"/>
                </w:rPr>
              </w:sdtEndPr>
              <w:sdtContent>
                <w:tc>
                  <w:tcPr>
                    <w:tcW w:w="1094" w:type="pct"/>
                    <w:vAlign w:val="center"/>
                  </w:tcPr>
                  <w:p>
                    <w:pPr>
                      <w:pStyle w:val="87"/>
                      <w:spacing w:after="0"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整个存续期预期信用损失</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已发生信用减值</w:t>
                    </w:r>
                    <w:r>
                      <w:rPr>
                        <w:rFonts w:ascii="Times New Roman" w:hAnsi="Times New Roman" w:eastAsia="宋体" w:cs="Times New Roman"/>
                        <w:sz w:val="21"/>
                        <w:szCs w:val="21"/>
                        <w:lang w:eastAsia="zh-CN"/>
                      </w:rPr>
                      <w:t>)</w:t>
                    </w:r>
                  </w:p>
                </w:tc>
              </w:sdtContent>
            </w:sdt>
            <w:tc>
              <w:tcPr>
                <w:tcW w:w="940" w:type="pct"/>
                <w:vMerge w:val="continue"/>
              </w:tcPr>
              <w:p>
                <w:pPr>
                  <w:jc w:val="center"/>
                  <w:rPr>
                    <w:rFonts w:ascii="Times New Roman" w:hAnsi="Times New Roman" w:cs="Times New Roman"/>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cd531a2160845bdb7fe60aabffc13e4"/>
                <w:id w:val="865724740"/>
                <w:lock w:val="sdtLocked"/>
              </w:sdtPr>
              <w:sdtEndPr>
                <w:rPr>
                  <w:rFonts w:ascii="Times New Roman" w:hAnsi="Times New Roman" w:cs="Times New Roman"/>
                </w:rPr>
              </w:sdtEndPr>
              <w:sdtContent>
                <w:tc>
                  <w:tcPr>
                    <w:tcW w:w="998"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2021</w:t>
                    </w:r>
                    <w:r>
                      <w:rPr>
                        <w:rFonts w:ascii="Times New Roman" w:hAnsi="宋体" w:eastAsia="宋体" w:cs="Times New Roman"/>
                        <w:sz w:val="21"/>
                        <w:szCs w:val="21"/>
                        <w:lang w:eastAsia="zh-CN"/>
                      </w:rPr>
                      <w:t>年</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月</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日余额</w:t>
                    </w:r>
                  </w:p>
                </w:tc>
              </w:sdtContent>
            </w:sdt>
            <w:tc>
              <w:tcPr>
                <w:tcW w:w="874" w:type="pct"/>
                <w:vAlign w:val="center"/>
              </w:tcPr>
              <w:p>
                <w:pPr>
                  <w:jc w:val="right"/>
                  <w:rPr>
                    <w:rFonts w:ascii="Times New Roman" w:hAnsi="Times New Roman" w:cs="Times New Roman"/>
                    <w:sz w:val="24"/>
                  </w:rPr>
                </w:pPr>
                <w:r>
                  <w:rPr>
                    <w:rFonts w:ascii="Times New Roman" w:hAnsi="Times New Roman" w:cs="Times New Roman"/>
                  </w:rPr>
                  <w:t>12,088,725.34</w:t>
                </w:r>
              </w:p>
            </w:tc>
            <w:tc>
              <w:tcPr>
                <w:tcW w:w="1094" w:type="pct"/>
                <w:vAlign w:val="center"/>
              </w:tcPr>
              <w:p>
                <w:pPr>
                  <w:jc w:val="right"/>
                  <w:rPr>
                    <w:rFonts w:ascii="Times New Roman" w:hAnsi="Times New Roman" w:cs="Times New Roman"/>
                    <w:sz w:val="24"/>
                  </w:rPr>
                </w:pPr>
              </w:p>
            </w:tc>
            <w:tc>
              <w:tcPr>
                <w:tcW w:w="1094" w:type="pct"/>
                <w:vAlign w:val="center"/>
              </w:tcPr>
              <w:p>
                <w:pPr>
                  <w:jc w:val="right"/>
                  <w:rPr>
                    <w:rFonts w:ascii="Times New Roman" w:hAnsi="Times New Roman" w:cs="Times New Roman"/>
                    <w:sz w:val="24"/>
                  </w:rPr>
                </w:pPr>
                <w:r>
                  <w:rPr>
                    <w:rFonts w:ascii="Times New Roman" w:hAnsi="Times New Roman" w:cs="Times New Roman"/>
                  </w:rPr>
                  <w:t>4,181,207.73</w:t>
                </w:r>
              </w:p>
            </w:tc>
            <w:tc>
              <w:tcPr>
                <w:tcW w:w="940" w:type="pct"/>
                <w:vAlign w:val="center"/>
              </w:tcPr>
              <w:p>
                <w:pPr>
                  <w:jc w:val="right"/>
                  <w:rPr>
                    <w:rFonts w:ascii="Times New Roman" w:hAnsi="Times New Roman" w:cs="Times New Roman"/>
                    <w:sz w:val="24"/>
                  </w:rPr>
                </w:pPr>
                <w:r>
                  <w:rPr>
                    <w:rFonts w:ascii="Times New Roman" w:hAnsi="Times New Roman" w:cs="Times New Roman"/>
                  </w:rPr>
                  <w:t>16,269,933.07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b0d3a23ad1544a18a9869d1d72a93c9"/>
                <w:id w:val="865724741"/>
                <w:lock w:val="sdtLocked"/>
              </w:sdtPr>
              <w:sdtEndPr>
                <w:rPr>
                  <w:rFonts w:ascii="Times New Roman" w:hAnsi="Times New Roman" w:cs="Times New Roman"/>
                </w:rPr>
              </w:sdtEndPr>
              <w:sdtContent>
                <w:tc>
                  <w:tcPr>
                    <w:tcW w:w="998"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2021</w:t>
                    </w:r>
                    <w:r>
                      <w:rPr>
                        <w:rFonts w:ascii="Times New Roman" w:hAnsi="宋体" w:eastAsia="宋体" w:cs="Times New Roman"/>
                        <w:sz w:val="21"/>
                        <w:szCs w:val="21"/>
                        <w:lang w:eastAsia="zh-CN"/>
                      </w:rPr>
                      <w:t>年</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月</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日余额在本期</w:t>
                    </w:r>
                  </w:p>
                </w:tc>
              </w:sdtContent>
            </w:sdt>
            <w:tc>
              <w:tcPr>
                <w:tcW w:w="87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940"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1b88a7d25c34d119c6142c0bbed7fd5"/>
                <w:id w:val="865724742"/>
                <w:lock w:val="sdtLocked"/>
              </w:sdtPr>
              <w:sdtEndPr>
                <w:rPr>
                  <w:rFonts w:ascii="Times New Roman" w:hAnsi="Times New Roman" w:cs="Times New Roman"/>
                </w:rPr>
              </w:sdtEndPr>
              <w:sdtContent>
                <w:tc>
                  <w:tcPr>
                    <w:tcW w:w="998"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转入第二阶段</w:t>
                    </w:r>
                  </w:p>
                </w:tc>
              </w:sdtContent>
            </w:sdt>
            <w:tc>
              <w:tcPr>
                <w:tcW w:w="87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940"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a0ac02ca5544c61af90e0b74b6d9772"/>
                <w:id w:val="865724743"/>
                <w:lock w:val="sdtLocked"/>
              </w:sdtPr>
              <w:sdtEndPr>
                <w:rPr>
                  <w:rFonts w:ascii="Times New Roman" w:hAnsi="Times New Roman" w:cs="Times New Roman"/>
                </w:rPr>
              </w:sdtEndPr>
              <w:sdtContent>
                <w:tc>
                  <w:tcPr>
                    <w:tcW w:w="998"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转入第三阶段</w:t>
                    </w:r>
                  </w:p>
                </w:tc>
              </w:sdtContent>
            </w:sdt>
            <w:tc>
              <w:tcPr>
                <w:tcW w:w="87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940"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62efa972943f414d8c2725b439187276"/>
                <w:id w:val="865724744"/>
                <w:lock w:val="sdtLocked"/>
              </w:sdtPr>
              <w:sdtEndPr>
                <w:rPr>
                  <w:rFonts w:ascii="Times New Roman" w:hAnsi="Times New Roman" w:cs="Times New Roman"/>
                </w:rPr>
              </w:sdtEndPr>
              <w:sdtContent>
                <w:tc>
                  <w:tcPr>
                    <w:tcW w:w="998"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转回第二阶段</w:t>
                    </w:r>
                  </w:p>
                </w:tc>
              </w:sdtContent>
            </w:sdt>
            <w:tc>
              <w:tcPr>
                <w:tcW w:w="87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940"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f0038f03e6744de690d37930402c226c"/>
                <w:id w:val="865724745"/>
                <w:lock w:val="sdtLocked"/>
              </w:sdtPr>
              <w:sdtEndPr>
                <w:rPr>
                  <w:rFonts w:ascii="Times New Roman" w:hAnsi="Times New Roman" w:cs="Times New Roman"/>
                </w:rPr>
              </w:sdtEndPr>
              <w:sdtContent>
                <w:tc>
                  <w:tcPr>
                    <w:tcW w:w="998"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转回第一阶段</w:t>
                    </w:r>
                  </w:p>
                </w:tc>
              </w:sdtContent>
            </w:sdt>
            <w:tc>
              <w:tcPr>
                <w:tcW w:w="87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940"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e61e1cc37624ad4a01baf228fb5e144"/>
                <w:id w:val="865724746"/>
                <w:lock w:val="sdtLocked"/>
              </w:sdtPr>
              <w:sdtEndPr>
                <w:rPr>
                  <w:rFonts w:ascii="Times New Roman" w:hAnsi="Times New Roman" w:cs="Times New Roman"/>
                </w:rPr>
              </w:sdtEndPr>
              <w:sdtContent>
                <w:tc>
                  <w:tcPr>
                    <w:tcW w:w="998"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本期计提</w:t>
                    </w:r>
                  </w:p>
                </w:tc>
              </w:sdtContent>
            </w:sdt>
            <w:tc>
              <w:tcPr>
                <w:tcW w:w="874" w:type="pct"/>
                <w:vAlign w:val="center"/>
              </w:tcPr>
              <w:p>
                <w:pPr>
                  <w:jc w:val="right"/>
                  <w:rPr>
                    <w:rFonts w:ascii="Times New Roman" w:hAnsi="Times New Roman" w:cs="Times New Roman"/>
                    <w:sz w:val="24"/>
                  </w:rPr>
                </w:pPr>
                <w:r>
                  <w:rPr>
                    <w:rFonts w:ascii="Times New Roman" w:hAnsi="Times New Roman" w:cs="Times New Roman"/>
                  </w:rPr>
                  <w:t>756,816.48</w:t>
                </w:r>
              </w:p>
            </w:tc>
            <w:tc>
              <w:tcPr>
                <w:tcW w:w="1094" w:type="pct"/>
                <w:vAlign w:val="center"/>
              </w:tcPr>
              <w:p>
                <w:pPr>
                  <w:jc w:val="right"/>
                  <w:rPr>
                    <w:rFonts w:ascii="Times New Roman" w:hAnsi="Times New Roman" w:cs="Times New Roman"/>
                    <w:sz w:val="24"/>
                  </w:rPr>
                </w:pPr>
              </w:p>
            </w:tc>
            <w:tc>
              <w:tcPr>
                <w:tcW w:w="1094" w:type="pct"/>
                <w:vAlign w:val="center"/>
              </w:tcPr>
              <w:p>
                <w:pPr>
                  <w:jc w:val="right"/>
                  <w:rPr>
                    <w:rFonts w:ascii="Times New Roman" w:hAnsi="Times New Roman" w:cs="Times New Roman"/>
                    <w:sz w:val="24"/>
                  </w:rPr>
                </w:pPr>
              </w:p>
            </w:tc>
            <w:tc>
              <w:tcPr>
                <w:tcW w:w="940" w:type="pct"/>
                <w:vAlign w:val="center"/>
              </w:tcPr>
              <w:p>
                <w:pPr>
                  <w:jc w:val="right"/>
                  <w:rPr>
                    <w:rFonts w:ascii="Times New Roman" w:hAnsi="Times New Roman" w:cs="Times New Roman"/>
                    <w:sz w:val="24"/>
                  </w:rPr>
                </w:pPr>
                <w:r>
                  <w:rPr>
                    <w:rFonts w:ascii="Times New Roman" w:hAnsi="Times New Roman" w:cs="Times New Roman"/>
                  </w:rPr>
                  <w:t>756,816.48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Align w:val="center"/>
              </w:tcPr>
              <w:sdt>
                <w:sdtPr>
                  <w:rPr>
                    <w:rFonts w:ascii="Times New Roman" w:hAnsi="Times New Roman" w:cs="Times New Roman" w:eastAsiaTheme="minorEastAsia"/>
                    <w:sz w:val="21"/>
                    <w:szCs w:val="21"/>
                    <w:lang w:eastAsia="zh-CN"/>
                  </w:rPr>
                  <w:tag w:val="_PLD_6b80e34bd4ec459eb98282e241521353"/>
                  <w:id w:val="865724747"/>
                  <w:lock w:val="sdtLocked"/>
                </w:sdtPr>
                <w:sdtEndPr>
                  <w:rPr>
                    <w:rFonts w:ascii="Times New Roman" w:hAnsi="Times New Roman" w:cs="Times New Roman" w:eastAsiaTheme="minorEastAsia"/>
                    <w:sz w:val="21"/>
                    <w:szCs w:val="21"/>
                    <w:lang w:eastAsia="zh-CN"/>
                  </w:rPr>
                </w:sdtEndPr>
                <w:sdtContent>
                  <w:p>
                    <w:pPr>
                      <w:pStyle w:val="87"/>
                      <w:spacing w:after="0" w:line="240" w:lineRule="auto"/>
                      <w:jc w:val="both"/>
                      <w:rPr>
                        <w:rFonts w:ascii="Times New Roman" w:hAnsi="Times New Roman" w:cs="Times New Roman" w:eastAsiaTheme="minorEastAsia"/>
                        <w:sz w:val="21"/>
                        <w:szCs w:val="21"/>
                      </w:rPr>
                    </w:pPr>
                    <w:r>
                      <w:rPr>
                        <w:rFonts w:ascii="Times New Roman" w:cs="Times New Roman" w:hAnsiTheme="minorEastAsia" w:eastAsiaTheme="minorEastAsia"/>
                        <w:sz w:val="21"/>
                        <w:szCs w:val="21"/>
                        <w:lang w:eastAsia="zh-CN"/>
                      </w:rPr>
                      <w:t>本期转回</w:t>
                    </w:r>
                  </w:p>
                </w:sdtContent>
              </w:sdt>
            </w:tc>
            <w:tc>
              <w:tcPr>
                <w:tcW w:w="87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940"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512e024183e41b89e975a5495c29146"/>
                <w:id w:val="865724748"/>
                <w:lock w:val="sdtLocked"/>
              </w:sdtPr>
              <w:sdtEndPr>
                <w:rPr>
                  <w:rFonts w:ascii="Times New Roman" w:hAnsi="Times New Roman" w:cs="Times New Roman"/>
                </w:rPr>
              </w:sdtEndPr>
              <w:sdtContent>
                <w:tc>
                  <w:tcPr>
                    <w:tcW w:w="998"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本期转销</w:t>
                    </w:r>
                  </w:p>
                </w:tc>
              </w:sdtContent>
            </w:sdt>
            <w:tc>
              <w:tcPr>
                <w:tcW w:w="87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940"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Align w:val="center"/>
              </w:tcPr>
              <w:sdt>
                <w:sdtPr>
                  <w:rPr>
                    <w:rFonts w:ascii="Times New Roman" w:hAnsi="Times New Roman" w:cs="Times New Roman" w:eastAsiaTheme="minorEastAsia"/>
                    <w:sz w:val="21"/>
                    <w:szCs w:val="21"/>
                    <w:lang w:eastAsia="zh-CN"/>
                  </w:rPr>
                  <w:tag w:val="_PLD_6a963864c33f4d739f3df592fe49d94d"/>
                  <w:id w:val="865724749"/>
                  <w:lock w:val="sdtLocked"/>
                </w:sdtPr>
                <w:sdtEndPr>
                  <w:rPr>
                    <w:rFonts w:ascii="Times New Roman" w:hAnsi="Times New Roman" w:cs="Times New Roman" w:eastAsiaTheme="minorEastAsia"/>
                    <w:sz w:val="21"/>
                    <w:szCs w:val="21"/>
                    <w:lang w:eastAsia="zh-CN"/>
                  </w:rPr>
                </w:sdtEndPr>
                <w:sdtContent>
                  <w:p>
                    <w:pPr>
                      <w:pStyle w:val="87"/>
                      <w:spacing w:after="0" w:line="240" w:lineRule="auto"/>
                      <w:jc w:val="both"/>
                      <w:rPr>
                        <w:rFonts w:ascii="Times New Roman" w:hAnsi="Times New Roman" w:cs="Times New Roman" w:eastAsiaTheme="minorEastAsia"/>
                        <w:sz w:val="21"/>
                        <w:szCs w:val="21"/>
                      </w:rPr>
                    </w:pPr>
                    <w:r>
                      <w:rPr>
                        <w:rFonts w:ascii="Times New Roman" w:cs="Times New Roman" w:hAnsiTheme="minorEastAsia" w:eastAsiaTheme="minorEastAsia"/>
                        <w:sz w:val="21"/>
                        <w:szCs w:val="21"/>
                        <w:lang w:eastAsia="zh-CN"/>
                      </w:rPr>
                      <w:t>本期核销</w:t>
                    </w:r>
                  </w:p>
                </w:sdtContent>
              </w:sdt>
            </w:tc>
            <w:tc>
              <w:tcPr>
                <w:tcW w:w="87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940"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65c7fe8f91f451bb10f09ac268aab0b"/>
                <w:id w:val="865724750"/>
                <w:lock w:val="sdtLocked"/>
              </w:sdtPr>
              <w:sdtEndPr>
                <w:rPr>
                  <w:rFonts w:ascii="Times New Roman" w:hAnsi="Times New Roman" w:cs="Times New Roman"/>
                </w:rPr>
              </w:sdtEndPr>
              <w:sdtContent>
                <w:tc>
                  <w:tcPr>
                    <w:tcW w:w="998"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其他变动</w:t>
                    </w:r>
                  </w:p>
                </w:tc>
              </w:sdtContent>
            </w:sdt>
            <w:tc>
              <w:tcPr>
                <w:tcW w:w="87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1094" w:type="pct"/>
                <w:vAlign w:val="center"/>
              </w:tcPr>
              <w:p>
                <w:pPr>
                  <w:jc w:val="right"/>
                  <w:rPr>
                    <w:rFonts w:ascii="Times New Roman" w:hAnsi="Times New Roman" w:cs="Times New Roman"/>
                    <w:szCs w:val="21"/>
                  </w:rPr>
                </w:pPr>
              </w:p>
            </w:tc>
            <w:tc>
              <w:tcPr>
                <w:tcW w:w="940"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4db8ea6bcbe40539b73b34fcc95a640"/>
                <w:id w:val="865724751"/>
                <w:lock w:val="sdtLocked"/>
              </w:sdtPr>
              <w:sdtEndPr>
                <w:rPr>
                  <w:rFonts w:ascii="Times New Roman" w:hAnsi="Times New Roman" w:cs="Times New Roman"/>
                </w:rPr>
              </w:sdtEndPr>
              <w:sdtContent>
                <w:tc>
                  <w:tcPr>
                    <w:tcW w:w="998" w:type="pct"/>
                    <w:vAlign w:val="center"/>
                  </w:tcPr>
                  <w:p>
                    <w:pPr>
                      <w:pStyle w:val="87"/>
                      <w:spacing w:after="0" w:line="24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2021</w:t>
                    </w:r>
                    <w:r>
                      <w:rPr>
                        <w:rFonts w:ascii="Times New Roman" w:hAnsi="宋体" w:eastAsia="宋体" w:cs="Times New Roman"/>
                        <w:sz w:val="21"/>
                        <w:szCs w:val="21"/>
                        <w:lang w:eastAsia="zh-CN"/>
                      </w:rPr>
                      <w:t>年</w:t>
                    </w:r>
                    <w:r>
                      <w:rPr>
                        <w:rFonts w:ascii="Times New Roman" w:hAnsi="Times New Roman" w:eastAsia="宋体" w:cs="Times New Roman"/>
                        <w:sz w:val="21"/>
                        <w:szCs w:val="21"/>
                        <w:lang w:eastAsia="zh-CN"/>
                      </w:rPr>
                      <w:t>12</w:t>
                    </w:r>
                    <w:r>
                      <w:rPr>
                        <w:rFonts w:ascii="Times New Roman" w:hAnsi="宋体" w:eastAsia="宋体" w:cs="Times New Roman"/>
                        <w:sz w:val="21"/>
                        <w:szCs w:val="21"/>
                        <w:lang w:eastAsia="zh-CN"/>
                      </w:rPr>
                      <w:t>月</w:t>
                    </w:r>
                    <w:r>
                      <w:rPr>
                        <w:rFonts w:ascii="Times New Roman" w:hAnsi="Times New Roman" w:eastAsia="宋体" w:cs="Times New Roman"/>
                        <w:sz w:val="21"/>
                        <w:szCs w:val="21"/>
                        <w:lang w:eastAsia="zh-CN"/>
                      </w:rPr>
                      <w:t>31</w:t>
                    </w:r>
                    <w:r>
                      <w:rPr>
                        <w:rFonts w:ascii="Times New Roman" w:hAnsi="宋体" w:eastAsia="宋体" w:cs="Times New Roman"/>
                        <w:sz w:val="21"/>
                        <w:szCs w:val="21"/>
                        <w:lang w:eastAsia="zh-CN"/>
                      </w:rPr>
                      <w:t>日余额</w:t>
                    </w:r>
                  </w:p>
                </w:tc>
              </w:sdtContent>
            </w:sdt>
            <w:tc>
              <w:tcPr>
                <w:tcW w:w="874" w:type="pct"/>
                <w:vAlign w:val="center"/>
              </w:tcPr>
              <w:p>
                <w:pPr>
                  <w:jc w:val="right"/>
                  <w:rPr>
                    <w:rFonts w:ascii="Times New Roman" w:hAnsi="Times New Roman" w:cs="Times New Roman"/>
                    <w:sz w:val="24"/>
                  </w:rPr>
                </w:pPr>
                <w:r>
                  <w:rPr>
                    <w:rFonts w:ascii="Times New Roman" w:hAnsi="Times New Roman" w:cs="Times New Roman"/>
                  </w:rPr>
                  <w:t>12,845,541.82</w:t>
                </w:r>
              </w:p>
            </w:tc>
            <w:tc>
              <w:tcPr>
                <w:tcW w:w="1094" w:type="pct"/>
                <w:vAlign w:val="center"/>
              </w:tcPr>
              <w:p>
                <w:pPr>
                  <w:jc w:val="right"/>
                  <w:rPr>
                    <w:rFonts w:ascii="Times New Roman" w:hAnsi="Times New Roman" w:cs="Times New Roman"/>
                    <w:sz w:val="24"/>
                  </w:rPr>
                </w:pPr>
              </w:p>
            </w:tc>
            <w:tc>
              <w:tcPr>
                <w:tcW w:w="1094" w:type="pct"/>
                <w:vAlign w:val="center"/>
              </w:tcPr>
              <w:p>
                <w:pPr>
                  <w:jc w:val="right"/>
                  <w:rPr>
                    <w:rFonts w:ascii="Times New Roman" w:hAnsi="Times New Roman" w:cs="Times New Roman"/>
                    <w:sz w:val="24"/>
                  </w:rPr>
                </w:pPr>
                <w:r>
                  <w:rPr>
                    <w:rFonts w:ascii="Times New Roman" w:hAnsi="Times New Roman" w:cs="Times New Roman"/>
                  </w:rPr>
                  <w:t>4,181,207.73</w:t>
                </w:r>
              </w:p>
            </w:tc>
            <w:tc>
              <w:tcPr>
                <w:tcW w:w="940" w:type="pct"/>
                <w:vAlign w:val="center"/>
              </w:tcPr>
              <w:p>
                <w:pPr>
                  <w:jc w:val="right"/>
                  <w:rPr>
                    <w:rFonts w:ascii="Times New Roman" w:hAnsi="Times New Roman" w:cs="Times New Roman"/>
                    <w:sz w:val="24"/>
                  </w:rPr>
                </w:pPr>
                <w:r>
                  <w:rPr>
                    <w:rFonts w:ascii="Times New Roman" w:hAnsi="Times New Roman" w:cs="Times New Roman"/>
                  </w:rPr>
                  <w:t>17,026,749.55</w:t>
                </w:r>
              </w:p>
            </w:tc>
          </w:tr>
        </w:tbl>
        <w:p/>
        <w:p>
          <w:pPr>
            <w:pStyle w:val="72"/>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86572475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55"/>
    <w:sdt>
      <w:sdtPr>
        <w:alias w:val="模块:本期坏账准备计提金额以及评估金融工具的信用风险是否显著增加的采用依据"/>
        <w:tag w:val="_SEC_45844149369c46558d6ab8922854ba5c"/>
        <w:id w:val="865724755"/>
        <w:lock w:val="sdtLocked"/>
        <w:placeholder>
          <w:docPart w:val="GBC22222222222222222222222222222"/>
        </w:placeholder>
      </w:sdtPr>
      <w:sdtContent>
        <w:p>
          <w:bookmarkStart w:id="156" w:name="_Hlk53480681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86572475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56"/>
    <w:sdt>
      <w:sdtPr>
        <w:rPr>
          <w:rFonts w:hint="eastAsia" w:ascii="宋体" w:hAnsi="宋体" w:eastAsia="宋体" w:cs="宋体"/>
          <w:b w:val="0"/>
          <w:bCs w:val="0"/>
          <w:kern w:val="0"/>
          <w:szCs w:val="24"/>
        </w:rPr>
        <w:alias w:val="模块:其他应收款坏账准备的情况"/>
        <w:tag w:val="_SEC_a0703d114f284b949a0f05190dd2265b"/>
        <w:id w:val="865724757"/>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83"/>
            </w:numPr>
            <w:ind w:left="426" w:hanging="426"/>
          </w:pPr>
          <w:bookmarkStart w:id="157" w:name="_Hlk532831394"/>
          <w:r>
            <w:rPr>
              <w:rFonts w:hint="eastAsia"/>
            </w:rPr>
            <w:t>坏账准备的情况</w:t>
          </w:r>
        </w:p>
        <w:sdt>
          <w:sdtPr>
            <w:alias w:val="是否适用：其他应收款坏账准备[双击切换]"/>
            <w:tag w:val="_GBC_524ff4c8c6e549ef8e2bf00ca72ddbb6"/>
            <w:id w:val="86572475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57"/>
    <w:sdt>
      <w:sdtPr>
        <w:rPr>
          <w:rFonts w:hint="eastAsia" w:eastAsia="宋体" w:cs="宋体" w:asciiTheme="minorHAnsi" w:hAnsiTheme="minorHAnsi"/>
          <w:b w:val="0"/>
          <w:bCs w:val="0"/>
          <w:kern w:val="0"/>
          <w:szCs w:val="22"/>
        </w:rPr>
        <w:alias w:val="模块:本报告期实际核销的其他应收款情况"/>
        <w:tag w:val="_SEC_41a6e023af3e46b9a7c491c4e27287af"/>
        <w:id w:val="865724759"/>
        <w:lock w:val="sdtLocked"/>
        <w:placeholder>
          <w:docPart w:val="GBC22222222222222222222222222222"/>
        </w:placeholder>
      </w:sdtPr>
      <w:sdtEndPr>
        <w:rPr>
          <w:rFonts w:hint="eastAsia" w:ascii="Times New Roman" w:hAnsi="Times New Roman" w:eastAsia="宋体" w:cs="Times New Roman"/>
          <w:b w:val="0"/>
          <w:bCs w:val="0"/>
          <w:kern w:val="2"/>
          <w:szCs w:val="24"/>
        </w:rPr>
      </w:sdtEndPr>
      <w:sdtContent>
        <w:p>
          <w:pPr>
            <w:pStyle w:val="5"/>
            <w:numPr>
              <w:ilvl w:val="3"/>
              <w:numId w:val="83"/>
            </w:numPr>
            <w:ind w:left="426" w:hanging="426"/>
          </w:pPr>
          <w:r>
            <w:rPr>
              <w:rFonts w:hint="eastAsia"/>
            </w:rPr>
            <w:t>本期实际核销的其他应收款情况</w:t>
          </w:r>
        </w:p>
        <w:sdt>
          <w:sdtPr>
            <w:alias w:val="是否适用：本期实际核销的其他应收款情况[双击切换]"/>
            <w:tag w:val="_GBC_2ce86125d6b94b148fa674141e6497b1"/>
            <w:id w:val="865724758"/>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p>
          <w:pPr>
            <w:snapToGrid w:val="0"/>
            <w:spacing w:line="240" w:lineRule="atLeast"/>
            <w:rPr>
              <w:szCs w:val="21"/>
            </w:rPr>
          </w:pPr>
        </w:p>
      </w:sdtContent>
    </w:sdt>
    <w:sdt>
      <w:sdtPr>
        <w:rPr>
          <w:rFonts w:hint="eastAsia" w:ascii="宋体" w:hAnsi="宋体" w:eastAsia="宋体" w:cs="宋体"/>
          <w:b w:val="0"/>
          <w:bCs w:val="0"/>
          <w:kern w:val="0"/>
          <w:szCs w:val="24"/>
        </w:rPr>
        <w:alias w:val="模块:按欠款方归集的期末余额其中前五名的其他应收款单位情况"/>
        <w:tag w:val="_SEC_5bc3cdcc54c14afd8dfbd379ebf214df"/>
        <w:id w:val="86572477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83"/>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86572476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应收账款前五名欠款情况"/>
              <w:tag w:val="_GBC_06f7a71e039445228d80a5741df4c4f7"/>
              <w:id w:val="8657247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865724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1437"/>
            <w:gridCol w:w="1562"/>
            <w:gridCol w:w="1560"/>
            <w:gridCol w:w="1558"/>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f30fc2dc8886472699c892f0395ab05e"/>
                <w:id w:val="865724763"/>
                <w:lock w:val="sdtLocked"/>
              </w:sdtPr>
              <w:sdtEndPr>
                <w:rPr>
                  <w:rFonts w:ascii="Times New Roman" w:hAnsi="Times New Roman" w:cs="Times New Roman"/>
                </w:rPr>
              </w:sdtEndPr>
              <w:sdtContent>
                <w:tc>
                  <w:tcPr>
                    <w:tcW w:w="832" w:type="pct"/>
                    <w:vAlign w:val="center"/>
                  </w:tcPr>
                  <w:p>
                    <w:pPr>
                      <w:ind w:right="105"/>
                      <w:jc w:val="center"/>
                      <w:rPr>
                        <w:rFonts w:ascii="Times New Roman" w:hAnsi="Times New Roman" w:cs="Times New Roman"/>
                        <w:szCs w:val="21"/>
                      </w:rPr>
                    </w:pPr>
                    <w:r>
                      <w:rPr>
                        <w:rFonts w:ascii="Times New Roman" w:cs="Times New Roman"/>
                        <w:szCs w:val="21"/>
                      </w:rPr>
                      <w:t>单位名称</w:t>
                    </w:r>
                  </w:p>
                </w:tc>
              </w:sdtContent>
            </w:sdt>
            <w:sdt>
              <w:sdtPr>
                <w:rPr>
                  <w:rFonts w:ascii="Times New Roman" w:hAnsi="Times New Roman" w:cs="Times New Roman"/>
                </w:rPr>
                <w:tag w:val="_PLD_44129b8132114de2a4d33c4acb8af98f"/>
                <w:id w:val="865724764"/>
                <w:lock w:val="sdtLocked"/>
              </w:sdtPr>
              <w:sdtEndPr>
                <w:rPr>
                  <w:rFonts w:ascii="Times New Roman" w:hAnsi="Times New Roman" w:cs="Times New Roman"/>
                </w:rPr>
              </w:sdtEndPr>
              <w:sdtContent>
                <w:tc>
                  <w:tcPr>
                    <w:tcW w:w="794" w:type="pct"/>
                    <w:vAlign w:val="center"/>
                  </w:tcPr>
                  <w:p>
                    <w:pPr>
                      <w:ind w:right="73"/>
                      <w:jc w:val="center"/>
                      <w:rPr>
                        <w:rFonts w:ascii="Times New Roman" w:hAnsi="Times New Roman" w:cs="Times New Roman"/>
                        <w:szCs w:val="21"/>
                      </w:rPr>
                    </w:pPr>
                    <w:r>
                      <w:rPr>
                        <w:rFonts w:ascii="Times New Roman" w:cs="Times New Roman"/>
                        <w:szCs w:val="21"/>
                      </w:rPr>
                      <w:t>款项的性质</w:t>
                    </w:r>
                  </w:p>
                </w:tc>
              </w:sdtContent>
            </w:sdt>
            <w:sdt>
              <w:sdtPr>
                <w:rPr>
                  <w:rFonts w:ascii="Times New Roman" w:hAnsi="Times New Roman" w:cs="Times New Roman"/>
                </w:rPr>
                <w:tag w:val="_PLD_1bc905abb4bf4c679b9fbe0a7587d651"/>
                <w:id w:val="865724765"/>
                <w:lock w:val="sdtLocked"/>
              </w:sdtPr>
              <w:sdtEndPr>
                <w:rPr>
                  <w:rFonts w:ascii="Times New Roman" w:hAnsi="Times New Roman" w:cs="Times New Roman"/>
                </w:rPr>
              </w:sdtEndPr>
              <w:sdtContent>
                <w:tc>
                  <w:tcPr>
                    <w:tcW w:w="863" w:type="pct"/>
                    <w:vAlign w:val="center"/>
                  </w:tcPr>
                  <w:p>
                    <w:pPr>
                      <w:ind w:right="73"/>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d9231de346f74815b1bc7c82527b1ef5"/>
                <w:id w:val="865724766"/>
                <w:lock w:val="sdtLocked"/>
              </w:sdtPr>
              <w:sdtEndPr>
                <w:rPr>
                  <w:rFonts w:ascii="Times New Roman" w:hAnsi="Times New Roman" w:cs="Times New Roman"/>
                </w:rPr>
              </w:sdtEndPr>
              <w:sdtContent>
                <w:tc>
                  <w:tcPr>
                    <w:tcW w:w="862" w:type="pct"/>
                    <w:vAlign w:val="center"/>
                  </w:tcPr>
                  <w:p>
                    <w:pPr>
                      <w:ind w:right="73"/>
                      <w:jc w:val="center"/>
                      <w:rPr>
                        <w:rFonts w:ascii="Times New Roman" w:hAnsi="Times New Roman" w:cs="Times New Roman"/>
                        <w:szCs w:val="21"/>
                      </w:rPr>
                    </w:pPr>
                    <w:r>
                      <w:rPr>
                        <w:rFonts w:ascii="Times New Roman" w:cs="Times New Roman"/>
                        <w:szCs w:val="21"/>
                      </w:rPr>
                      <w:t>账龄</w:t>
                    </w:r>
                  </w:p>
                </w:tc>
              </w:sdtContent>
            </w:sdt>
            <w:sdt>
              <w:sdtPr>
                <w:rPr>
                  <w:rFonts w:ascii="Times New Roman" w:hAnsi="Times New Roman" w:cs="Times New Roman"/>
                </w:rPr>
                <w:tag w:val="_PLD_055b75c0a3cf450e995ac7e13fdc0c08"/>
                <w:id w:val="865724767"/>
                <w:lock w:val="sdtLocked"/>
              </w:sdtPr>
              <w:sdtEndPr>
                <w:rPr>
                  <w:rFonts w:ascii="Times New Roman" w:hAnsi="Times New Roman" w:cs="Times New Roman"/>
                </w:rPr>
              </w:sdtEndPr>
              <w:sdtContent>
                <w:tc>
                  <w:tcPr>
                    <w:tcW w:w="861" w:type="pct"/>
                    <w:vAlign w:val="center"/>
                  </w:tcPr>
                  <w:p>
                    <w:pPr>
                      <w:jc w:val="center"/>
                      <w:rPr>
                        <w:rFonts w:ascii="Times New Roman" w:hAnsi="Times New Roman" w:cs="Times New Roman"/>
                        <w:szCs w:val="21"/>
                      </w:rPr>
                    </w:pPr>
                    <w:r>
                      <w:rPr>
                        <w:rFonts w:ascii="Times New Roman" w:cs="Times New Roman"/>
                        <w:szCs w:val="21"/>
                      </w:rPr>
                      <w:t>占其他应收款期末余额合计数的比例</w:t>
                    </w:r>
                    <w:r>
                      <w:rPr>
                        <w:rFonts w:ascii="Times New Roman" w:hAnsi="Times New Roman" w:cs="Times New Roman"/>
                        <w:szCs w:val="21"/>
                      </w:rPr>
                      <w:t>(%)</w:t>
                    </w:r>
                  </w:p>
                </w:tc>
              </w:sdtContent>
            </w:sdt>
            <w:sdt>
              <w:sdtPr>
                <w:rPr>
                  <w:rFonts w:ascii="Times New Roman" w:hAnsi="Times New Roman" w:cs="Times New Roman"/>
                </w:rPr>
                <w:tag w:val="_PLD_a7951a260c094fc8b8b64f2d1e6a933e"/>
                <w:id w:val="865724768"/>
                <w:lock w:val="sdtLocked"/>
              </w:sdtPr>
              <w:sdtEndPr>
                <w:rPr>
                  <w:rFonts w:ascii="Times New Roman" w:hAnsi="Times New Roman" w:cs="Times New Roman"/>
                </w:rPr>
              </w:sdtEndPr>
              <w:sdtContent>
                <w:tc>
                  <w:tcPr>
                    <w:tcW w:w="789" w:type="pct"/>
                    <w:vAlign w:val="center"/>
                  </w:tcPr>
                  <w:p>
                    <w:pPr>
                      <w:jc w:val="center"/>
                      <w:rPr>
                        <w:rFonts w:ascii="Times New Roman" w:hAnsi="Times New Roman" w:cs="Times New Roman"/>
                        <w:szCs w:val="21"/>
                      </w:rPr>
                    </w:pPr>
                    <w:r>
                      <w:rPr>
                        <w:rFonts w:ascii="Times New Roman" w:cs="Times New Roman"/>
                        <w:szCs w:val="21"/>
                      </w:rPr>
                      <w:t>坏账准备</w:t>
                    </w:r>
                  </w:p>
                  <w:p>
                    <w:pPr>
                      <w:jc w:val="center"/>
                      <w:rPr>
                        <w:rFonts w:ascii="Times New Roman" w:hAnsi="Times New Roman" w:cs="Times New Roman"/>
                        <w:szCs w:val="21"/>
                      </w:rPr>
                    </w:pPr>
                    <w:r>
                      <w:rPr>
                        <w:rFonts w:ascii="Times New Roman" w:cs="Times New Roman"/>
                        <w:szCs w:val="21"/>
                      </w:rPr>
                      <w:t>期末余额</w:t>
                    </w:r>
                  </w:p>
                </w:tc>
              </w:sdtContent>
            </w:sdt>
          </w:tr>
          <w:sdt>
            <w:sdtPr>
              <w:rPr>
                <w:rFonts w:ascii="Times New Roman" w:hAnsi="Times New Roman" w:cs="Times New Roman"/>
                <w:szCs w:val="21"/>
              </w:rPr>
              <w:alias w:val="其他应收款欠款户"/>
              <w:tag w:val="_TUP_c8d734adc8624e66860d3c0f01d5cb6b"/>
              <w:id w:val="86572476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2" w:type="pct"/>
                  </w:tcPr>
                  <w:p>
                    <w:pPr>
                      <w:ind w:right="105"/>
                      <w:rPr>
                        <w:rFonts w:ascii="Times New Roman" w:hAnsi="Times New Roman" w:cs="Times New Roman"/>
                        <w:szCs w:val="21"/>
                      </w:rPr>
                    </w:pPr>
                    <w:r>
                      <w:rPr>
                        <w:rFonts w:ascii="Times New Roman" w:cs="Times New Roman"/>
                      </w:rPr>
                      <w:t>广西亿康南药药业种植公司</w:t>
                    </w:r>
                  </w:p>
                </w:tc>
                <w:tc>
                  <w:tcPr>
                    <w:tcW w:w="794" w:type="pct"/>
                    <w:vAlign w:val="center"/>
                  </w:tcPr>
                  <w:p>
                    <w:pPr>
                      <w:ind w:right="73"/>
                      <w:jc w:val="center"/>
                      <w:rPr>
                        <w:rFonts w:ascii="Times New Roman" w:hAnsi="Times New Roman" w:cs="Times New Roman"/>
                        <w:szCs w:val="21"/>
                      </w:rPr>
                    </w:pPr>
                    <w:r>
                      <w:rPr>
                        <w:rFonts w:ascii="Times New Roman" w:cs="Times New Roman"/>
                      </w:rPr>
                      <w:t>往来款</w:t>
                    </w:r>
                  </w:p>
                </w:tc>
                <w:tc>
                  <w:tcPr>
                    <w:tcW w:w="863" w:type="pct"/>
                    <w:vAlign w:val="center"/>
                  </w:tcPr>
                  <w:p>
                    <w:pPr>
                      <w:ind w:right="73"/>
                      <w:jc w:val="right"/>
                      <w:rPr>
                        <w:rFonts w:ascii="Times New Roman" w:hAnsi="Times New Roman" w:cs="Times New Roman"/>
                        <w:szCs w:val="21"/>
                      </w:rPr>
                    </w:pPr>
                    <w:r>
                      <w:rPr>
                        <w:rFonts w:ascii="Times New Roman" w:hAnsi="Times New Roman" w:cs="Times New Roman"/>
                      </w:rPr>
                      <w:t>3,801,452.43</w:t>
                    </w:r>
                  </w:p>
                </w:tc>
                <w:tc>
                  <w:tcPr>
                    <w:tcW w:w="862" w:type="pct"/>
                    <w:vAlign w:val="center"/>
                  </w:tcPr>
                  <w:p>
                    <w:pPr>
                      <w:ind w:right="73"/>
                      <w:jc w:val="center"/>
                      <w:rPr>
                        <w:rFonts w:ascii="Times New Roman" w:hAnsi="Times New Roman" w:cs="Times New Roman"/>
                        <w:szCs w:val="21"/>
                      </w:rPr>
                    </w:pPr>
                    <w:r>
                      <w:rPr>
                        <w:rFonts w:ascii="Times New Roman" w:hAnsi="Times New Roman" w:cs="Times New Roman"/>
                      </w:rPr>
                      <w:t>5</w:t>
                    </w:r>
                    <w:r>
                      <w:rPr>
                        <w:rFonts w:ascii="Times New Roman" w:cs="Times New Roman"/>
                      </w:rPr>
                      <w:t>年以上</w:t>
                    </w:r>
                  </w:p>
                </w:tc>
                <w:tc>
                  <w:tcPr>
                    <w:tcW w:w="861" w:type="pct"/>
                    <w:vAlign w:val="center"/>
                  </w:tcPr>
                  <w:p>
                    <w:pPr>
                      <w:jc w:val="right"/>
                      <w:rPr>
                        <w:rFonts w:ascii="Times New Roman" w:hAnsi="Times New Roman" w:cs="Times New Roman"/>
                        <w:szCs w:val="21"/>
                      </w:rPr>
                    </w:pPr>
                    <w:r>
                      <w:rPr>
                        <w:rFonts w:ascii="Times New Roman" w:hAnsi="Times New Roman" w:cs="Times New Roman"/>
                      </w:rPr>
                      <w:t>13.53</w:t>
                    </w:r>
                  </w:p>
                </w:tc>
                <w:tc>
                  <w:tcPr>
                    <w:tcW w:w="789" w:type="pct"/>
                    <w:vAlign w:val="center"/>
                  </w:tcPr>
                  <w:p>
                    <w:pPr>
                      <w:jc w:val="right"/>
                      <w:rPr>
                        <w:rFonts w:ascii="Times New Roman" w:hAnsi="Times New Roman" w:cs="Times New Roman"/>
                        <w:szCs w:val="21"/>
                      </w:rPr>
                    </w:pPr>
                    <w:r>
                      <w:rPr>
                        <w:rFonts w:ascii="Times New Roman" w:hAnsi="Times New Roman" w:cs="Times New Roman"/>
                      </w:rPr>
                      <w:t>3,801,452.43</w:t>
                    </w:r>
                  </w:p>
                </w:tc>
              </w:tr>
            </w:sdtContent>
          </w:sdt>
          <w:sdt>
            <w:sdtPr>
              <w:rPr>
                <w:rFonts w:ascii="Times New Roman" w:hAnsi="Times New Roman" w:cs="Times New Roman"/>
                <w:szCs w:val="21"/>
              </w:rPr>
              <w:alias w:val="其他应收款欠款户"/>
              <w:tag w:val="_TUP_c8d734adc8624e66860d3c0f01d5cb6b"/>
              <w:id w:val="86572477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2" w:type="pct"/>
                  </w:tcPr>
                  <w:p>
                    <w:pPr>
                      <w:ind w:right="105"/>
                      <w:rPr>
                        <w:rFonts w:ascii="Times New Roman" w:hAnsi="Times New Roman" w:cs="Times New Roman"/>
                        <w:szCs w:val="21"/>
                      </w:rPr>
                    </w:pPr>
                    <w:r>
                      <w:rPr>
                        <w:rFonts w:ascii="Times New Roman" w:cs="Times New Roman"/>
                      </w:rPr>
                      <w:t>汉庭星空（上海）酒店管理有限公司</w:t>
                    </w:r>
                  </w:p>
                </w:tc>
                <w:tc>
                  <w:tcPr>
                    <w:tcW w:w="794" w:type="pct"/>
                    <w:vAlign w:val="center"/>
                  </w:tcPr>
                  <w:p>
                    <w:pPr>
                      <w:ind w:right="73"/>
                      <w:jc w:val="center"/>
                      <w:rPr>
                        <w:rFonts w:ascii="Times New Roman" w:hAnsi="Times New Roman" w:cs="Times New Roman"/>
                        <w:szCs w:val="21"/>
                      </w:rPr>
                    </w:pPr>
                    <w:r>
                      <w:rPr>
                        <w:rFonts w:ascii="Times New Roman" w:cs="Times New Roman"/>
                      </w:rPr>
                      <w:t>保证金</w:t>
                    </w:r>
                  </w:p>
                </w:tc>
                <w:tc>
                  <w:tcPr>
                    <w:tcW w:w="863" w:type="pct"/>
                    <w:vAlign w:val="center"/>
                  </w:tcPr>
                  <w:p>
                    <w:pPr>
                      <w:ind w:right="73"/>
                      <w:jc w:val="right"/>
                      <w:rPr>
                        <w:rFonts w:ascii="Times New Roman" w:hAnsi="Times New Roman" w:cs="Times New Roman"/>
                        <w:szCs w:val="21"/>
                      </w:rPr>
                    </w:pPr>
                    <w:r>
                      <w:rPr>
                        <w:rFonts w:ascii="Times New Roman" w:hAnsi="Times New Roman" w:cs="Times New Roman"/>
                      </w:rPr>
                      <w:t>2,500,000.00</w:t>
                    </w:r>
                  </w:p>
                </w:tc>
                <w:tc>
                  <w:tcPr>
                    <w:tcW w:w="862" w:type="pct"/>
                    <w:vAlign w:val="center"/>
                  </w:tcPr>
                  <w:p>
                    <w:pPr>
                      <w:ind w:right="73"/>
                      <w:jc w:val="center"/>
                      <w:rPr>
                        <w:rFonts w:ascii="Times New Roman" w:hAnsi="Times New Roman" w:cs="Times New Roman"/>
                        <w:szCs w:val="21"/>
                      </w:rPr>
                    </w:pPr>
                    <w:r>
                      <w:rPr>
                        <w:rFonts w:ascii="Times New Roman" w:hAnsi="Times New Roman" w:cs="Times New Roman"/>
                      </w:rPr>
                      <w:t>1</w:t>
                    </w:r>
                    <w:r>
                      <w:rPr>
                        <w:rFonts w:ascii="Times New Roman" w:cs="Times New Roman"/>
                      </w:rPr>
                      <w:t>年以内</w:t>
                    </w:r>
                    <w:r>
                      <w:rPr>
                        <w:rFonts w:ascii="Times New Roman" w:hAnsi="Times New Roman" w:cs="Times New Roman"/>
                      </w:rPr>
                      <w:t>-5</w:t>
                    </w:r>
                    <w:r>
                      <w:rPr>
                        <w:rFonts w:ascii="Times New Roman" w:cs="Times New Roman"/>
                      </w:rPr>
                      <w:t>年</w:t>
                    </w:r>
                  </w:p>
                </w:tc>
                <w:tc>
                  <w:tcPr>
                    <w:tcW w:w="861" w:type="pct"/>
                    <w:vAlign w:val="center"/>
                  </w:tcPr>
                  <w:p>
                    <w:pPr>
                      <w:jc w:val="right"/>
                      <w:rPr>
                        <w:rFonts w:ascii="Times New Roman" w:hAnsi="Times New Roman" w:cs="Times New Roman"/>
                        <w:szCs w:val="21"/>
                      </w:rPr>
                    </w:pPr>
                    <w:r>
                      <w:rPr>
                        <w:rFonts w:ascii="Times New Roman" w:hAnsi="Times New Roman" w:cs="Times New Roman"/>
                      </w:rPr>
                      <w:t>8.90</w:t>
                    </w:r>
                  </w:p>
                </w:tc>
                <w:tc>
                  <w:tcPr>
                    <w:tcW w:w="789" w:type="pct"/>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其他应收款欠款户"/>
              <w:tag w:val="_TUP_c8d734adc8624e66860d3c0f01d5cb6b"/>
              <w:id w:val="86572477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2" w:type="pct"/>
                  </w:tcPr>
                  <w:p>
                    <w:pPr>
                      <w:ind w:right="105"/>
                      <w:rPr>
                        <w:rFonts w:ascii="Times New Roman" w:hAnsi="Times New Roman" w:cs="Times New Roman"/>
                        <w:szCs w:val="21"/>
                      </w:rPr>
                    </w:pPr>
                    <w:r>
                      <w:rPr>
                        <w:rFonts w:ascii="Times New Roman" w:cs="Times New Roman"/>
                      </w:rPr>
                      <w:t>广西博纳文化传播有限公司</w:t>
                    </w:r>
                  </w:p>
                </w:tc>
                <w:tc>
                  <w:tcPr>
                    <w:tcW w:w="794" w:type="pct"/>
                    <w:vAlign w:val="center"/>
                  </w:tcPr>
                  <w:p>
                    <w:pPr>
                      <w:ind w:right="73"/>
                      <w:jc w:val="center"/>
                      <w:rPr>
                        <w:rFonts w:ascii="Times New Roman" w:hAnsi="Times New Roman" w:cs="Times New Roman"/>
                        <w:szCs w:val="21"/>
                      </w:rPr>
                    </w:pPr>
                    <w:r>
                      <w:rPr>
                        <w:rFonts w:ascii="Times New Roman" w:cs="Times New Roman"/>
                      </w:rPr>
                      <w:t>往来款</w:t>
                    </w:r>
                  </w:p>
                </w:tc>
                <w:tc>
                  <w:tcPr>
                    <w:tcW w:w="863" w:type="pct"/>
                    <w:vAlign w:val="center"/>
                  </w:tcPr>
                  <w:p>
                    <w:pPr>
                      <w:ind w:right="73"/>
                      <w:jc w:val="right"/>
                      <w:rPr>
                        <w:rFonts w:ascii="Times New Roman" w:hAnsi="Times New Roman" w:cs="Times New Roman"/>
                        <w:szCs w:val="21"/>
                      </w:rPr>
                    </w:pPr>
                    <w:r>
                      <w:rPr>
                        <w:rFonts w:ascii="Times New Roman" w:hAnsi="Times New Roman" w:cs="Times New Roman"/>
                      </w:rPr>
                      <w:t>2,000,000.00</w:t>
                    </w:r>
                  </w:p>
                </w:tc>
                <w:tc>
                  <w:tcPr>
                    <w:tcW w:w="862" w:type="pct"/>
                    <w:vAlign w:val="center"/>
                  </w:tcPr>
                  <w:p>
                    <w:pPr>
                      <w:ind w:right="73"/>
                      <w:jc w:val="center"/>
                      <w:rPr>
                        <w:rFonts w:ascii="Times New Roman" w:hAnsi="Times New Roman" w:cs="Times New Roman"/>
                        <w:szCs w:val="21"/>
                      </w:rPr>
                    </w:pPr>
                    <w:r>
                      <w:rPr>
                        <w:rFonts w:ascii="Times New Roman" w:hAnsi="Times New Roman" w:cs="Times New Roman"/>
                      </w:rPr>
                      <w:t>5</w:t>
                    </w:r>
                    <w:r>
                      <w:rPr>
                        <w:rFonts w:ascii="Times New Roman" w:cs="Times New Roman"/>
                      </w:rPr>
                      <w:t>年以上</w:t>
                    </w:r>
                  </w:p>
                </w:tc>
                <w:tc>
                  <w:tcPr>
                    <w:tcW w:w="861" w:type="pct"/>
                    <w:vAlign w:val="center"/>
                  </w:tcPr>
                  <w:p>
                    <w:pPr>
                      <w:jc w:val="right"/>
                      <w:rPr>
                        <w:rFonts w:ascii="Times New Roman" w:hAnsi="Times New Roman" w:cs="Times New Roman"/>
                        <w:szCs w:val="21"/>
                      </w:rPr>
                    </w:pPr>
                    <w:r>
                      <w:rPr>
                        <w:rFonts w:ascii="Times New Roman" w:hAnsi="Times New Roman" w:cs="Times New Roman"/>
                      </w:rPr>
                      <w:t>7.12</w:t>
                    </w:r>
                  </w:p>
                </w:tc>
                <w:tc>
                  <w:tcPr>
                    <w:tcW w:w="789" w:type="pct"/>
                    <w:vAlign w:val="center"/>
                  </w:tcPr>
                  <w:p>
                    <w:pPr>
                      <w:jc w:val="right"/>
                      <w:rPr>
                        <w:rFonts w:ascii="Times New Roman" w:hAnsi="Times New Roman" w:cs="Times New Roman"/>
                        <w:szCs w:val="21"/>
                      </w:rPr>
                    </w:pPr>
                    <w:r>
                      <w:rPr>
                        <w:rFonts w:ascii="Times New Roman" w:hAnsi="Times New Roman" w:cs="Times New Roman"/>
                      </w:rPr>
                      <w:t>2,000,000.00</w:t>
                    </w:r>
                  </w:p>
                </w:tc>
              </w:tr>
            </w:sdtContent>
          </w:sdt>
          <w:sdt>
            <w:sdtPr>
              <w:rPr>
                <w:rFonts w:ascii="Times New Roman" w:hAnsi="Times New Roman" w:cs="Times New Roman"/>
                <w:szCs w:val="21"/>
              </w:rPr>
              <w:alias w:val="其他应收款欠款户"/>
              <w:tag w:val="_TUP_c8d734adc8624e66860d3c0f01d5cb6b"/>
              <w:id w:val="86572477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2" w:type="pct"/>
                  </w:tcPr>
                  <w:p>
                    <w:pPr>
                      <w:ind w:right="105"/>
                      <w:rPr>
                        <w:rFonts w:ascii="Times New Roman" w:hAnsi="Times New Roman" w:cs="Times New Roman"/>
                        <w:szCs w:val="21"/>
                      </w:rPr>
                    </w:pPr>
                    <w:r>
                      <w:rPr>
                        <w:rFonts w:ascii="Times New Roman" w:cs="Times New Roman"/>
                      </w:rPr>
                      <w:t>四川保宁制药有限公司</w:t>
                    </w:r>
                  </w:p>
                </w:tc>
                <w:tc>
                  <w:tcPr>
                    <w:tcW w:w="794" w:type="pct"/>
                    <w:vAlign w:val="center"/>
                  </w:tcPr>
                  <w:p>
                    <w:pPr>
                      <w:ind w:right="73"/>
                      <w:jc w:val="center"/>
                      <w:rPr>
                        <w:rFonts w:ascii="Times New Roman" w:hAnsi="Times New Roman" w:cs="Times New Roman"/>
                        <w:szCs w:val="21"/>
                      </w:rPr>
                    </w:pPr>
                    <w:r>
                      <w:rPr>
                        <w:rFonts w:ascii="Times New Roman" w:cs="Times New Roman"/>
                      </w:rPr>
                      <w:t>往来款</w:t>
                    </w:r>
                  </w:p>
                </w:tc>
                <w:tc>
                  <w:tcPr>
                    <w:tcW w:w="863" w:type="pct"/>
                    <w:vAlign w:val="center"/>
                  </w:tcPr>
                  <w:p>
                    <w:pPr>
                      <w:ind w:right="73"/>
                      <w:jc w:val="right"/>
                      <w:rPr>
                        <w:rFonts w:ascii="Times New Roman" w:hAnsi="Times New Roman" w:cs="Times New Roman"/>
                        <w:szCs w:val="21"/>
                      </w:rPr>
                    </w:pPr>
                    <w:r>
                      <w:rPr>
                        <w:rFonts w:ascii="Times New Roman" w:hAnsi="Times New Roman" w:cs="Times New Roman"/>
                      </w:rPr>
                      <w:t>960,000.00</w:t>
                    </w:r>
                  </w:p>
                </w:tc>
                <w:tc>
                  <w:tcPr>
                    <w:tcW w:w="862" w:type="pct"/>
                    <w:vAlign w:val="center"/>
                  </w:tcPr>
                  <w:p>
                    <w:pPr>
                      <w:ind w:right="73"/>
                      <w:jc w:val="center"/>
                      <w:rPr>
                        <w:rFonts w:ascii="Times New Roman" w:hAnsi="Times New Roman" w:cs="Times New Roman"/>
                        <w:szCs w:val="21"/>
                      </w:rPr>
                    </w:pPr>
                    <w:r>
                      <w:rPr>
                        <w:rFonts w:ascii="Times New Roman" w:hAnsi="Times New Roman" w:cs="Times New Roman"/>
                      </w:rPr>
                      <w:t>5</w:t>
                    </w:r>
                    <w:r>
                      <w:rPr>
                        <w:rFonts w:ascii="Times New Roman" w:cs="Times New Roman"/>
                      </w:rPr>
                      <w:t>年以上</w:t>
                    </w:r>
                  </w:p>
                </w:tc>
                <w:tc>
                  <w:tcPr>
                    <w:tcW w:w="861" w:type="pct"/>
                    <w:vAlign w:val="center"/>
                  </w:tcPr>
                  <w:p>
                    <w:pPr>
                      <w:jc w:val="right"/>
                      <w:rPr>
                        <w:rFonts w:ascii="Times New Roman" w:hAnsi="Times New Roman" w:cs="Times New Roman"/>
                        <w:szCs w:val="21"/>
                      </w:rPr>
                    </w:pPr>
                    <w:r>
                      <w:rPr>
                        <w:rFonts w:ascii="Times New Roman" w:hAnsi="Times New Roman" w:cs="Times New Roman"/>
                      </w:rPr>
                      <w:t>3.42</w:t>
                    </w:r>
                  </w:p>
                </w:tc>
                <w:tc>
                  <w:tcPr>
                    <w:tcW w:w="789" w:type="pct"/>
                    <w:vAlign w:val="center"/>
                  </w:tcPr>
                  <w:p>
                    <w:pPr>
                      <w:jc w:val="right"/>
                      <w:rPr>
                        <w:rFonts w:ascii="Times New Roman" w:hAnsi="Times New Roman" w:cs="Times New Roman"/>
                        <w:szCs w:val="21"/>
                      </w:rPr>
                    </w:pPr>
                    <w:r>
                      <w:rPr>
                        <w:rFonts w:ascii="Times New Roman" w:hAnsi="Times New Roman" w:cs="Times New Roman"/>
                      </w:rPr>
                      <w:t>960,000.00</w:t>
                    </w:r>
                  </w:p>
                </w:tc>
              </w:tr>
            </w:sdtContent>
          </w:sdt>
          <w:sdt>
            <w:sdtPr>
              <w:rPr>
                <w:rFonts w:ascii="Times New Roman" w:hAnsi="Times New Roman" w:cs="Times New Roman"/>
                <w:szCs w:val="21"/>
              </w:rPr>
              <w:alias w:val="其他应收款欠款户"/>
              <w:tag w:val="_TUP_c8d734adc8624e66860d3c0f01d5cb6b"/>
              <w:id w:val="86572477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2" w:type="pct"/>
                  </w:tcPr>
                  <w:p>
                    <w:pPr>
                      <w:ind w:right="105"/>
                      <w:rPr>
                        <w:rFonts w:ascii="Times New Roman" w:hAnsi="Times New Roman" w:cs="Times New Roman"/>
                        <w:szCs w:val="21"/>
                      </w:rPr>
                    </w:pPr>
                    <w:r>
                      <w:rPr>
                        <w:rFonts w:ascii="Times New Roman" w:cs="Times New Roman"/>
                      </w:rPr>
                      <w:t>如家酒店连锁（中国）有限公司</w:t>
                    </w:r>
                  </w:p>
                </w:tc>
                <w:tc>
                  <w:tcPr>
                    <w:tcW w:w="794" w:type="pct"/>
                    <w:vAlign w:val="center"/>
                  </w:tcPr>
                  <w:p>
                    <w:pPr>
                      <w:ind w:right="73"/>
                      <w:jc w:val="center"/>
                      <w:rPr>
                        <w:rFonts w:ascii="Times New Roman" w:hAnsi="Times New Roman" w:cs="Times New Roman"/>
                        <w:szCs w:val="21"/>
                      </w:rPr>
                    </w:pPr>
                    <w:r>
                      <w:rPr>
                        <w:rFonts w:ascii="Times New Roman" w:cs="Times New Roman"/>
                      </w:rPr>
                      <w:t>保证金</w:t>
                    </w:r>
                  </w:p>
                </w:tc>
                <w:tc>
                  <w:tcPr>
                    <w:tcW w:w="863" w:type="pct"/>
                    <w:vAlign w:val="center"/>
                  </w:tcPr>
                  <w:p>
                    <w:pPr>
                      <w:ind w:right="73"/>
                      <w:jc w:val="right"/>
                      <w:rPr>
                        <w:rFonts w:ascii="Times New Roman" w:hAnsi="Times New Roman" w:cs="Times New Roman"/>
                        <w:szCs w:val="21"/>
                      </w:rPr>
                    </w:pPr>
                    <w:r>
                      <w:rPr>
                        <w:rFonts w:ascii="Times New Roman" w:hAnsi="Times New Roman" w:cs="Times New Roman"/>
                      </w:rPr>
                      <w:t>700,000.00</w:t>
                    </w:r>
                  </w:p>
                </w:tc>
                <w:tc>
                  <w:tcPr>
                    <w:tcW w:w="862" w:type="pct"/>
                    <w:vAlign w:val="center"/>
                  </w:tcPr>
                  <w:p>
                    <w:pPr>
                      <w:ind w:right="73"/>
                      <w:jc w:val="center"/>
                      <w:rPr>
                        <w:rFonts w:ascii="Times New Roman" w:hAnsi="Times New Roman" w:cs="Times New Roman"/>
                        <w:szCs w:val="21"/>
                      </w:rPr>
                    </w:pPr>
                    <w:r>
                      <w:rPr>
                        <w:rFonts w:ascii="Times New Roman" w:hAnsi="Times New Roman" w:cs="Times New Roman"/>
                      </w:rPr>
                      <w:t>5</w:t>
                    </w:r>
                    <w:r>
                      <w:rPr>
                        <w:rFonts w:ascii="Times New Roman" w:cs="Times New Roman"/>
                      </w:rPr>
                      <w:t>年以上</w:t>
                    </w:r>
                  </w:p>
                </w:tc>
                <w:tc>
                  <w:tcPr>
                    <w:tcW w:w="861" w:type="pct"/>
                    <w:vAlign w:val="center"/>
                  </w:tcPr>
                  <w:p>
                    <w:pPr>
                      <w:jc w:val="right"/>
                      <w:rPr>
                        <w:rFonts w:ascii="Times New Roman" w:hAnsi="Times New Roman" w:cs="Times New Roman"/>
                        <w:szCs w:val="21"/>
                      </w:rPr>
                    </w:pPr>
                    <w:r>
                      <w:rPr>
                        <w:rFonts w:ascii="Times New Roman" w:hAnsi="Times New Roman" w:cs="Times New Roman"/>
                      </w:rPr>
                      <w:t>2.49</w:t>
                    </w:r>
                  </w:p>
                </w:tc>
                <w:tc>
                  <w:tcPr>
                    <w:tcW w:w="789" w:type="pct"/>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14deb9938e6642aa874e012c75286fee"/>
                <w:id w:val="865724774"/>
                <w:lock w:val="sdtLocked"/>
              </w:sdtPr>
              <w:sdtEndPr>
                <w:rPr>
                  <w:rFonts w:ascii="Times New Roman" w:hAnsi="Times New Roman" w:cs="Times New Roman"/>
                </w:rPr>
              </w:sdtEndPr>
              <w:sdtContent>
                <w:tc>
                  <w:tcPr>
                    <w:tcW w:w="832" w:type="pct"/>
                  </w:tcPr>
                  <w:p>
                    <w:pPr>
                      <w:ind w:right="105"/>
                      <w:jc w:val="center"/>
                      <w:rPr>
                        <w:rFonts w:ascii="Times New Roman" w:hAnsi="Times New Roman" w:cs="Times New Roman"/>
                        <w:szCs w:val="21"/>
                      </w:rPr>
                    </w:pPr>
                    <w:r>
                      <w:rPr>
                        <w:rFonts w:ascii="Times New Roman" w:cs="Times New Roman"/>
                        <w:szCs w:val="21"/>
                      </w:rPr>
                      <w:t>合计</w:t>
                    </w:r>
                  </w:p>
                </w:tc>
              </w:sdtContent>
            </w:sdt>
            <w:tc>
              <w:tcPr>
                <w:tcW w:w="794" w:type="pct"/>
                <w:vAlign w:val="center"/>
              </w:tcPr>
              <w:p>
                <w:pPr>
                  <w:ind w:right="73"/>
                  <w:jc w:val="center"/>
                  <w:rPr>
                    <w:rFonts w:ascii="Times New Roman" w:hAnsi="Times New Roman" w:cs="Times New Roman"/>
                    <w:szCs w:val="21"/>
                  </w:rPr>
                </w:pPr>
                <w:r>
                  <w:rPr>
                    <w:rFonts w:ascii="Times New Roman" w:hAnsi="Times New Roman" w:cs="Times New Roman"/>
                    <w:szCs w:val="21"/>
                  </w:rPr>
                  <w:t>/</w:t>
                </w:r>
              </w:p>
            </w:tc>
            <w:tc>
              <w:tcPr>
                <w:tcW w:w="863" w:type="pct"/>
                <w:vAlign w:val="center"/>
              </w:tcPr>
              <w:p>
                <w:pPr>
                  <w:jc w:val="right"/>
                  <w:rPr>
                    <w:rFonts w:ascii="Times New Roman" w:hAnsi="Times New Roman" w:cs="Times New Roman"/>
                    <w:sz w:val="24"/>
                  </w:rPr>
                </w:pPr>
                <w:r>
                  <w:rPr>
                    <w:rFonts w:ascii="Times New Roman" w:hAnsi="Times New Roman" w:cs="Times New Roman"/>
                  </w:rPr>
                  <w:t>9,961,452.43</w:t>
                </w:r>
              </w:p>
            </w:tc>
            <w:tc>
              <w:tcPr>
                <w:tcW w:w="862" w:type="pct"/>
                <w:vAlign w:val="center"/>
              </w:tcPr>
              <w:p>
                <w:pPr>
                  <w:jc w:val="right"/>
                  <w:rPr>
                    <w:rFonts w:ascii="Times New Roman" w:hAnsi="Times New Roman" w:cs="Times New Roman"/>
                    <w:sz w:val="24"/>
                  </w:rPr>
                </w:pPr>
              </w:p>
            </w:tc>
            <w:tc>
              <w:tcPr>
                <w:tcW w:w="861" w:type="pct"/>
                <w:vAlign w:val="center"/>
              </w:tcPr>
              <w:p>
                <w:pPr>
                  <w:jc w:val="right"/>
                  <w:rPr>
                    <w:rFonts w:ascii="Times New Roman" w:hAnsi="Times New Roman" w:cs="Times New Roman"/>
                    <w:sz w:val="24"/>
                  </w:rPr>
                </w:pPr>
                <w:r>
                  <w:rPr>
                    <w:rFonts w:ascii="Times New Roman" w:hAnsi="Times New Roman" w:cs="Times New Roman"/>
                  </w:rPr>
                  <w:t>35.4</w:t>
                </w:r>
                <w:r>
                  <w:rPr>
                    <w:rFonts w:hint="eastAsia" w:ascii="Times New Roman" w:hAnsi="Times New Roman" w:cs="Times New Roman"/>
                  </w:rPr>
                  <w:t>6</w:t>
                </w:r>
              </w:p>
            </w:tc>
            <w:tc>
              <w:tcPr>
                <w:tcW w:w="789" w:type="pct"/>
                <w:vAlign w:val="center"/>
              </w:tcPr>
              <w:p>
                <w:pPr>
                  <w:jc w:val="right"/>
                  <w:rPr>
                    <w:rFonts w:ascii="Times New Roman" w:hAnsi="Times New Roman" w:cs="Times New Roman"/>
                    <w:sz w:val="24"/>
                  </w:rPr>
                </w:pPr>
                <w:r>
                  <w:rPr>
                    <w:rFonts w:ascii="Times New Roman" w:hAnsi="Times New Roman" w:cs="Times New Roman"/>
                  </w:rPr>
                  <w:t>6,761,452.43</w:t>
                </w:r>
              </w:p>
            </w:tc>
          </w:tr>
        </w:tbl>
        <w:p/>
        <w:p>
          <w:pPr>
            <w:snapToGrid w:val="0"/>
            <w:spacing w:line="240" w:lineRule="atLeast"/>
          </w:pPr>
        </w:p>
      </w:sdtContent>
    </w:sdt>
    <w:sdt>
      <w:sdtPr>
        <w:rPr>
          <w:rFonts w:hint="eastAsia" w:ascii="宋体" w:hAnsi="宋体" w:eastAsia="宋体" w:cs="宋体"/>
          <w:b w:val="0"/>
          <w:bCs w:val="0"/>
          <w:kern w:val="0"/>
          <w:szCs w:val="24"/>
        </w:rPr>
        <w:alias w:val="模块:按应收金额确认的政府补助"/>
        <w:tag w:val="_SEC_7f884e5815904873b956a469c8376ddc"/>
        <w:id w:val="865724777"/>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3"/>
              <w:numId w:val="83"/>
            </w:numPr>
            <w:ind w:left="426" w:hanging="426"/>
          </w:pPr>
          <w:r>
            <w:rPr>
              <w:rFonts w:hint="eastAsia"/>
            </w:rPr>
            <w:t>涉及政府补助的应收款项</w:t>
          </w:r>
        </w:p>
        <w:sdt>
          <w:sdtPr>
            <w:alias w:val="是否适用：涉及政府补助的应收款项[双击切换]"/>
            <w:tag w:val="_GBC_827b87f85d804f17ad2db9164b31e41a"/>
            <w:id w:val="86572477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p>
          <w:pPr>
            <w:snapToGrid w:val="0"/>
            <w:spacing w:line="240" w:lineRule="atLeast"/>
            <w:rPr>
              <w:rFonts w:ascii="Times New Roman" w:hAnsi="Times New Roman"/>
            </w:rPr>
          </w:pPr>
        </w:p>
      </w:sdtContent>
    </w:sdt>
    <w:sdt>
      <w:sdtPr>
        <w:rPr>
          <w:rFonts w:ascii="Times New Roman" w:hAnsi="Times New Roman" w:eastAsia="宋体" w:cs="宋体"/>
          <w:b w:val="0"/>
          <w:bCs w:val="0"/>
          <w:kern w:val="0"/>
          <w:szCs w:val="24"/>
        </w:rPr>
        <w:alias w:val="模块:因金融资产转移而终止确认的其他应收款"/>
        <w:tag w:val="_SEC_b4e92d47ce454acbba1241413cf48897"/>
        <w:id w:val="865724779"/>
        <w:lock w:val="sdtLocked"/>
        <w:placeholder>
          <w:docPart w:val="GBC22222222222222222222222222222"/>
        </w:placeholder>
      </w:sdtPr>
      <w:sdtEndPr>
        <w:rPr>
          <w:rFonts w:ascii="Times New Roman" w:hAnsi="Times New Roman" w:eastAsia="宋体" w:cs="宋体"/>
          <w:b w:val="0"/>
          <w:bCs w:val="0"/>
          <w:kern w:val="0"/>
          <w:szCs w:val="24"/>
        </w:rPr>
      </w:sdtEndPr>
      <w:sdtContent>
        <w:p>
          <w:pPr>
            <w:pStyle w:val="5"/>
            <w:numPr>
              <w:ilvl w:val="3"/>
              <w:numId w:val="83"/>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865724778"/>
            <w:lock w:val="sdtLocked"/>
            <w:placeholder>
              <w:docPart w:val="GBC22222222222222222222222222222"/>
            </w:placeholder>
          </w:sdtPr>
          <w:sdtEndPr>
            <w:rPr>
              <w:rFonts w:hint="eastAsia"/>
              <w:szCs w:val="21"/>
            </w:rPr>
          </w:sdtEndPr>
          <w:sdtContent>
            <w:p>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Times New Roman" w:hAnsi="Times New Roman" w:eastAsia="宋体" w:cs="宋体"/>
          <w:b w:val="0"/>
          <w:bCs w:val="0"/>
          <w:kern w:val="0"/>
          <w:szCs w:val="24"/>
        </w:rPr>
        <w:alias w:val="模块:转移其他应收款且继续涉入形成的资产、负债金额的说明"/>
        <w:tag w:val="_SEC_92e24bbe4f564b40858a76aac5222baf"/>
        <w:id w:val="865724781"/>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3"/>
              <w:numId w:val="83"/>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86572478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Times New Roman" w:hAnsi="Times New Roman"/>
          <w:b/>
          <w:bCs/>
        </w:rPr>
        <w:alias w:val="模块:其他应收款其他说明"/>
        <w:tag w:val="_SEC_ca3c9a9eec87490e8f1dd55c9f575f92"/>
        <w:id w:val="865724784"/>
        <w:lock w:val="sdtLocked"/>
        <w:placeholder>
          <w:docPart w:val="GBC22222222222222222222222222222"/>
        </w:placeholder>
      </w:sdtPr>
      <w:sdtEndPr>
        <w:rPr>
          <w:rFonts w:hint="eastAsia" w:ascii="Times New Roman" w:hAnsi="Times New Roman"/>
          <w:b w:val="0"/>
          <w:bCs w:val="0"/>
        </w:rPr>
      </w:sdtEndPr>
      <w:sdtContent>
        <w:p>
          <w:r>
            <w:rPr>
              <w:rFonts w:hint="eastAsia"/>
            </w:rPr>
            <w:t>其他</w:t>
          </w:r>
          <w:r>
            <w:t>说明：</w:t>
          </w:r>
        </w:p>
        <w:sdt>
          <w:sdtPr>
            <w:rPr>
              <w:rFonts w:hint="eastAsia"/>
              <w:szCs w:val="21"/>
            </w:rPr>
            <w:alias w:val="是否适用：其他应收款的其他说明[双击切换]"/>
            <w:tag w:val="_GBC_f19370687b664bbeafd6d2809311f81e"/>
            <w:id w:val="86572478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0"/>
          <w:numId w:val="79"/>
        </w:numPr>
      </w:pPr>
      <w:r>
        <w:rPr>
          <w:rFonts w:hint="eastAsia"/>
        </w:rPr>
        <w:t>存货</w:t>
      </w:r>
    </w:p>
    <w:sdt>
      <w:sdtPr>
        <w:rPr>
          <w:rFonts w:hint="eastAsia" w:eastAsia="宋体" w:cs="宋体" w:asciiTheme="minorHAnsi" w:hAnsiTheme="minorHAnsi"/>
          <w:b w:val="0"/>
          <w:bCs w:val="0"/>
          <w:kern w:val="0"/>
          <w:szCs w:val="22"/>
        </w:rPr>
        <w:alias w:val="模块:存货分类 "/>
        <w:tag w:val="_SEC_db208c50ef2347fc8318ac3ce516f8f3"/>
        <w:id w:val="865724797"/>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3"/>
              <w:numId w:val="84"/>
            </w:numPr>
            <w:ind w:left="426" w:hanging="426"/>
          </w:pPr>
          <w:bookmarkStart w:id="158" w:name="_Hlk532992451"/>
          <w:bookmarkStart w:id="159" w:name="_Hlk24116366"/>
          <w:r>
            <w:rPr>
              <w:rFonts w:hint="eastAsia"/>
            </w:rPr>
            <w:t>存货分类</w:t>
          </w:r>
        </w:p>
        <w:sdt>
          <w:sdtPr>
            <w:alias w:val="是否适用：存货分类[双击切换]"/>
            <w:tag w:val="_GBC_357bbe1b1f034d20ba175209243f1121"/>
            <w:id w:val="86572478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存货分类"/>
              <w:tag w:val="_GBC_d8d041ff281d42b2825673de12d9cf99"/>
              <w:id w:val="8657247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865724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p>
          <w:pPr>
            <w:rPr>
              <w:szCs w:val="21"/>
            </w:rPr>
          </w:pPr>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397"/>
            <w:gridCol w:w="1258"/>
            <w:gridCol w:w="1471"/>
            <w:gridCol w:w="1417"/>
            <w:gridCol w:w="1137"/>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c7ef81863f9f475b86b8ee43ac7e9274"/>
                <w:id w:val="865724788"/>
                <w:lock w:val="sdtLocked"/>
              </w:sdtPr>
              <w:sdtEndPr>
                <w:rPr>
                  <w:rFonts w:ascii="Times New Roman" w:hAnsi="Times New Roman" w:cs="Times New Roman"/>
                </w:rPr>
              </w:sdtEndPr>
              <w:sdtContent>
                <w:tc>
                  <w:tcPr>
                    <w:tcW w:w="600" w:type="pct"/>
                    <w:vMerge w:val="restart"/>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68fbd4316a69442d924038f565882f99"/>
                <w:id w:val="865724789"/>
                <w:lock w:val="sdtLocked"/>
              </w:sdtPr>
              <w:sdtEndPr>
                <w:rPr>
                  <w:rFonts w:ascii="Times New Roman" w:hAnsi="Times New Roman" w:cs="Times New Roman"/>
                </w:rPr>
              </w:sdtEndPr>
              <w:sdtContent>
                <w:tc>
                  <w:tcPr>
                    <w:tcW w:w="2280" w:type="pct"/>
                    <w:gridSpan w:val="3"/>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39f6313de32c45ce95b6a2ef18238d4a"/>
                <w:id w:val="865724790"/>
                <w:lock w:val="sdtLocked"/>
              </w:sdtPr>
              <w:sdtEndPr>
                <w:rPr>
                  <w:rFonts w:ascii="Times New Roman" w:hAnsi="Times New Roman" w:cs="Times New Roman"/>
                </w:rPr>
              </w:sdtEndPr>
              <w:sdtContent>
                <w:tc>
                  <w:tcPr>
                    <w:tcW w:w="2120" w:type="pct"/>
                    <w:gridSpan w:val="3"/>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0" w:type="pct"/>
                <w:vMerge w:val="continue"/>
              </w:tcPr>
              <w:p>
                <w:pPr>
                  <w:ind w:right="5"/>
                  <w:jc w:val="center"/>
                  <w:rPr>
                    <w:rFonts w:ascii="Times New Roman" w:hAnsi="Times New Roman" w:cs="Times New Roman"/>
                    <w:szCs w:val="21"/>
                  </w:rPr>
                </w:pPr>
              </w:p>
            </w:tc>
            <w:sdt>
              <w:sdtPr>
                <w:rPr>
                  <w:rFonts w:ascii="Times New Roman" w:hAnsi="Times New Roman" w:cs="Times New Roman"/>
                </w:rPr>
                <w:tag w:val="_PLD_73436d894fc444d5b519a3b75a689324"/>
                <w:id w:val="865724791"/>
                <w:lock w:val="sdtLocked"/>
              </w:sdtPr>
              <w:sdtEndPr>
                <w:rPr>
                  <w:rFonts w:ascii="Times New Roman" w:hAnsi="Times New Roman" w:cs="Times New Roman"/>
                </w:rPr>
              </w:sdtEndPr>
              <w:sdtContent>
                <w:tc>
                  <w:tcPr>
                    <w:tcW w:w="772" w:type="pct"/>
                    <w:vAlign w:val="center"/>
                  </w:tcPr>
                  <w:p>
                    <w:pPr>
                      <w:ind w:right="5"/>
                      <w:jc w:val="center"/>
                      <w:rPr>
                        <w:rFonts w:ascii="Times New Roman" w:hAnsi="Times New Roman" w:cs="Times New Roman"/>
                        <w:szCs w:val="21"/>
                      </w:rPr>
                    </w:pPr>
                    <w:r>
                      <w:rPr>
                        <w:rFonts w:ascii="Times New Roman" w:cs="Times New Roman"/>
                        <w:szCs w:val="21"/>
                      </w:rPr>
                      <w:t>账面余额</w:t>
                    </w:r>
                  </w:p>
                </w:tc>
              </w:sdtContent>
            </w:sdt>
            <w:tc>
              <w:tcPr>
                <w:tcW w:w="695" w:type="pct"/>
                <w:vAlign w:val="center"/>
              </w:tcPr>
              <w:p>
                <w:pPr>
                  <w:ind w:right="5"/>
                  <w:jc w:val="center"/>
                  <w:rPr>
                    <w:rFonts w:ascii="Times New Roman" w:hAnsi="Times New Roman" w:cs="Times New Roman"/>
                    <w:szCs w:val="21"/>
                  </w:rPr>
                </w:pPr>
                <w:sdt>
                  <w:sdtPr>
                    <w:rPr>
                      <w:rFonts w:ascii="Times New Roman" w:hAnsi="Times New Roman" w:cs="Times New Roman"/>
                    </w:rPr>
                    <w:tag w:val="_PLD_09cd496fa8624ad4a9538b5b209e6d5a"/>
                    <w:id w:val="865724792"/>
                    <w:lock w:val="sdtLocked"/>
                  </w:sdtPr>
                  <w:sdtEndPr>
                    <w:rPr>
                      <w:rFonts w:ascii="Times New Roman" w:hAnsi="Times New Roman" w:cs="Times New Roman"/>
                    </w:rPr>
                  </w:sdtEndPr>
                  <w:sdtContent>
                    <w:r>
                      <w:rPr>
                        <w:rFonts w:ascii="Times New Roman" w:cs="Times New Roman"/>
                        <w:szCs w:val="21"/>
                      </w:rPr>
                      <w:t>存货跌价准备</w:t>
                    </w:r>
                    <w:r>
                      <w:rPr>
                        <w:rFonts w:ascii="Times New Roman" w:hAnsi="Times New Roman" w:cs="Times New Roman"/>
                        <w:szCs w:val="21"/>
                      </w:rPr>
                      <w:t>/</w:t>
                    </w:r>
                    <w:r>
                      <w:rPr>
                        <w:rFonts w:ascii="Times New Roman" w:cs="Times New Roman"/>
                        <w:szCs w:val="21"/>
                      </w:rPr>
                      <w:t>合同履约成本减值准备</w:t>
                    </w:r>
                  </w:sdtContent>
                </w:sdt>
              </w:p>
            </w:tc>
            <w:sdt>
              <w:sdtPr>
                <w:rPr>
                  <w:rFonts w:ascii="Times New Roman" w:hAnsi="Times New Roman" w:cs="Times New Roman"/>
                </w:rPr>
                <w:tag w:val="_PLD_2c7532c412cf491899c310ef9902157e"/>
                <w:id w:val="865724793"/>
                <w:lock w:val="sdtLocked"/>
              </w:sdtPr>
              <w:sdtEndPr>
                <w:rPr>
                  <w:rFonts w:ascii="Times New Roman" w:hAnsi="Times New Roman" w:cs="Times New Roman"/>
                </w:rPr>
              </w:sdtEndPr>
              <w:sdtContent>
                <w:tc>
                  <w:tcPr>
                    <w:tcW w:w="813" w:type="pct"/>
                    <w:vAlign w:val="center"/>
                  </w:tcPr>
                  <w:p>
                    <w:pPr>
                      <w:ind w:right="5"/>
                      <w:jc w:val="center"/>
                      <w:rPr>
                        <w:rFonts w:ascii="Times New Roman" w:hAnsi="Times New Roman" w:cs="Times New Roman"/>
                        <w:szCs w:val="21"/>
                      </w:rPr>
                    </w:pPr>
                    <w:r>
                      <w:rPr>
                        <w:rFonts w:ascii="Times New Roman" w:cs="Times New Roman"/>
                        <w:szCs w:val="21"/>
                      </w:rPr>
                      <w:t>账面价值</w:t>
                    </w:r>
                  </w:p>
                </w:tc>
              </w:sdtContent>
            </w:sdt>
            <w:sdt>
              <w:sdtPr>
                <w:rPr>
                  <w:rFonts w:ascii="Times New Roman" w:hAnsi="Times New Roman" w:cs="Times New Roman"/>
                </w:rPr>
                <w:tag w:val="_PLD_6c2924a6d3da466f96c5c2e2f2d81de1"/>
                <w:id w:val="865724794"/>
                <w:lock w:val="sdtLocked"/>
              </w:sdtPr>
              <w:sdtEndPr>
                <w:rPr>
                  <w:rFonts w:ascii="Times New Roman" w:hAnsi="Times New Roman" w:cs="Times New Roman"/>
                </w:rPr>
              </w:sdtEndPr>
              <w:sdtContent>
                <w:tc>
                  <w:tcPr>
                    <w:tcW w:w="783" w:type="pct"/>
                    <w:vAlign w:val="center"/>
                  </w:tcPr>
                  <w:p>
                    <w:pPr>
                      <w:ind w:right="5"/>
                      <w:jc w:val="center"/>
                      <w:rPr>
                        <w:rFonts w:ascii="Times New Roman" w:hAnsi="Times New Roman" w:cs="Times New Roman"/>
                        <w:szCs w:val="21"/>
                      </w:rPr>
                    </w:pPr>
                    <w:r>
                      <w:rPr>
                        <w:rFonts w:ascii="Times New Roman" w:cs="Times New Roman"/>
                        <w:szCs w:val="21"/>
                      </w:rPr>
                      <w:t>账面余额</w:t>
                    </w:r>
                  </w:p>
                </w:tc>
              </w:sdtContent>
            </w:sdt>
            <w:tc>
              <w:tcPr>
                <w:tcW w:w="628" w:type="pct"/>
                <w:vAlign w:val="center"/>
              </w:tcPr>
              <w:p>
                <w:pPr>
                  <w:ind w:right="5"/>
                  <w:jc w:val="center"/>
                  <w:rPr>
                    <w:rFonts w:ascii="Times New Roman" w:hAnsi="Times New Roman" w:cs="Times New Roman"/>
                    <w:szCs w:val="21"/>
                  </w:rPr>
                </w:pPr>
                <w:sdt>
                  <w:sdtPr>
                    <w:rPr>
                      <w:rFonts w:ascii="Times New Roman" w:hAnsi="Times New Roman" w:cs="Times New Roman"/>
                    </w:rPr>
                    <w:tag w:val="_PLD_e5df78ba36d146dfb7eedab7ddd98031"/>
                    <w:id w:val="865724795"/>
                    <w:lock w:val="sdtLocked"/>
                  </w:sdtPr>
                  <w:sdtEndPr>
                    <w:rPr>
                      <w:rFonts w:ascii="Times New Roman" w:hAnsi="Times New Roman" w:cs="Times New Roman"/>
                    </w:rPr>
                  </w:sdtEndPr>
                  <w:sdtContent>
                    <w:r>
                      <w:rPr>
                        <w:rFonts w:ascii="Times New Roman" w:cs="Times New Roman"/>
                      </w:rPr>
                      <w:t>存货跌价准备</w:t>
                    </w:r>
                    <w:r>
                      <w:rPr>
                        <w:rFonts w:ascii="Times New Roman" w:hAnsi="Times New Roman" w:cs="Times New Roman"/>
                        <w:szCs w:val="21"/>
                      </w:rPr>
                      <w:t>/</w:t>
                    </w:r>
                    <w:r>
                      <w:rPr>
                        <w:rFonts w:ascii="Times New Roman" w:cs="Times New Roman"/>
                        <w:szCs w:val="21"/>
                      </w:rPr>
                      <w:t>合同履约成本减值准备</w:t>
                    </w:r>
                  </w:sdtContent>
                </w:sdt>
              </w:p>
            </w:tc>
            <w:sdt>
              <w:sdtPr>
                <w:rPr>
                  <w:rFonts w:ascii="Times New Roman" w:hAnsi="Times New Roman" w:cs="Times New Roman"/>
                </w:rPr>
                <w:tag w:val="_PLD_ba07e513b5504e03b2dcef7d8421fa16"/>
                <w:id w:val="865724796"/>
                <w:lock w:val="sdtLocked"/>
              </w:sdtPr>
              <w:sdtEndPr>
                <w:rPr>
                  <w:rFonts w:ascii="Times New Roman" w:hAnsi="Times New Roman" w:cs="Times New Roman"/>
                </w:rPr>
              </w:sdtEndPr>
              <w:sdtContent>
                <w:tc>
                  <w:tcPr>
                    <w:tcW w:w="709" w:type="pct"/>
                    <w:vAlign w:val="center"/>
                  </w:tcPr>
                  <w:p>
                    <w:pPr>
                      <w:ind w:right="5"/>
                      <w:jc w:val="center"/>
                      <w:rPr>
                        <w:rFonts w:ascii="Times New Roman" w:hAnsi="Times New Roman" w:cs="Times New Roman"/>
                        <w:szCs w:val="21"/>
                      </w:rPr>
                    </w:pPr>
                    <w:r>
                      <w:rPr>
                        <w:rFonts w:ascii="Times New Roman" w:cs="Times New Roman"/>
                        <w:szCs w:val="21"/>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0" w:type="pct"/>
              </w:tcPr>
              <w:p>
                <w:pPr>
                  <w:ind w:right="5"/>
                  <w:rPr>
                    <w:rFonts w:ascii="Times New Roman" w:hAnsi="Times New Roman" w:cs="Times New Roman"/>
                    <w:szCs w:val="21"/>
                  </w:rPr>
                </w:pPr>
                <w:r>
                  <w:rPr>
                    <w:rFonts w:ascii="Times New Roman" w:cs="Times New Roman"/>
                    <w:szCs w:val="21"/>
                  </w:rPr>
                  <w:t>原材料</w:t>
                </w:r>
              </w:p>
            </w:tc>
            <w:tc>
              <w:tcPr>
                <w:tcW w:w="772" w:type="pct"/>
                <w:vAlign w:val="center"/>
              </w:tcPr>
              <w:p>
                <w:pPr>
                  <w:jc w:val="right"/>
                  <w:rPr>
                    <w:rFonts w:ascii="Times New Roman" w:hAnsi="Times New Roman" w:cs="Times New Roman"/>
                    <w:sz w:val="18"/>
                    <w:szCs w:val="18"/>
                  </w:rPr>
                </w:pPr>
                <w:r>
                  <w:rPr>
                    <w:rFonts w:ascii="Times New Roman" w:hAnsi="Times New Roman" w:cs="Times New Roman"/>
                    <w:sz w:val="18"/>
                    <w:szCs w:val="18"/>
                  </w:rPr>
                  <w:t>46,858,069.80</w:t>
                </w:r>
              </w:p>
            </w:tc>
            <w:tc>
              <w:tcPr>
                <w:tcW w:w="695" w:type="pct"/>
                <w:vAlign w:val="center"/>
              </w:tcPr>
              <w:p>
                <w:pPr>
                  <w:jc w:val="right"/>
                  <w:rPr>
                    <w:rFonts w:ascii="Times New Roman" w:hAnsi="Times New Roman" w:cs="Times New Roman"/>
                    <w:sz w:val="18"/>
                    <w:szCs w:val="18"/>
                  </w:rPr>
                </w:pPr>
                <w:r>
                  <w:rPr>
                    <w:rFonts w:ascii="Times New Roman" w:hAnsi="Times New Roman" w:cs="Times New Roman"/>
                    <w:sz w:val="18"/>
                    <w:szCs w:val="18"/>
                  </w:rPr>
                  <w:t>3,949,974.04</w:t>
                </w:r>
              </w:p>
            </w:tc>
            <w:tc>
              <w:tcPr>
                <w:tcW w:w="813" w:type="pct"/>
                <w:vAlign w:val="center"/>
              </w:tcPr>
              <w:p>
                <w:pPr>
                  <w:jc w:val="right"/>
                  <w:rPr>
                    <w:rFonts w:ascii="Times New Roman" w:hAnsi="Times New Roman" w:cs="Times New Roman"/>
                    <w:sz w:val="18"/>
                    <w:szCs w:val="18"/>
                  </w:rPr>
                </w:pPr>
                <w:r>
                  <w:rPr>
                    <w:rFonts w:ascii="Times New Roman" w:hAnsi="Times New Roman" w:cs="Times New Roman"/>
                    <w:sz w:val="18"/>
                    <w:szCs w:val="18"/>
                  </w:rPr>
                  <w:t>42,908,095.76</w:t>
                </w:r>
              </w:p>
            </w:tc>
            <w:tc>
              <w:tcPr>
                <w:tcW w:w="783" w:type="pct"/>
                <w:vAlign w:val="center"/>
              </w:tcPr>
              <w:p>
                <w:pPr>
                  <w:jc w:val="right"/>
                  <w:rPr>
                    <w:rFonts w:ascii="Times New Roman" w:hAnsi="Times New Roman" w:cs="Times New Roman"/>
                    <w:sz w:val="18"/>
                    <w:szCs w:val="18"/>
                  </w:rPr>
                </w:pPr>
                <w:r>
                  <w:rPr>
                    <w:rFonts w:ascii="Times New Roman" w:hAnsi="Times New Roman" w:cs="Times New Roman"/>
                    <w:sz w:val="18"/>
                    <w:szCs w:val="18"/>
                  </w:rPr>
                  <w:t>43,470,996.59</w:t>
                </w:r>
              </w:p>
            </w:tc>
            <w:tc>
              <w:tcPr>
                <w:tcW w:w="628" w:type="pct"/>
                <w:vAlign w:val="center"/>
              </w:tcPr>
              <w:p>
                <w:pPr>
                  <w:jc w:val="right"/>
                  <w:rPr>
                    <w:rFonts w:ascii="Times New Roman" w:hAnsi="Times New Roman" w:cs="Times New Roman"/>
                    <w:sz w:val="18"/>
                    <w:szCs w:val="18"/>
                  </w:rPr>
                </w:pPr>
                <w:r>
                  <w:rPr>
                    <w:rFonts w:ascii="Times New Roman" w:hAnsi="Times New Roman" w:cs="Times New Roman"/>
                    <w:sz w:val="18"/>
                    <w:szCs w:val="18"/>
                  </w:rPr>
                  <w:t>3,673,438.43</w:t>
                </w:r>
              </w:p>
            </w:tc>
            <w:tc>
              <w:tcPr>
                <w:tcW w:w="709" w:type="pct"/>
                <w:vAlign w:val="center"/>
              </w:tcPr>
              <w:p>
                <w:pPr>
                  <w:jc w:val="right"/>
                  <w:rPr>
                    <w:rFonts w:ascii="Times New Roman" w:hAnsi="Times New Roman" w:cs="Times New Roman"/>
                    <w:sz w:val="18"/>
                    <w:szCs w:val="18"/>
                  </w:rPr>
                </w:pPr>
                <w:r>
                  <w:rPr>
                    <w:rFonts w:ascii="Times New Roman" w:hAnsi="Times New Roman" w:cs="Times New Roman"/>
                    <w:sz w:val="18"/>
                    <w:szCs w:val="18"/>
                  </w:rPr>
                  <w:t>39,797,558.16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0" w:type="pct"/>
              </w:tcPr>
              <w:p>
                <w:pPr>
                  <w:ind w:right="5"/>
                  <w:rPr>
                    <w:rFonts w:ascii="Times New Roman" w:hAnsi="Times New Roman" w:cs="Times New Roman"/>
                    <w:szCs w:val="21"/>
                  </w:rPr>
                </w:pPr>
                <w:r>
                  <w:rPr>
                    <w:rFonts w:ascii="Times New Roman" w:cs="Times New Roman"/>
                    <w:szCs w:val="21"/>
                  </w:rPr>
                  <w:t>在产品</w:t>
                </w:r>
              </w:p>
            </w:tc>
            <w:tc>
              <w:tcPr>
                <w:tcW w:w="772" w:type="pct"/>
                <w:vAlign w:val="center"/>
              </w:tcPr>
              <w:p>
                <w:pPr>
                  <w:jc w:val="right"/>
                  <w:rPr>
                    <w:rFonts w:ascii="Times New Roman" w:hAnsi="Times New Roman" w:cs="Times New Roman"/>
                    <w:sz w:val="18"/>
                    <w:szCs w:val="18"/>
                  </w:rPr>
                </w:pPr>
                <w:r>
                  <w:rPr>
                    <w:rFonts w:ascii="Times New Roman" w:hAnsi="Times New Roman" w:cs="Times New Roman"/>
                    <w:sz w:val="18"/>
                    <w:szCs w:val="18"/>
                  </w:rPr>
                  <w:t>9,277,107.40</w:t>
                </w:r>
              </w:p>
            </w:tc>
            <w:tc>
              <w:tcPr>
                <w:tcW w:w="695" w:type="pct"/>
                <w:vAlign w:val="center"/>
              </w:tcPr>
              <w:p>
                <w:pPr>
                  <w:jc w:val="right"/>
                  <w:rPr>
                    <w:rFonts w:ascii="Times New Roman" w:hAnsi="Times New Roman" w:cs="Times New Roman"/>
                    <w:sz w:val="18"/>
                    <w:szCs w:val="18"/>
                  </w:rPr>
                </w:pPr>
              </w:p>
            </w:tc>
            <w:tc>
              <w:tcPr>
                <w:tcW w:w="813" w:type="pct"/>
                <w:vAlign w:val="center"/>
              </w:tcPr>
              <w:p>
                <w:pPr>
                  <w:jc w:val="right"/>
                  <w:rPr>
                    <w:rFonts w:ascii="Times New Roman" w:hAnsi="Times New Roman" w:cs="Times New Roman"/>
                    <w:sz w:val="18"/>
                    <w:szCs w:val="18"/>
                  </w:rPr>
                </w:pPr>
                <w:r>
                  <w:rPr>
                    <w:rFonts w:ascii="Times New Roman" w:hAnsi="Times New Roman" w:cs="Times New Roman"/>
                    <w:sz w:val="18"/>
                    <w:szCs w:val="18"/>
                  </w:rPr>
                  <w:t>9,277,107.40</w:t>
                </w:r>
              </w:p>
            </w:tc>
            <w:tc>
              <w:tcPr>
                <w:tcW w:w="783" w:type="pct"/>
                <w:vAlign w:val="center"/>
              </w:tcPr>
              <w:p>
                <w:pPr>
                  <w:jc w:val="right"/>
                  <w:rPr>
                    <w:rFonts w:ascii="Times New Roman" w:hAnsi="Times New Roman" w:cs="Times New Roman"/>
                    <w:sz w:val="18"/>
                    <w:szCs w:val="18"/>
                  </w:rPr>
                </w:pPr>
                <w:r>
                  <w:rPr>
                    <w:rFonts w:ascii="Times New Roman" w:hAnsi="Times New Roman" w:cs="Times New Roman"/>
                    <w:sz w:val="18"/>
                    <w:szCs w:val="18"/>
                  </w:rPr>
                  <w:t>7,237,434.47</w:t>
                </w:r>
              </w:p>
            </w:tc>
            <w:tc>
              <w:tcPr>
                <w:tcW w:w="628" w:type="pct"/>
                <w:vAlign w:val="center"/>
              </w:tcPr>
              <w:p>
                <w:pPr>
                  <w:jc w:val="right"/>
                  <w:rPr>
                    <w:rFonts w:ascii="Times New Roman" w:hAnsi="Times New Roman" w:cs="Times New Roman"/>
                    <w:sz w:val="18"/>
                    <w:szCs w:val="18"/>
                  </w:rPr>
                </w:pPr>
              </w:p>
            </w:tc>
            <w:tc>
              <w:tcPr>
                <w:tcW w:w="709" w:type="pct"/>
                <w:vAlign w:val="center"/>
              </w:tcPr>
              <w:p>
                <w:pPr>
                  <w:jc w:val="right"/>
                  <w:rPr>
                    <w:rFonts w:ascii="Times New Roman" w:hAnsi="Times New Roman" w:cs="Times New Roman"/>
                    <w:sz w:val="18"/>
                    <w:szCs w:val="18"/>
                  </w:rPr>
                </w:pPr>
                <w:r>
                  <w:rPr>
                    <w:rFonts w:ascii="Times New Roman" w:hAnsi="Times New Roman" w:cs="Times New Roman"/>
                    <w:sz w:val="18"/>
                    <w:szCs w:val="18"/>
                  </w:rPr>
                  <w:t>7,237,434.47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0" w:type="pct"/>
              </w:tcPr>
              <w:p>
                <w:pPr>
                  <w:ind w:right="5"/>
                  <w:rPr>
                    <w:rFonts w:ascii="Times New Roman" w:hAnsi="Times New Roman" w:cs="Times New Roman"/>
                    <w:szCs w:val="21"/>
                  </w:rPr>
                </w:pPr>
                <w:r>
                  <w:rPr>
                    <w:rFonts w:ascii="Times New Roman" w:cs="Times New Roman"/>
                    <w:szCs w:val="21"/>
                  </w:rPr>
                  <w:t>库存商品</w:t>
                </w:r>
              </w:p>
            </w:tc>
            <w:tc>
              <w:tcPr>
                <w:tcW w:w="772" w:type="pct"/>
                <w:vAlign w:val="center"/>
              </w:tcPr>
              <w:p>
                <w:pPr>
                  <w:jc w:val="right"/>
                  <w:rPr>
                    <w:rFonts w:ascii="Times New Roman" w:hAnsi="Times New Roman" w:cs="Times New Roman"/>
                    <w:sz w:val="18"/>
                    <w:szCs w:val="18"/>
                  </w:rPr>
                </w:pPr>
                <w:r>
                  <w:rPr>
                    <w:rFonts w:ascii="Times New Roman" w:hAnsi="Times New Roman" w:cs="Times New Roman"/>
                    <w:sz w:val="18"/>
                    <w:szCs w:val="18"/>
                  </w:rPr>
                  <w:t>88,416,767.35</w:t>
                </w:r>
              </w:p>
            </w:tc>
            <w:tc>
              <w:tcPr>
                <w:tcW w:w="695" w:type="pct"/>
                <w:vAlign w:val="center"/>
              </w:tcPr>
              <w:p>
                <w:pPr>
                  <w:jc w:val="right"/>
                  <w:rPr>
                    <w:rFonts w:ascii="Times New Roman" w:hAnsi="Times New Roman" w:cs="Times New Roman"/>
                    <w:sz w:val="18"/>
                    <w:szCs w:val="18"/>
                  </w:rPr>
                </w:pPr>
                <w:r>
                  <w:rPr>
                    <w:rFonts w:ascii="Times New Roman" w:hAnsi="Times New Roman" w:cs="Times New Roman"/>
                    <w:sz w:val="18"/>
                    <w:szCs w:val="18"/>
                  </w:rPr>
                  <w:t>3,812,229.04</w:t>
                </w:r>
              </w:p>
            </w:tc>
            <w:tc>
              <w:tcPr>
                <w:tcW w:w="813" w:type="pct"/>
                <w:vAlign w:val="center"/>
              </w:tcPr>
              <w:p>
                <w:pPr>
                  <w:jc w:val="right"/>
                  <w:rPr>
                    <w:rFonts w:ascii="Times New Roman" w:hAnsi="Times New Roman" w:cs="Times New Roman"/>
                    <w:sz w:val="18"/>
                    <w:szCs w:val="18"/>
                  </w:rPr>
                </w:pPr>
                <w:r>
                  <w:rPr>
                    <w:rFonts w:ascii="Times New Roman" w:hAnsi="Times New Roman" w:cs="Times New Roman"/>
                    <w:sz w:val="18"/>
                    <w:szCs w:val="18"/>
                  </w:rPr>
                  <w:t>84,604,538.31</w:t>
                </w:r>
              </w:p>
            </w:tc>
            <w:tc>
              <w:tcPr>
                <w:tcW w:w="783" w:type="pct"/>
                <w:vAlign w:val="center"/>
              </w:tcPr>
              <w:p>
                <w:pPr>
                  <w:jc w:val="right"/>
                  <w:rPr>
                    <w:rFonts w:ascii="Times New Roman" w:hAnsi="Times New Roman" w:cs="Times New Roman"/>
                    <w:sz w:val="18"/>
                    <w:szCs w:val="18"/>
                  </w:rPr>
                </w:pPr>
                <w:r>
                  <w:rPr>
                    <w:rFonts w:ascii="Times New Roman" w:hAnsi="Times New Roman" w:cs="Times New Roman"/>
                    <w:sz w:val="18"/>
                    <w:szCs w:val="18"/>
                  </w:rPr>
                  <w:t>72,554,244.33</w:t>
                </w:r>
              </w:p>
            </w:tc>
            <w:tc>
              <w:tcPr>
                <w:tcW w:w="628" w:type="pct"/>
                <w:vAlign w:val="center"/>
              </w:tcPr>
              <w:p>
                <w:pPr>
                  <w:jc w:val="right"/>
                  <w:rPr>
                    <w:rFonts w:ascii="Times New Roman" w:hAnsi="Times New Roman" w:cs="Times New Roman"/>
                    <w:sz w:val="18"/>
                    <w:szCs w:val="18"/>
                  </w:rPr>
                </w:pPr>
                <w:r>
                  <w:rPr>
                    <w:rFonts w:ascii="Times New Roman" w:hAnsi="Times New Roman" w:cs="Times New Roman"/>
                    <w:sz w:val="18"/>
                    <w:szCs w:val="18"/>
                  </w:rPr>
                  <w:t>3,729,044.78</w:t>
                </w:r>
              </w:p>
            </w:tc>
            <w:tc>
              <w:tcPr>
                <w:tcW w:w="709" w:type="pct"/>
                <w:vAlign w:val="center"/>
              </w:tcPr>
              <w:p>
                <w:pPr>
                  <w:jc w:val="right"/>
                  <w:rPr>
                    <w:rFonts w:ascii="Times New Roman" w:hAnsi="Times New Roman" w:cs="Times New Roman"/>
                    <w:sz w:val="18"/>
                    <w:szCs w:val="18"/>
                  </w:rPr>
                </w:pPr>
                <w:r>
                  <w:rPr>
                    <w:rFonts w:ascii="Times New Roman" w:hAnsi="Times New Roman" w:cs="Times New Roman"/>
                    <w:sz w:val="18"/>
                    <w:szCs w:val="18"/>
                  </w:rPr>
                  <w:t>68,825,199.55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0" w:type="pct"/>
              </w:tcPr>
              <w:p>
                <w:pPr>
                  <w:autoSpaceDE w:val="0"/>
                  <w:autoSpaceDN w:val="0"/>
                  <w:adjustRightInd w:val="0"/>
                  <w:rPr>
                    <w:rFonts w:ascii="Times New Roman" w:hAnsi="Times New Roman" w:cs="Times New Roman"/>
                    <w:szCs w:val="21"/>
                  </w:rPr>
                </w:pPr>
                <w:r>
                  <w:rPr>
                    <w:rFonts w:ascii="Times New Roman" w:cs="Times New Roman"/>
                    <w:szCs w:val="21"/>
                  </w:rPr>
                  <w:t>周转材料</w:t>
                </w:r>
              </w:p>
            </w:tc>
            <w:tc>
              <w:tcPr>
                <w:tcW w:w="772" w:type="pct"/>
                <w:vAlign w:val="center"/>
              </w:tcPr>
              <w:p>
                <w:pPr>
                  <w:jc w:val="right"/>
                  <w:rPr>
                    <w:rFonts w:ascii="Times New Roman" w:hAnsi="Times New Roman" w:cs="Times New Roman"/>
                    <w:sz w:val="18"/>
                    <w:szCs w:val="18"/>
                  </w:rPr>
                </w:pPr>
                <w:r>
                  <w:rPr>
                    <w:rFonts w:ascii="Times New Roman" w:hAnsi="Times New Roman" w:cs="Times New Roman"/>
                    <w:sz w:val="18"/>
                    <w:szCs w:val="18"/>
                  </w:rPr>
                  <w:t>23,348,699.12</w:t>
                </w:r>
              </w:p>
            </w:tc>
            <w:tc>
              <w:tcPr>
                <w:tcW w:w="695" w:type="pct"/>
                <w:vAlign w:val="center"/>
              </w:tcPr>
              <w:p>
                <w:pPr>
                  <w:jc w:val="right"/>
                  <w:rPr>
                    <w:rFonts w:ascii="Times New Roman" w:hAnsi="Times New Roman" w:cs="Times New Roman"/>
                    <w:sz w:val="18"/>
                    <w:szCs w:val="18"/>
                  </w:rPr>
                </w:pPr>
              </w:p>
            </w:tc>
            <w:tc>
              <w:tcPr>
                <w:tcW w:w="813" w:type="pct"/>
                <w:vAlign w:val="center"/>
              </w:tcPr>
              <w:p>
                <w:pPr>
                  <w:jc w:val="right"/>
                  <w:rPr>
                    <w:rFonts w:ascii="Times New Roman" w:hAnsi="Times New Roman" w:cs="Times New Roman"/>
                    <w:sz w:val="18"/>
                    <w:szCs w:val="18"/>
                  </w:rPr>
                </w:pPr>
                <w:r>
                  <w:rPr>
                    <w:rFonts w:ascii="Times New Roman" w:hAnsi="Times New Roman" w:cs="Times New Roman"/>
                    <w:sz w:val="18"/>
                    <w:szCs w:val="18"/>
                  </w:rPr>
                  <w:t>23,348,699.12</w:t>
                </w:r>
              </w:p>
            </w:tc>
            <w:tc>
              <w:tcPr>
                <w:tcW w:w="783" w:type="pct"/>
                <w:vAlign w:val="center"/>
              </w:tcPr>
              <w:p>
                <w:pPr>
                  <w:jc w:val="right"/>
                  <w:rPr>
                    <w:rFonts w:ascii="Times New Roman" w:hAnsi="Times New Roman" w:cs="Times New Roman"/>
                    <w:sz w:val="18"/>
                    <w:szCs w:val="18"/>
                  </w:rPr>
                </w:pPr>
                <w:r>
                  <w:rPr>
                    <w:rFonts w:ascii="Times New Roman" w:hAnsi="Times New Roman" w:cs="Times New Roman"/>
                    <w:sz w:val="18"/>
                    <w:szCs w:val="18"/>
                  </w:rPr>
                  <w:t>17,401,952.55</w:t>
                </w:r>
              </w:p>
            </w:tc>
            <w:tc>
              <w:tcPr>
                <w:tcW w:w="628" w:type="pct"/>
                <w:vAlign w:val="center"/>
              </w:tcPr>
              <w:p>
                <w:pPr>
                  <w:jc w:val="right"/>
                  <w:rPr>
                    <w:rFonts w:ascii="Times New Roman" w:hAnsi="Times New Roman" w:cs="Times New Roman"/>
                    <w:sz w:val="18"/>
                    <w:szCs w:val="18"/>
                  </w:rPr>
                </w:pPr>
              </w:p>
            </w:tc>
            <w:tc>
              <w:tcPr>
                <w:tcW w:w="709" w:type="pct"/>
                <w:vAlign w:val="center"/>
              </w:tcPr>
              <w:p>
                <w:pPr>
                  <w:jc w:val="right"/>
                  <w:rPr>
                    <w:rFonts w:ascii="Times New Roman" w:hAnsi="Times New Roman" w:cs="Times New Roman"/>
                    <w:sz w:val="18"/>
                    <w:szCs w:val="18"/>
                  </w:rPr>
                </w:pPr>
                <w:r>
                  <w:rPr>
                    <w:rFonts w:ascii="Times New Roman" w:hAnsi="Times New Roman" w:cs="Times New Roman"/>
                    <w:sz w:val="18"/>
                    <w:szCs w:val="18"/>
                  </w:rPr>
                  <w:t>17,401,952.55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0" w:type="pct"/>
              </w:tcPr>
              <w:p>
                <w:pPr>
                  <w:autoSpaceDE w:val="0"/>
                  <w:autoSpaceDN w:val="0"/>
                  <w:adjustRightInd w:val="0"/>
                  <w:rPr>
                    <w:rFonts w:ascii="Times New Roman" w:hAnsi="Times New Roman" w:cs="Times New Roman"/>
                    <w:szCs w:val="21"/>
                  </w:rPr>
                </w:pPr>
                <w:r>
                  <w:rPr>
                    <w:rFonts w:ascii="Times New Roman" w:cs="Times New Roman"/>
                    <w:szCs w:val="21"/>
                  </w:rPr>
                  <w:t>消耗性生物资产</w:t>
                </w:r>
              </w:p>
            </w:tc>
            <w:tc>
              <w:tcPr>
                <w:tcW w:w="772" w:type="pct"/>
                <w:vAlign w:val="center"/>
              </w:tcPr>
              <w:p>
                <w:pPr>
                  <w:jc w:val="right"/>
                  <w:rPr>
                    <w:rFonts w:ascii="Times New Roman" w:hAnsi="Times New Roman" w:cs="Times New Roman"/>
                    <w:sz w:val="18"/>
                    <w:szCs w:val="18"/>
                  </w:rPr>
                </w:pPr>
              </w:p>
            </w:tc>
            <w:tc>
              <w:tcPr>
                <w:tcW w:w="695" w:type="pct"/>
                <w:vAlign w:val="center"/>
              </w:tcPr>
              <w:p>
                <w:pPr>
                  <w:jc w:val="right"/>
                  <w:rPr>
                    <w:rFonts w:ascii="Times New Roman" w:hAnsi="Times New Roman" w:cs="Times New Roman"/>
                    <w:sz w:val="18"/>
                    <w:szCs w:val="18"/>
                  </w:rPr>
                </w:pPr>
              </w:p>
            </w:tc>
            <w:tc>
              <w:tcPr>
                <w:tcW w:w="813" w:type="pct"/>
                <w:vAlign w:val="center"/>
              </w:tcPr>
              <w:p>
                <w:pPr>
                  <w:jc w:val="right"/>
                  <w:rPr>
                    <w:rFonts w:ascii="Times New Roman" w:hAnsi="Times New Roman" w:cs="Times New Roman"/>
                    <w:sz w:val="18"/>
                    <w:szCs w:val="18"/>
                  </w:rPr>
                </w:pPr>
              </w:p>
            </w:tc>
            <w:tc>
              <w:tcPr>
                <w:tcW w:w="783" w:type="pct"/>
                <w:vAlign w:val="center"/>
              </w:tcPr>
              <w:p>
                <w:pPr>
                  <w:ind w:right="5"/>
                  <w:jc w:val="right"/>
                  <w:rPr>
                    <w:rFonts w:ascii="Times New Roman" w:hAnsi="Times New Roman" w:cs="Times New Roman"/>
                    <w:sz w:val="18"/>
                    <w:szCs w:val="18"/>
                  </w:rPr>
                </w:pPr>
              </w:p>
            </w:tc>
            <w:tc>
              <w:tcPr>
                <w:tcW w:w="628" w:type="pct"/>
                <w:vAlign w:val="center"/>
              </w:tcPr>
              <w:p>
                <w:pPr>
                  <w:ind w:right="5"/>
                  <w:jc w:val="right"/>
                  <w:rPr>
                    <w:rFonts w:ascii="Times New Roman" w:hAnsi="Times New Roman" w:cs="Times New Roman"/>
                    <w:sz w:val="18"/>
                    <w:szCs w:val="18"/>
                  </w:rPr>
                </w:pPr>
              </w:p>
            </w:tc>
            <w:tc>
              <w:tcPr>
                <w:tcW w:w="709" w:type="pct"/>
                <w:vAlign w:val="center"/>
              </w:tcPr>
              <w:p>
                <w:pPr>
                  <w:ind w:right="5"/>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0" w:type="pct"/>
              </w:tcPr>
              <w:p>
                <w:pPr>
                  <w:autoSpaceDE w:val="0"/>
                  <w:autoSpaceDN w:val="0"/>
                  <w:adjustRightInd w:val="0"/>
                  <w:rPr>
                    <w:rFonts w:ascii="Times New Roman" w:hAnsi="Times New Roman" w:cs="Times New Roman"/>
                  </w:rPr>
                </w:pPr>
                <w:r>
                  <w:rPr>
                    <w:rFonts w:ascii="Times New Roman" w:cs="Times New Roman"/>
                  </w:rPr>
                  <w:t>合同履约成本</w:t>
                </w:r>
              </w:p>
            </w:tc>
            <w:tc>
              <w:tcPr>
                <w:tcW w:w="772" w:type="pct"/>
                <w:vAlign w:val="center"/>
              </w:tcPr>
              <w:p>
                <w:pPr>
                  <w:ind w:right="5"/>
                  <w:jc w:val="right"/>
                  <w:rPr>
                    <w:rFonts w:ascii="Times New Roman" w:hAnsi="Times New Roman" w:cs="Times New Roman"/>
                    <w:sz w:val="18"/>
                    <w:szCs w:val="18"/>
                  </w:rPr>
                </w:pPr>
              </w:p>
            </w:tc>
            <w:tc>
              <w:tcPr>
                <w:tcW w:w="695" w:type="pct"/>
                <w:vAlign w:val="center"/>
              </w:tcPr>
              <w:p>
                <w:pPr>
                  <w:ind w:right="5"/>
                  <w:jc w:val="right"/>
                  <w:rPr>
                    <w:rFonts w:ascii="Times New Roman" w:hAnsi="Times New Roman" w:cs="Times New Roman"/>
                    <w:sz w:val="18"/>
                    <w:szCs w:val="18"/>
                  </w:rPr>
                </w:pPr>
              </w:p>
            </w:tc>
            <w:tc>
              <w:tcPr>
                <w:tcW w:w="813" w:type="pct"/>
                <w:vAlign w:val="center"/>
              </w:tcPr>
              <w:p>
                <w:pPr>
                  <w:ind w:right="5"/>
                  <w:jc w:val="right"/>
                  <w:rPr>
                    <w:rFonts w:ascii="Times New Roman" w:hAnsi="Times New Roman" w:cs="Times New Roman"/>
                    <w:sz w:val="18"/>
                    <w:szCs w:val="18"/>
                  </w:rPr>
                </w:pPr>
              </w:p>
            </w:tc>
            <w:tc>
              <w:tcPr>
                <w:tcW w:w="783" w:type="pct"/>
                <w:vAlign w:val="center"/>
              </w:tcPr>
              <w:p>
                <w:pPr>
                  <w:ind w:right="5"/>
                  <w:jc w:val="right"/>
                  <w:rPr>
                    <w:rFonts w:ascii="Times New Roman" w:hAnsi="Times New Roman" w:cs="Times New Roman"/>
                    <w:sz w:val="18"/>
                    <w:szCs w:val="18"/>
                  </w:rPr>
                </w:pPr>
              </w:p>
            </w:tc>
            <w:tc>
              <w:tcPr>
                <w:tcW w:w="628" w:type="pct"/>
                <w:vAlign w:val="center"/>
              </w:tcPr>
              <w:p>
                <w:pPr>
                  <w:ind w:right="5"/>
                  <w:jc w:val="right"/>
                  <w:rPr>
                    <w:rFonts w:ascii="Times New Roman" w:hAnsi="Times New Roman" w:cs="Times New Roman"/>
                    <w:sz w:val="18"/>
                    <w:szCs w:val="18"/>
                  </w:rPr>
                </w:pPr>
              </w:p>
            </w:tc>
            <w:tc>
              <w:tcPr>
                <w:tcW w:w="709" w:type="pct"/>
                <w:vAlign w:val="center"/>
              </w:tcPr>
              <w:p>
                <w:pPr>
                  <w:ind w:right="5"/>
                  <w:jc w:val="righ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0" w:type="pct"/>
              </w:tcPr>
              <w:p>
                <w:pPr>
                  <w:ind w:right="5"/>
                  <w:rPr>
                    <w:rFonts w:ascii="Times New Roman" w:hAnsi="Times New Roman" w:cs="Times New Roman"/>
                    <w:szCs w:val="21"/>
                  </w:rPr>
                </w:pPr>
                <w:r>
                  <w:rPr>
                    <w:rFonts w:ascii="Times New Roman" w:cs="Times New Roman"/>
                  </w:rPr>
                  <w:t>自制半成品</w:t>
                </w:r>
              </w:p>
            </w:tc>
            <w:tc>
              <w:tcPr>
                <w:tcW w:w="772"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25,128,584.65</w:t>
                </w:r>
              </w:p>
            </w:tc>
            <w:tc>
              <w:tcPr>
                <w:tcW w:w="695" w:type="pct"/>
                <w:vAlign w:val="center"/>
              </w:tcPr>
              <w:p>
                <w:pPr>
                  <w:ind w:right="5"/>
                  <w:jc w:val="right"/>
                  <w:rPr>
                    <w:rFonts w:ascii="Times New Roman" w:hAnsi="Times New Roman" w:cs="Times New Roman"/>
                    <w:sz w:val="18"/>
                    <w:szCs w:val="18"/>
                  </w:rPr>
                </w:pPr>
                <w:r>
                  <w:rPr>
                    <w:rFonts w:ascii="Times New Roman" w:cs="Times New Roman"/>
                    <w:sz w:val="18"/>
                    <w:szCs w:val="18"/>
                  </w:rPr>
                  <w:t>　</w:t>
                </w:r>
              </w:p>
            </w:tc>
            <w:tc>
              <w:tcPr>
                <w:tcW w:w="813"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25,128,584.65</w:t>
                </w:r>
              </w:p>
            </w:tc>
            <w:tc>
              <w:tcPr>
                <w:tcW w:w="783"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14,013,653.58</w:t>
                </w:r>
              </w:p>
            </w:tc>
            <w:tc>
              <w:tcPr>
                <w:tcW w:w="628"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 </w:t>
                </w:r>
              </w:p>
            </w:tc>
            <w:tc>
              <w:tcPr>
                <w:tcW w:w="709"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14,013,653.58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0" w:type="pct"/>
              </w:tcPr>
              <w:p>
                <w:pPr>
                  <w:ind w:right="5"/>
                  <w:rPr>
                    <w:rFonts w:ascii="Times New Roman" w:hAnsi="Times New Roman" w:cs="Times New Roman"/>
                    <w:szCs w:val="21"/>
                  </w:rPr>
                </w:pPr>
                <w:r>
                  <w:rPr>
                    <w:rFonts w:ascii="Times New Roman" w:cs="Times New Roman"/>
                  </w:rPr>
                  <w:t>委托加工物资</w:t>
                </w:r>
              </w:p>
            </w:tc>
            <w:tc>
              <w:tcPr>
                <w:tcW w:w="772"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1,399,691.64</w:t>
                </w:r>
              </w:p>
            </w:tc>
            <w:tc>
              <w:tcPr>
                <w:tcW w:w="695"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440,808.63</w:t>
                </w:r>
              </w:p>
            </w:tc>
            <w:tc>
              <w:tcPr>
                <w:tcW w:w="813"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958,883.01</w:t>
                </w:r>
              </w:p>
            </w:tc>
            <w:tc>
              <w:tcPr>
                <w:tcW w:w="783"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1,446,414.68</w:t>
                </w:r>
              </w:p>
            </w:tc>
            <w:tc>
              <w:tcPr>
                <w:tcW w:w="628"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289,601.71</w:t>
                </w:r>
              </w:p>
            </w:tc>
            <w:tc>
              <w:tcPr>
                <w:tcW w:w="709" w:type="pct"/>
                <w:vAlign w:val="center"/>
              </w:tcPr>
              <w:p>
                <w:pPr>
                  <w:ind w:right="5"/>
                  <w:jc w:val="right"/>
                  <w:rPr>
                    <w:rFonts w:ascii="Times New Roman" w:hAnsi="Times New Roman" w:cs="Times New Roman"/>
                    <w:sz w:val="18"/>
                    <w:szCs w:val="18"/>
                  </w:rPr>
                </w:pPr>
                <w:r>
                  <w:rPr>
                    <w:rFonts w:ascii="Times New Roman" w:hAnsi="Times New Roman" w:cs="Times New Roman"/>
                    <w:sz w:val="18"/>
                    <w:szCs w:val="18"/>
                  </w:rPr>
                  <w:t>1,156,812.97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0" w:type="pct"/>
              </w:tcPr>
              <w:p>
                <w:pPr>
                  <w:ind w:right="5"/>
                  <w:jc w:val="center"/>
                  <w:rPr>
                    <w:rFonts w:ascii="Times New Roman" w:hAnsi="Times New Roman" w:cs="Times New Roman"/>
                    <w:szCs w:val="21"/>
                  </w:rPr>
                </w:pPr>
                <w:r>
                  <w:rPr>
                    <w:rFonts w:ascii="Times New Roman" w:cs="Times New Roman"/>
                    <w:szCs w:val="21"/>
                  </w:rPr>
                  <w:t>合计</w:t>
                </w:r>
              </w:p>
            </w:tc>
            <w:tc>
              <w:tcPr>
                <w:tcW w:w="772" w:type="pct"/>
                <w:vAlign w:val="center"/>
              </w:tcPr>
              <w:p>
                <w:pPr>
                  <w:jc w:val="right"/>
                  <w:rPr>
                    <w:rFonts w:ascii="Times New Roman" w:hAnsi="Times New Roman" w:cs="Times New Roman"/>
                    <w:sz w:val="18"/>
                    <w:szCs w:val="18"/>
                  </w:rPr>
                </w:pPr>
                <w:r>
                  <w:rPr>
                    <w:rFonts w:ascii="Times New Roman" w:hAnsi="Times New Roman" w:cs="Times New Roman"/>
                    <w:sz w:val="18"/>
                    <w:szCs w:val="18"/>
                  </w:rPr>
                  <w:t>194,428,919.96</w:t>
                </w:r>
              </w:p>
            </w:tc>
            <w:tc>
              <w:tcPr>
                <w:tcW w:w="695" w:type="pct"/>
                <w:vAlign w:val="center"/>
              </w:tcPr>
              <w:p>
                <w:pPr>
                  <w:jc w:val="right"/>
                  <w:rPr>
                    <w:rFonts w:ascii="Times New Roman" w:hAnsi="Times New Roman" w:cs="Times New Roman"/>
                    <w:sz w:val="18"/>
                    <w:szCs w:val="18"/>
                  </w:rPr>
                </w:pPr>
                <w:r>
                  <w:rPr>
                    <w:rFonts w:ascii="Times New Roman" w:hAnsi="Times New Roman" w:cs="Times New Roman"/>
                    <w:sz w:val="18"/>
                    <w:szCs w:val="18"/>
                  </w:rPr>
                  <w:t>8,203,011.71</w:t>
                </w:r>
              </w:p>
            </w:tc>
            <w:tc>
              <w:tcPr>
                <w:tcW w:w="813" w:type="pct"/>
                <w:vAlign w:val="center"/>
              </w:tcPr>
              <w:p>
                <w:pPr>
                  <w:jc w:val="right"/>
                  <w:rPr>
                    <w:rFonts w:ascii="Times New Roman" w:hAnsi="Times New Roman" w:cs="Times New Roman"/>
                    <w:sz w:val="18"/>
                    <w:szCs w:val="18"/>
                  </w:rPr>
                </w:pPr>
                <w:r>
                  <w:rPr>
                    <w:rFonts w:ascii="Times New Roman" w:hAnsi="Times New Roman" w:cs="Times New Roman"/>
                    <w:sz w:val="18"/>
                    <w:szCs w:val="18"/>
                  </w:rPr>
                  <w:t>186,225,908.25</w:t>
                </w:r>
              </w:p>
            </w:tc>
            <w:tc>
              <w:tcPr>
                <w:tcW w:w="783" w:type="pct"/>
                <w:vAlign w:val="center"/>
              </w:tcPr>
              <w:p>
                <w:pPr>
                  <w:jc w:val="right"/>
                  <w:rPr>
                    <w:rFonts w:ascii="Times New Roman" w:hAnsi="Times New Roman" w:cs="Times New Roman"/>
                    <w:sz w:val="18"/>
                    <w:szCs w:val="18"/>
                  </w:rPr>
                </w:pPr>
                <w:r>
                  <w:rPr>
                    <w:rFonts w:ascii="Times New Roman" w:hAnsi="Times New Roman" w:cs="Times New Roman"/>
                    <w:sz w:val="18"/>
                    <w:szCs w:val="18"/>
                  </w:rPr>
                  <w:t>156,124,696.20</w:t>
                </w:r>
              </w:p>
            </w:tc>
            <w:tc>
              <w:tcPr>
                <w:tcW w:w="628" w:type="pct"/>
                <w:vAlign w:val="center"/>
              </w:tcPr>
              <w:p>
                <w:pPr>
                  <w:jc w:val="right"/>
                  <w:rPr>
                    <w:rFonts w:ascii="Times New Roman" w:hAnsi="Times New Roman" w:cs="Times New Roman"/>
                    <w:sz w:val="18"/>
                    <w:szCs w:val="18"/>
                  </w:rPr>
                </w:pPr>
                <w:r>
                  <w:rPr>
                    <w:rFonts w:ascii="Times New Roman" w:hAnsi="Times New Roman" w:cs="Times New Roman"/>
                    <w:sz w:val="18"/>
                    <w:szCs w:val="18"/>
                  </w:rPr>
                  <w:t>7,692,084.92</w:t>
                </w:r>
              </w:p>
            </w:tc>
            <w:tc>
              <w:tcPr>
                <w:tcW w:w="709" w:type="pct"/>
                <w:vAlign w:val="center"/>
              </w:tcPr>
              <w:p>
                <w:pPr>
                  <w:jc w:val="right"/>
                  <w:rPr>
                    <w:rFonts w:ascii="Times New Roman" w:hAnsi="Times New Roman" w:cs="Times New Roman"/>
                    <w:sz w:val="18"/>
                    <w:szCs w:val="18"/>
                  </w:rPr>
                </w:pPr>
                <w:r>
                  <w:rPr>
                    <w:rFonts w:ascii="Times New Roman" w:hAnsi="Times New Roman" w:cs="Times New Roman"/>
                    <w:sz w:val="18"/>
                    <w:szCs w:val="18"/>
                  </w:rPr>
                  <w:t>148,432,611.28</w:t>
                </w:r>
              </w:p>
            </w:tc>
          </w:tr>
        </w:tbl>
        <w:p/>
        <w:p>
          <w:pPr>
            <w:rPr>
              <w:szCs w:val="21"/>
            </w:rPr>
          </w:pPr>
        </w:p>
      </w:sdtContent>
    </w:sdt>
    <w:bookmarkEnd w:id="158"/>
    <w:bookmarkEnd w:id="159"/>
    <w:p>
      <w:pPr>
        <w:snapToGrid w:val="0"/>
        <w:spacing w:line="240" w:lineRule="atLeast"/>
        <w:rPr>
          <w:color w:val="FF6600"/>
          <w:szCs w:val="21"/>
        </w:rPr>
      </w:pPr>
    </w:p>
    <w:sdt>
      <w:sdtPr>
        <w:rPr>
          <w:rFonts w:hint="eastAsia" w:ascii="宋体" w:hAnsi="宋体" w:eastAsia="宋体" w:cs="宋体"/>
          <w:b w:val="0"/>
          <w:bCs w:val="0"/>
          <w:kern w:val="0"/>
          <w:szCs w:val="24"/>
        </w:rPr>
        <w:alias w:val="模块:存货跌价准备"/>
        <w:tag w:val="_SEC_f5d204839da647b4984ba81ca9593f3b"/>
        <w:id w:val="865724811"/>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sdt>
          <w:sdtPr>
            <w:rPr>
              <w:b w:val="0"/>
              <w:bCs w:val="0"/>
            </w:rPr>
            <w:tag w:val="_PLD_b03e65bc536a43eab5570263a106c71d"/>
            <w:id w:val="865724798"/>
            <w:lock w:val="sdtLocked"/>
            <w:placeholder>
              <w:docPart w:val="GBC22222222222222222222222222222"/>
            </w:placeholder>
          </w:sdtPr>
          <w:sdtEndPr>
            <w:rPr>
              <w:b w:val="0"/>
              <w:bCs w:val="0"/>
            </w:rPr>
          </w:sdtEndPr>
          <w:sdtContent>
            <w:p>
              <w:pPr>
                <w:pStyle w:val="5"/>
                <w:numPr>
                  <w:ilvl w:val="3"/>
                  <w:numId w:val="84"/>
                </w:numPr>
                <w:ind w:left="426" w:hanging="426"/>
                <w:rPr>
                  <w:b w:val="0"/>
                  <w:bCs w:val="0"/>
                </w:rPr>
              </w:pPr>
              <w:bookmarkStart w:id="160" w:name="_Hlk533079150"/>
              <w:r>
                <w:t>存货跌价准备及合同履约成本减值准备</w:t>
              </w:r>
            </w:p>
          </w:sdtContent>
        </w:sdt>
        <w:sdt>
          <w:sdtPr>
            <w:alias w:val="是否适用：存货跌价准备[双击切换]"/>
            <w:tag w:val="_GBC_c61866b530ae491eb21bee1edd36619e"/>
            <w:id w:val="86572479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存货跌价准备"/>
              <w:tag w:val="_GBC_2d3e3a5e2ff44ef3bbef756054f246f3"/>
              <w:id w:val="865724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865724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361"/>
            <w:gridCol w:w="1497"/>
            <w:gridCol w:w="889"/>
            <w:gridCol w:w="1415"/>
            <w:gridCol w:w="71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sdt>
              <w:sdtPr>
                <w:rPr>
                  <w:rFonts w:ascii="Times New Roman" w:hAnsi="Times New Roman" w:cs="Times New Roman"/>
                </w:rPr>
                <w:tag w:val="_PLD_4ac7cc4fa4994c1db43ed3b367defc13"/>
                <w:id w:val="865724802"/>
                <w:lock w:val="sdtLocked"/>
              </w:sdtPr>
              <w:sdtEndPr>
                <w:rPr>
                  <w:rFonts w:ascii="Times New Roman" w:hAnsi="Times New Roman" w:cs="Times New Roman"/>
                </w:rPr>
              </w:sdtEndPr>
              <w:sdtContent>
                <w:tc>
                  <w:tcPr>
                    <w:tcW w:w="88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7a2e758257864908b13bf89a561f9b5a"/>
                <w:id w:val="865724803"/>
                <w:lock w:val="sdtLocked"/>
              </w:sdtPr>
              <w:sdtEndPr>
                <w:rPr>
                  <w:rFonts w:ascii="Times New Roman" w:hAnsi="Times New Roman" w:cs="Times New Roman"/>
                </w:rPr>
              </w:sdtEndPr>
              <w:sdtContent>
                <w:tc>
                  <w:tcPr>
                    <w:tcW w:w="753"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期初余额</w:t>
                    </w:r>
                  </w:p>
                </w:tc>
              </w:sdtContent>
            </w:sdt>
            <w:sdt>
              <w:sdtPr>
                <w:rPr>
                  <w:rFonts w:ascii="Times New Roman" w:hAnsi="Times New Roman" w:cs="Times New Roman"/>
                </w:rPr>
                <w:tag w:val="_PLD_d95d27d30a6440b5ba0d3798473f422e"/>
                <w:id w:val="865724804"/>
                <w:lock w:val="sdtLocked"/>
              </w:sdtPr>
              <w:sdtEndPr>
                <w:rPr>
                  <w:rFonts w:ascii="Times New Roman" w:hAnsi="Times New Roman" w:cs="Times New Roman"/>
                </w:rPr>
              </w:sdtEndPr>
              <w:sdtContent>
                <w:tc>
                  <w:tcPr>
                    <w:tcW w:w="1320" w:type="pct"/>
                    <w:gridSpan w:val="2"/>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本期增加金额</w:t>
                    </w:r>
                  </w:p>
                </w:tc>
              </w:sdtContent>
            </w:sdt>
            <w:sdt>
              <w:sdtPr>
                <w:rPr>
                  <w:rFonts w:ascii="Times New Roman" w:hAnsi="Times New Roman" w:cs="Times New Roman"/>
                </w:rPr>
                <w:tag w:val="_PLD_cb7d37811bf944e4a7bb31b4366efaeb"/>
                <w:id w:val="865724805"/>
                <w:lock w:val="sdtLocked"/>
              </w:sdtPr>
              <w:sdtEndPr>
                <w:rPr>
                  <w:rFonts w:ascii="Times New Roman" w:hAnsi="Times New Roman" w:cs="Times New Roman"/>
                </w:rPr>
              </w:sdtEndPr>
              <w:sdtContent>
                <w:tc>
                  <w:tcPr>
                    <w:tcW w:w="1177" w:type="pct"/>
                    <w:gridSpan w:val="2"/>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本期减少金额</w:t>
                    </w:r>
                  </w:p>
                </w:tc>
              </w:sdtContent>
            </w:sdt>
            <w:sdt>
              <w:sdtPr>
                <w:rPr>
                  <w:rFonts w:ascii="Times New Roman" w:hAnsi="Times New Roman" w:cs="Times New Roman"/>
                </w:rPr>
                <w:tag w:val="_PLD_b2523ee7f028451790c9f2ef6e216a59"/>
                <w:id w:val="865724806"/>
                <w:lock w:val="sdtLocked"/>
              </w:sdtPr>
              <w:sdtEndPr>
                <w:rPr>
                  <w:rFonts w:ascii="Times New Roman" w:hAnsi="Times New Roman" w:cs="Times New Roman"/>
                </w:rPr>
              </w:sdtEndPr>
              <w:sdtContent>
                <w:tc>
                  <w:tcPr>
                    <w:tcW w:w="863"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87" w:type="pct"/>
                <w:vMerge w:val="continue"/>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p>
            </w:tc>
            <w:tc>
              <w:tcPr>
                <w:tcW w:w="753" w:type="pct"/>
                <w:vMerge w:val="continue"/>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p>
            </w:tc>
            <w:sdt>
              <w:sdtPr>
                <w:rPr>
                  <w:rFonts w:ascii="Times New Roman" w:hAnsi="Times New Roman" w:cs="Times New Roman"/>
                </w:rPr>
                <w:tag w:val="_PLD_16a8dea59b924b23a28ea45988190955"/>
                <w:id w:val="865724807"/>
                <w:lock w:val="sdtLocked"/>
              </w:sdtPr>
              <w:sdtEndPr>
                <w:rPr>
                  <w:rFonts w:ascii="Times New Roman" w:hAnsi="Times New Roman" w:cs="Times New Roman"/>
                </w:rPr>
              </w:sdtEndPr>
              <w:sdtContent>
                <w:tc>
                  <w:tcPr>
                    <w:tcW w:w="828" w:type="pct"/>
                    <w:tcBorders>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计提</w:t>
                    </w:r>
                  </w:p>
                </w:tc>
              </w:sdtContent>
            </w:sdt>
            <w:sdt>
              <w:sdtPr>
                <w:rPr>
                  <w:rFonts w:ascii="Times New Roman" w:hAnsi="Times New Roman" w:cs="Times New Roman"/>
                </w:rPr>
                <w:tag w:val="_PLD_621a418b64e54315a5981611a5504791"/>
                <w:id w:val="865724808"/>
                <w:lock w:val="sdtLocked"/>
              </w:sdtPr>
              <w:sdtEndPr>
                <w:rPr>
                  <w:rFonts w:ascii="Times New Roman" w:hAnsi="Times New Roman" w:cs="Times New Roman"/>
                </w:rPr>
              </w:sdtEndPr>
              <w:sdtContent>
                <w:tc>
                  <w:tcPr>
                    <w:tcW w:w="492" w:type="pct"/>
                    <w:tcBorders>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其他</w:t>
                    </w:r>
                  </w:p>
                </w:tc>
              </w:sdtContent>
            </w:sdt>
            <w:sdt>
              <w:sdtPr>
                <w:rPr>
                  <w:rFonts w:ascii="Times New Roman" w:hAnsi="Times New Roman" w:cs="Times New Roman"/>
                </w:rPr>
                <w:tag w:val="_PLD_1928b16982a747c59a563fa4d086d9fc"/>
                <w:id w:val="865724809"/>
                <w:lock w:val="sdtLocked"/>
              </w:sdtPr>
              <w:sdtEndPr>
                <w:rPr>
                  <w:rFonts w:ascii="Times New Roman" w:hAnsi="Times New Roman" w:cs="Times New Roman"/>
                </w:rPr>
              </w:sdtEndPr>
              <w:sdtContent>
                <w:tc>
                  <w:tcPr>
                    <w:tcW w:w="78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转回或转销</w:t>
                    </w:r>
                  </w:p>
                </w:tc>
              </w:sdtContent>
            </w:sdt>
            <w:sdt>
              <w:sdtPr>
                <w:rPr>
                  <w:rFonts w:ascii="Times New Roman" w:hAnsi="Times New Roman" w:cs="Times New Roman"/>
                </w:rPr>
                <w:tag w:val="_PLD_1472e7afb261461b8468e1969b080fd5"/>
                <w:id w:val="865724810"/>
                <w:lock w:val="sdtLocked"/>
              </w:sdtPr>
              <w:sdtEndPr>
                <w:rPr>
                  <w:rFonts w:ascii="Times New Roman" w:hAnsi="Times New Roman" w:cs="Times New Roman"/>
                </w:rPr>
              </w:sdtEndPr>
              <w:sdtContent>
                <w:tc>
                  <w:tcPr>
                    <w:tcW w:w="3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其他</w:t>
                    </w:r>
                  </w:p>
                </w:tc>
              </w:sdtContent>
            </w:sdt>
            <w:tc>
              <w:tcPr>
                <w:tcW w:w="86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887"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原材料</w:t>
                </w:r>
              </w:p>
            </w:tc>
            <w:tc>
              <w:tcPr>
                <w:tcW w:w="75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3,673,438.43</w:t>
                </w:r>
              </w:p>
            </w:tc>
            <w:tc>
              <w:tcPr>
                <w:tcW w:w="82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596,850.12</w:t>
                </w:r>
              </w:p>
            </w:tc>
            <w:tc>
              <w:tcPr>
                <w:tcW w:w="49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78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320,314.51</w:t>
                </w:r>
              </w:p>
            </w:tc>
            <w:tc>
              <w:tcPr>
                <w:tcW w:w="39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86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3,949,974.04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在产品</w:t>
                </w:r>
              </w:p>
            </w:tc>
            <w:tc>
              <w:tcPr>
                <w:tcW w:w="75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82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49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78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394" w:type="pct"/>
                <w:tcBorders>
                  <w:top w:val="single" w:color="auto" w:sz="4" w:space="0"/>
                  <w:left w:val="single" w:color="auto" w:sz="4" w:space="0"/>
                  <w:right w:val="single" w:color="auto" w:sz="4" w:space="0"/>
                </w:tcBorders>
                <w:vAlign w:val="center"/>
              </w:tcPr>
              <w:p>
                <w:pPr>
                  <w:rPr>
                    <w:rFonts w:ascii="Times New Roman" w:hAnsi="Times New Roman" w:cs="Times New Roman"/>
                    <w:sz w:val="24"/>
                  </w:rPr>
                </w:pPr>
              </w:p>
            </w:tc>
            <w:tc>
              <w:tcPr>
                <w:tcW w:w="86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库存商品</w:t>
                </w:r>
              </w:p>
            </w:tc>
            <w:tc>
              <w:tcPr>
                <w:tcW w:w="75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3,729,044.78</w:t>
                </w:r>
              </w:p>
            </w:tc>
            <w:tc>
              <w:tcPr>
                <w:tcW w:w="82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804,092.27</w:t>
                </w:r>
              </w:p>
            </w:tc>
            <w:tc>
              <w:tcPr>
                <w:tcW w:w="49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78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720,908.01</w:t>
                </w:r>
              </w:p>
            </w:tc>
            <w:tc>
              <w:tcPr>
                <w:tcW w:w="394" w:type="pct"/>
                <w:tcBorders>
                  <w:left w:val="single" w:color="auto" w:sz="4" w:space="0"/>
                  <w:right w:val="single" w:color="auto" w:sz="4" w:space="0"/>
                </w:tcBorders>
                <w:vAlign w:val="center"/>
              </w:tcPr>
              <w:p>
                <w:pPr>
                  <w:rPr>
                    <w:rFonts w:ascii="Times New Roman" w:hAnsi="Times New Roman" w:cs="Times New Roman"/>
                    <w:sz w:val="24"/>
                  </w:rPr>
                </w:pPr>
              </w:p>
            </w:tc>
            <w:tc>
              <w:tcPr>
                <w:tcW w:w="86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sz w:val="24"/>
                  </w:rPr>
                  <w:t>3,812,229.04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周转材料</w:t>
                </w:r>
              </w:p>
            </w:tc>
            <w:tc>
              <w:tcPr>
                <w:tcW w:w="75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82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49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78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394" w:type="pct"/>
                <w:tcBorders>
                  <w:left w:val="single" w:color="auto" w:sz="4" w:space="0"/>
                  <w:right w:val="single" w:color="auto" w:sz="4" w:space="0"/>
                </w:tcBorders>
                <w:vAlign w:val="center"/>
              </w:tcPr>
              <w:p>
                <w:pPr>
                  <w:rPr>
                    <w:rFonts w:ascii="Times New Roman" w:hAnsi="Times New Roman" w:cs="Times New Roman"/>
                    <w:sz w:val="24"/>
                  </w:rPr>
                </w:pPr>
              </w:p>
            </w:tc>
            <w:tc>
              <w:tcPr>
                <w:tcW w:w="86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消耗性生物资产</w:t>
                </w:r>
              </w:p>
            </w:tc>
            <w:tc>
              <w:tcPr>
                <w:tcW w:w="75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82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49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78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394" w:type="pct"/>
                <w:tcBorders>
                  <w:left w:val="single" w:color="auto" w:sz="4" w:space="0"/>
                  <w:right w:val="single" w:color="auto" w:sz="4" w:space="0"/>
                </w:tcBorders>
                <w:vAlign w:val="center"/>
              </w:tcPr>
              <w:p>
                <w:pPr>
                  <w:rPr>
                    <w:rFonts w:ascii="Times New Roman" w:hAnsi="Times New Roman" w:cs="Times New Roman"/>
                    <w:sz w:val="24"/>
                  </w:rPr>
                </w:pPr>
              </w:p>
            </w:tc>
            <w:tc>
              <w:tcPr>
                <w:tcW w:w="86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887"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cs="Times New Roman"/>
                  </w:rPr>
                  <w:t>合同履约成本</w:t>
                </w:r>
              </w:p>
            </w:tc>
            <w:tc>
              <w:tcPr>
                <w:tcW w:w="753" w:type="pct"/>
                <w:tcBorders>
                  <w:top w:val="single" w:color="auto" w:sz="4" w:space="0"/>
                  <w:left w:val="single" w:color="auto" w:sz="4" w:space="0"/>
                  <w:bottom w:val="single" w:color="auto" w:sz="4" w:space="0"/>
                  <w:right w:val="single" w:color="auto" w:sz="4" w:space="0"/>
                </w:tcBorders>
              </w:tcPr>
              <w:p>
                <w:pPr>
                  <w:ind w:right="5"/>
                  <w:jc w:val="right"/>
                  <w:rPr>
                    <w:rFonts w:ascii="Times New Roman" w:hAnsi="Times New Roman" w:cs="Times New Roman"/>
                    <w:szCs w:val="21"/>
                  </w:rPr>
                </w:pPr>
              </w:p>
            </w:tc>
            <w:tc>
              <w:tcPr>
                <w:tcW w:w="828"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492"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78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394" w:type="pct"/>
                <w:tcBorders>
                  <w:left w:val="single" w:color="auto" w:sz="4" w:space="0"/>
                  <w:right w:val="single" w:color="auto" w:sz="4" w:space="0"/>
                </w:tcBorders>
              </w:tcPr>
              <w:p>
                <w:pPr>
                  <w:jc w:val="right"/>
                  <w:rPr>
                    <w:rFonts w:ascii="Times New Roman" w:hAnsi="Times New Roman" w:cs="Times New Roman"/>
                    <w:szCs w:val="21"/>
                  </w:rPr>
                </w:pPr>
              </w:p>
            </w:tc>
            <w:tc>
              <w:tcPr>
                <w:tcW w:w="86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887"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委托加工物资</w:t>
                </w:r>
              </w:p>
            </w:tc>
            <w:tc>
              <w:tcPr>
                <w:tcW w:w="75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289,601.71</w:t>
                </w:r>
              </w:p>
            </w:tc>
            <w:tc>
              <w:tcPr>
                <w:tcW w:w="82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151,206.92</w:t>
                </w:r>
              </w:p>
            </w:tc>
            <w:tc>
              <w:tcPr>
                <w:tcW w:w="49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78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394" w:type="pct"/>
                <w:tcBorders>
                  <w:left w:val="single" w:color="auto" w:sz="4" w:space="0"/>
                  <w:right w:val="single" w:color="auto" w:sz="4" w:space="0"/>
                </w:tcBorders>
                <w:vAlign w:val="center"/>
              </w:tcPr>
              <w:p>
                <w:pPr>
                  <w:rPr>
                    <w:rFonts w:ascii="Times New Roman" w:hAnsi="Times New Roman" w:cs="Times New Roman"/>
                    <w:sz w:val="24"/>
                  </w:rPr>
                </w:pPr>
              </w:p>
            </w:tc>
            <w:tc>
              <w:tcPr>
                <w:tcW w:w="863" w:type="pct"/>
                <w:tcBorders>
                  <w:top w:val="single" w:color="auto" w:sz="4" w:space="0"/>
                  <w:left w:val="single" w:color="auto" w:sz="4" w:space="0"/>
                  <w:bottom w:val="single" w:color="auto" w:sz="4" w:space="0"/>
                  <w:right w:val="single" w:color="auto" w:sz="4" w:space="0"/>
                </w:tcBorders>
              </w:tcPr>
              <w:p>
                <w:pPr>
                  <w:ind w:right="5"/>
                  <w:jc w:val="right"/>
                  <w:rPr>
                    <w:rFonts w:ascii="Times New Roman" w:hAnsi="Times New Roman" w:cs="Times New Roman"/>
                    <w:szCs w:val="21"/>
                  </w:rPr>
                </w:pPr>
                <w:r>
                  <w:rPr>
                    <w:rFonts w:ascii="Times New Roman" w:hAnsi="Times New Roman" w:cs="Times New Roman"/>
                    <w:szCs w:val="21"/>
                  </w:rPr>
                  <w:t>440,808.63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ascii="Times New Roman" w:cs="Times New Roman"/>
                    <w:szCs w:val="21"/>
                  </w:rPr>
                  <w:t>合计</w:t>
                </w:r>
              </w:p>
            </w:tc>
            <w:tc>
              <w:tcPr>
                <w:tcW w:w="75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7,692,084.92</w:t>
                </w:r>
              </w:p>
            </w:tc>
            <w:tc>
              <w:tcPr>
                <w:tcW w:w="82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1,552,149.31</w:t>
                </w:r>
              </w:p>
            </w:tc>
            <w:tc>
              <w:tcPr>
                <w:tcW w:w="49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78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1,041,222.52</w:t>
                </w:r>
              </w:p>
            </w:tc>
            <w:tc>
              <w:tcPr>
                <w:tcW w:w="394" w:type="pct"/>
                <w:tcBorders>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863" w:type="pct"/>
                <w:tcBorders>
                  <w:top w:val="single" w:color="auto" w:sz="4" w:space="0"/>
                  <w:left w:val="single" w:color="auto" w:sz="4" w:space="0"/>
                  <w:bottom w:val="single" w:color="auto" w:sz="4" w:space="0"/>
                  <w:right w:val="single" w:color="auto" w:sz="4" w:space="0"/>
                </w:tcBorders>
              </w:tcPr>
              <w:p>
                <w:pPr>
                  <w:ind w:right="5"/>
                  <w:jc w:val="right"/>
                  <w:rPr>
                    <w:rFonts w:ascii="Times New Roman" w:hAnsi="Times New Roman" w:cs="Times New Roman"/>
                    <w:szCs w:val="21"/>
                  </w:rPr>
                </w:pPr>
                <w:r>
                  <w:rPr>
                    <w:rFonts w:ascii="Times New Roman" w:hAnsi="Times New Roman" w:cs="Times New Roman"/>
                    <w:szCs w:val="21"/>
                  </w:rPr>
                  <w:t>8,203,011.71</w:t>
                </w:r>
              </w:p>
            </w:tc>
          </w:tr>
        </w:tbl>
        <w:p/>
      </w:sdtContent>
    </w:sdt>
    <w:bookmarkEnd w:id="160"/>
    <w:sdt>
      <w:sdtPr>
        <w:rPr>
          <w:rFonts w:hint="eastAsia" w:ascii="宋体" w:hAnsi="宋体" w:eastAsia="宋体" w:cs="宋体"/>
          <w:b w:val="0"/>
          <w:bCs w:val="0"/>
          <w:kern w:val="0"/>
          <w:szCs w:val="24"/>
        </w:rPr>
        <w:alias w:val="模块:存货期末余额含有借款费用资本化金额的说明"/>
        <w:tag w:val="_SEC_d2aec934b2134662ac27a795f9f8441b"/>
        <w:id w:val="865724813"/>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3"/>
              <w:numId w:val="84"/>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865724812"/>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eastAsia="宋体" w:cs="宋体"/>
          <w:b w:val="0"/>
          <w:bCs w:val="0"/>
          <w:kern w:val="0"/>
          <w:szCs w:val="24"/>
        </w:rPr>
        <w:alias w:val="模块:合同履约成本本期摊销金额的说明"/>
        <w:tag w:val="_SEC_4d5b81a46b124a7fbda36ca1f8fc6761"/>
        <w:id w:val="865724815"/>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3"/>
              <w:numId w:val="84"/>
            </w:numPr>
            <w:ind w:left="426" w:hanging="426"/>
          </w:pPr>
          <w:r>
            <w:rPr>
              <w:rFonts w:hint="eastAsia"/>
            </w:rPr>
            <w:t>合同履约成本本期摊销金额的说明</w:t>
          </w:r>
        </w:p>
        <w:sdt>
          <w:sdtPr>
            <w:alias w:val="是否适用：合同履约成本本期摊销金额的说明[双击切换]"/>
            <w:tag w:val="_GBC_7532d5a15e3d45fa8d69ad2921659b13"/>
            <w:id w:val="86572481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rPr>
        <w:alias w:val="模块:存货其他说明"/>
        <w:tag w:val="_SEC_68a62211b3d64c9c8661fa3d3a6d8409"/>
        <w:id w:val="865724817"/>
        <w:lock w:val="sdtLocked"/>
        <w:placeholder>
          <w:docPart w:val="GBC22222222222222222222222222222"/>
        </w:placeholder>
      </w:sdtPr>
      <w:sdtEndPr>
        <w:rPr>
          <w:rFonts w:hint="eastAsia" w:ascii="Times New Roman" w:hAnsi="Times New Roman"/>
        </w:rPr>
      </w:sdtEndPr>
      <w:sdtContent>
        <w:p>
          <w:r>
            <w:rPr>
              <w:rFonts w:hint="eastAsia"/>
            </w:rPr>
            <w:t>其他说明</w:t>
          </w:r>
        </w:p>
        <w:sdt>
          <w:sdtPr>
            <w:rPr>
              <w:rFonts w:hint="eastAsia"/>
            </w:rPr>
            <w:alias w:val="是否适用：建造合同形成的已完工未结算资产的其他说明[双击切换]"/>
            <w:tag w:val="_GBC_441099179b66496e99c8de04f24782ad"/>
            <w:id w:val="865724816"/>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Times New Roman" w:hAnsi="Times New Roman"/>
            </w:rPr>
          </w:pPr>
        </w:p>
      </w:sdtContent>
    </w:sdt>
    <w:sdt>
      <w:sdtPr>
        <w:rPr>
          <w:rFonts w:hint="eastAsia" w:ascii="宋体" w:hAnsi="宋体" w:cs="宋体"/>
          <w:b w:val="0"/>
          <w:bCs w:val="0"/>
          <w:kern w:val="0"/>
          <w:szCs w:val="24"/>
        </w:rPr>
        <w:alias w:val="模块:合同资产情况"/>
        <w:tag w:val="_SEC_815287361ca746f4be20e0fedf7c209d"/>
        <w:id w:val="865724819"/>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79"/>
            </w:numPr>
            <w:tabs>
              <w:tab w:val="left" w:pos="504"/>
            </w:tabs>
          </w:pPr>
          <w:bookmarkStart w:id="161" w:name="_Hlk533409560"/>
          <w:r>
            <w:rPr>
              <w:rFonts w:hint="eastAsia"/>
            </w:rPr>
            <w:t>合同资产</w:t>
          </w:r>
        </w:p>
        <w:p>
          <w:pPr>
            <w:pStyle w:val="5"/>
            <w:numPr>
              <w:ilvl w:val="3"/>
              <w:numId w:val="85"/>
            </w:numPr>
            <w:ind w:left="426" w:hanging="426"/>
          </w:pPr>
          <w:bookmarkStart w:id="162" w:name="_Hlk532992678"/>
          <w:r>
            <w:rPr>
              <w:rFonts w:hint="eastAsia"/>
            </w:rPr>
            <w:t>合同资产情况</w:t>
          </w:r>
        </w:p>
        <w:sdt>
          <w:sdtPr>
            <w:alias w:val="是否适用：合同资产情况[双击切换]"/>
            <w:tag w:val="_GBC_71da29cd2c0f4ec4a2849d6760e0ec90"/>
            <w:id w:val="86572481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1"/>
    <w:bookmarkEnd w:id="162"/>
    <w:sdt>
      <w:sdtPr>
        <w:rPr>
          <w:rFonts w:hint="eastAsia" w:ascii="宋体" w:hAnsi="宋体" w:eastAsia="宋体" w:cs="宋体"/>
          <w:b w:val="0"/>
          <w:bCs w:val="0"/>
          <w:kern w:val="0"/>
          <w:szCs w:val="24"/>
        </w:rPr>
        <w:alias w:val="模块:报告期内账面价值发生重大变动的金额和原因"/>
        <w:tag w:val="_SEC_c92b1cbb8a324c50a897bfb29d008812"/>
        <w:id w:val="865724821"/>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3"/>
              <w:numId w:val="85"/>
            </w:numPr>
            <w:ind w:left="426" w:hanging="426"/>
          </w:pPr>
          <w:bookmarkStart w:id="163" w:name="_Hlk532993169"/>
          <w:r>
            <w:rPr>
              <w:rFonts w:hint="eastAsia"/>
            </w:rPr>
            <w:t>报告期内账面价值发生重大变动的金额和原因</w:t>
          </w:r>
        </w:p>
        <w:sdt>
          <w:sdtPr>
            <w:rPr>
              <w:szCs w:val="21"/>
            </w:rPr>
            <w:alias w:val="是否适用：合同资产账面价值发生重大变动[双击切换]"/>
            <w:tag w:val="_GBC_d707053a57f34cbab810279b617bfcc7"/>
            <w:id w:val="865724820"/>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63"/>
    <w:sdt>
      <w:sdtPr>
        <w:rPr>
          <w:rFonts w:hint="eastAsia" w:ascii="宋体" w:hAnsi="宋体" w:eastAsia="宋体" w:cs="宋体"/>
          <w:b w:val="0"/>
          <w:bCs w:val="0"/>
          <w:kern w:val="0"/>
          <w:szCs w:val="21"/>
        </w:rPr>
        <w:alias w:val="模块:本期合同资产计提减值准备情况"/>
        <w:tag w:val="_SEC_5ad264313cea4d8a8ec9ff73b52c45f4"/>
        <w:id w:val="865724824"/>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3"/>
              <w:numId w:val="85"/>
            </w:numPr>
            <w:ind w:left="426" w:hanging="426"/>
            <w:rPr>
              <w:szCs w:val="21"/>
            </w:rPr>
          </w:pPr>
          <w:bookmarkStart w:id="164" w:name="_Hlk533847869"/>
          <w:r>
            <w:rPr>
              <w:rFonts w:hint="eastAsia"/>
              <w:szCs w:val="21"/>
            </w:rPr>
            <w:t>本期合同资产计提减值准备情况</w:t>
          </w:r>
        </w:p>
        <w:sdt>
          <w:sdtPr>
            <w:rPr>
              <w:szCs w:val="21"/>
            </w:rPr>
            <w:alias w:val="是否适用：合同资产减值准备[双击切换]"/>
            <w:tag w:val="_GBC_7a32a2cf2788460d8c760b8ac21cef48"/>
            <w:id w:val="865724822"/>
            <w:lock w:val="sdtLocked"/>
            <w:placeholder>
              <w:docPart w:val="GBC22222222222222222222222222222"/>
            </w:placeholder>
          </w:sdtPr>
          <w:sdtEndPr>
            <w:rPr>
              <w:szCs w:val="21"/>
            </w:rPr>
          </w:sdtEndPr>
          <w:sdtContent>
            <w:p>
              <w:pPr>
                <w:autoSpaceDE w:val="0"/>
                <w:autoSpaceDN w:val="0"/>
                <w:adjustRightInd w:val="0"/>
                <w:ind w:right="105" w:rightChars="5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rPr>
              <w:szCs w:val="21"/>
            </w:rPr>
          </w:pPr>
          <w:r>
            <w:rPr>
              <w:rFonts w:hint="eastAsia"/>
              <w:szCs w:val="21"/>
            </w:rPr>
            <w:t>如按预期信用损失一般模型计提坏账准备，请参照其他应收款披露：</w:t>
          </w:r>
        </w:p>
        <w:p>
          <w:pPr>
            <w:autoSpaceDE w:val="0"/>
            <w:autoSpaceDN w:val="0"/>
            <w:adjustRightInd w:val="0"/>
            <w:ind w:right="105" w:rightChars="50"/>
            <w:rPr>
              <w:szCs w:val="21"/>
            </w:rPr>
          </w:pPr>
          <w:sdt>
            <w:sdtPr>
              <w:rPr>
                <w:szCs w:val="21"/>
              </w:rPr>
              <w:alias w:val="是否适用：合同资产按一般预计信用损失模型计提坏账[双击切换]"/>
              <w:tag w:val="_GBC_fd4eb6ea21ba4cfcb06df32dcdb0abfb"/>
              <w:id w:val="865724823"/>
              <w:lock w:val="sdtLocked"/>
              <w:placeholder>
                <w:docPart w:val="GBC22222222222222222222222222222"/>
              </w:placeholder>
            </w:sdtPr>
            <w:sdtEndPr>
              <w:rPr>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autoSpaceDE w:val="0"/>
            <w:autoSpaceDN w:val="0"/>
            <w:adjustRightInd w:val="0"/>
            <w:ind w:right="105" w:rightChars="50"/>
            <w:rPr>
              <w:szCs w:val="21"/>
            </w:rPr>
          </w:pPr>
        </w:p>
      </w:sdtContent>
    </w:sdt>
    <w:bookmarkEnd w:id="164"/>
    <w:sdt>
      <w:sdtPr>
        <w:rPr>
          <w:rFonts w:hint="eastAsia"/>
          <w:szCs w:val="21"/>
        </w:rPr>
        <w:alias w:val="模块:合同资产其他说明"/>
        <w:tag w:val="_SEC_258cf02a2dfe4d43b5c502f3869566d2"/>
        <w:id w:val="865724827"/>
        <w:lock w:val="sdtLocked"/>
        <w:placeholder>
          <w:docPart w:val="GBC22222222222222222222222222222"/>
        </w:placeholder>
      </w:sdtPr>
      <w:sdtEndPr>
        <w:rPr>
          <w:rFonts w:hint="default"/>
          <w:szCs w:val="24"/>
        </w:rPr>
      </w:sdtEndPr>
      <w:sdtContent>
        <w:p>
          <w:pPr>
            <w:rPr>
              <w:szCs w:val="21"/>
            </w:rPr>
          </w:pPr>
          <w:r>
            <w:rPr>
              <w:rFonts w:hint="eastAsia"/>
              <w:szCs w:val="21"/>
            </w:rPr>
            <w:t>其他说明：</w:t>
          </w:r>
        </w:p>
        <w:sdt>
          <w:sdtPr>
            <w:rPr>
              <w:szCs w:val="21"/>
            </w:rPr>
            <w:alias w:val="是否适用：合同资产其他说明[双击切换]"/>
            <w:tag w:val="_GBC_92ce0006559b479d93e7dbde6e8efca4"/>
            <w:id w:val="865724825"/>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ascii="宋体" w:hAnsi="宋体" w:cs="宋体"/>
          <w:b w:val="0"/>
          <w:bCs w:val="0"/>
          <w:kern w:val="0"/>
          <w:szCs w:val="24"/>
        </w:rPr>
        <w:alias w:val="模块:"/>
        <w:tag w:val="_SEC_b6937eac78c94ad8b39ce1ee1104d8c4"/>
        <w:id w:val="865724829"/>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79"/>
            </w:numPr>
            <w:tabs>
              <w:tab w:val="left" w:pos="504"/>
            </w:tabs>
          </w:pPr>
          <w:bookmarkStart w:id="165" w:name="_Hlk24380621"/>
          <w:r>
            <w:rPr>
              <w:rFonts w:hint="eastAsia"/>
            </w:rPr>
            <w:t>持有待售资产</w:t>
          </w:r>
        </w:p>
        <w:sdt>
          <w:sdtPr>
            <w:alias w:val="是否适用：划分为持有待售的资产[双击切换]"/>
            <w:tag w:val="_GBC_78f2c13384374d8eb0edd5d62d86bc52"/>
            <w:id w:val="86572482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65"/>
    <w:sdt>
      <w:sdtPr>
        <w:rPr>
          <w:rFonts w:hint="eastAsia" w:ascii="宋体" w:hAnsi="宋体" w:cs="宋体"/>
          <w:b w:val="0"/>
          <w:bCs w:val="0"/>
          <w:kern w:val="0"/>
          <w:szCs w:val="24"/>
        </w:rPr>
        <w:alias w:val="模块:一年内到期的非流动资产"/>
        <w:tag w:val="_SEC_96b35c860772417291874bfe65770128"/>
        <w:id w:val="865724841"/>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79"/>
            </w:numPr>
            <w:tabs>
              <w:tab w:val="left" w:pos="504"/>
            </w:tabs>
          </w:pPr>
          <w:bookmarkStart w:id="166" w:name="_Hlk533608872"/>
          <w:r>
            <w:rPr>
              <w:rFonts w:hint="eastAsia"/>
            </w:rPr>
            <w:t>一年内到期的非流动资产</w:t>
          </w:r>
        </w:p>
        <w:sdt>
          <w:sdtPr>
            <w:alias w:val="是否适用：一年内到期的非流动资产[双击切换]"/>
            <w:tag w:val="_GBC_ed2c28c8d4014bbb85fa424cc20fe6d7"/>
            <w:id w:val="86572483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210"/>
            <w:jc w:val="right"/>
          </w:pPr>
          <w:r>
            <w:rPr>
              <w:rFonts w:hint="eastAsia"/>
            </w:rPr>
            <w:t>单位：</w:t>
          </w:r>
          <w:sdt>
            <w:sdtPr>
              <w:rPr>
                <w:rFonts w:hint="eastAsia"/>
              </w:rPr>
              <w:alias w:val="单位：财务附注：一年内到期的非流动资产"/>
              <w:tag w:val="_GBC_f77c8d19672140bf85fc2463f9170dd6"/>
              <w:id w:val="865724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865724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7"/>
            <w:gridCol w:w="2897"/>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40529190b0945ecb6483b84560649d2"/>
                <w:id w:val="865724833"/>
                <w:lock w:val="sdtLocked"/>
              </w:sdtPr>
              <w:sdtEndPr>
                <w:rPr>
                  <w:rFonts w:ascii="Times New Roman" w:hAnsi="Times New Roman" w:cs="Times New Roman"/>
                </w:rPr>
              </w:sdtEndPr>
              <w:sdtContent>
                <w:tc>
                  <w:tcPr>
                    <w:tcW w:w="1816" w:type="pc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5e30d8809b4b4a148861aad7ac937cad"/>
                <w:id w:val="865724834"/>
                <w:lock w:val="sdtLocked"/>
              </w:sdtPr>
              <w:sdtEndPr>
                <w:rPr>
                  <w:rFonts w:ascii="Times New Roman" w:hAnsi="Times New Roman" w:cs="Times New Roman"/>
                </w:rPr>
              </w:sdtEndPr>
              <w:sdtContent>
                <w:tc>
                  <w:tcPr>
                    <w:tcW w:w="1601" w:type="pct"/>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a1484dda7f4045b7bee1d347a33d9d30"/>
                <w:id w:val="865724835"/>
                <w:lock w:val="sdtLocked"/>
              </w:sdtPr>
              <w:sdtEndPr>
                <w:rPr>
                  <w:rFonts w:ascii="Times New Roman" w:hAnsi="Times New Roman" w:cs="Times New Roman"/>
                </w:rPr>
              </w:sdtEndPr>
              <w:sdtContent>
                <w:tc>
                  <w:tcPr>
                    <w:tcW w:w="1583" w:type="pct"/>
                    <w:shd w:val="clear" w:color="auto" w:fill="auto"/>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d0f2a88e57543d8843f30175782ae14"/>
                <w:id w:val="865724836"/>
                <w:lock w:val="sdtLocked"/>
              </w:sdtPr>
              <w:sdtEndPr>
                <w:rPr>
                  <w:rFonts w:ascii="Times New Roman" w:hAnsi="Times New Roman" w:cs="Times New Roman"/>
                </w:rPr>
              </w:sdtEndPr>
              <w:sdtContent>
                <w:tc>
                  <w:tcPr>
                    <w:tcW w:w="1816" w:type="pct"/>
                    <w:shd w:val="clear" w:color="auto" w:fill="auto"/>
                    <w:vAlign w:val="center"/>
                  </w:tcPr>
                  <w:p>
                    <w:pPr>
                      <w:rPr>
                        <w:rFonts w:ascii="Times New Roman" w:hAnsi="Times New Roman" w:cs="Times New Roman"/>
                      </w:rPr>
                    </w:pPr>
                    <w:r>
                      <w:rPr>
                        <w:rFonts w:ascii="Times New Roman" w:cs="Times New Roman"/>
                      </w:rPr>
                      <w:t>一年内到期的债权投资</w:t>
                    </w:r>
                  </w:p>
                </w:tc>
              </w:sdtContent>
            </w:sdt>
            <w:tc>
              <w:tcPr>
                <w:tcW w:w="1601" w:type="pct"/>
                <w:shd w:val="clear" w:color="auto" w:fill="auto"/>
                <w:vAlign w:val="center"/>
              </w:tcPr>
              <w:p>
                <w:pPr>
                  <w:jc w:val="right"/>
                  <w:rPr>
                    <w:rFonts w:ascii="Times New Roman" w:hAnsi="Times New Roman" w:cs="Times New Roman"/>
                  </w:rPr>
                </w:pPr>
              </w:p>
            </w:tc>
            <w:tc>
              <w:tcPr>
                <w:tcW w:w="1583" w:type="pct"/>
                <w:shd w:val="clear" w:color="auto" w:fill="auto"/>
                <w:vAlign w:val="center"/>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b6077dc55514ed79e26dfafe65f1a7c"/>
                <w:id w:val="865724837"/>
                <w:lock w:val="sdtLocked"/>
              </w:sdtPr>
              <w:sdtEndPr>
                <w:rPr>
                  <w:rFonts w:ascii="Times New Roman" w:hAnsi="Times New Roman" w:cs="Times New Roman"/>
                </w:rPr>
              </w:sdtEndPr>
              <w:sdtContent>
                <w:tc>
                  <w:tcPr>
                    <w:tcW w:w="1816" w:type="pct"/>
                    <w:shd w:val="clear" w:color="auto" w:fill="auto"/>
                    <w:vAlign w:val="center"/>
                  </w:tcPr>
                  <w:p>
                    <w:pPr>
                      <w:rPr>
                        <w:rFonts w:ascii="Times New Roman" w:hAnsi="Times New Roman" w:cs="Times New Roman"/>
                      </w:rPr>
                    </w:pPr>
                    <w:r>
                      <w:rPr>
                        <w:rFonts w:ascii="Times New Roman" w:cs="Times New Roman"/>
                      </w:rPr>
                      <w:t>一年内到期的其他债权投资</w:t>
                    </w:r>
                  </w:p>
                </w:tc>
              </w:sdtContent>
            </w:sdt>
            <w:tc>
              <w:tcPr>
                <w:tcW w:w="1601" w:type="pct"/>
                <w:shd w:val="clear" w:color="auto" w:fill="auto"/>
                <w:vAlign w:val="center"/>
              </w:tcPr>
              <w:p>
                <w:pPr>
                  <w:jc w:val="right"/>
                  <w:rPr>
                    <w:rFonts w:ascii="Times New Roman" w:hAnsi="Times New Roman" w:cs="Times New Roman"/>
                  </w:rPr>
                </w:pPr>
              </w:p>
            </w:tc>
            <w:tc>
              <w:tcPr>
                <w:tcW w:w="1583" w:type="pct"/>
                <w:shd w:val="clear" w:color="auto" w:fill="auto"/>
                <w:vAlign w:val="center"/>
              </w:tcPr>
              <w:p>
                <w:pPr>
                  <w:jc w:val="right"/>
                  <w:rPr>
                    <w:rFonts w:ascii="Times New Roman" w:hAnsi="Times New Roman" w:cs="Times New Roman"/>
                  </w:rPr>
                </w:pPr>
              </w:p>
            </w:tc>
          </w:tr>
          <w:sdt>
            <w:sdtPr>
              <w:rPr>
                <w:rFonts w:ascii="Times New Roman" w:hAnsi="Times New Roman" w:cs="Times New Roman"/>
                <w:szCs w:val="21"/>
              </w:rPr>
              <w:alias w:val="一年内到期的非流动资产明细"/>
              <w:tag w:val="_TUP_82414556d6e244729fdf0f5291c7a0f2"/>
              <w:id w:val="86572483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Times New Roman" w:hAnsi="Times New Roman" w:cs="Times New Roman"/>
                        <w:szCs w:val="21"/>
                      </w:rPr>
                    </w:pPr>
                    <w:r>
                      <w:rPr>
                        <w:rFonts w:ascii="Times New Roman" w:cs="Times New Roman"/>
                      </w:rPr>
                      <w:t>一年内到期的长期应收款</w:t>
                    </w:r>
                  </w:p>
                </w:tc>
                <w:tc>
                  <w:tcPr>
                    <w:tcW w:w="1601" w:type="pct"/>
                    <w:shd w:val="clear" w:color="auto" w:fill="auto"/>
                  </w:tcPr>
                  <w:p>
                    <w:pPr>
                      <w:snapToGrid w:val="0"/>
                      <w:jc w:val="right"/>
                      <w:rPr>
                        <w:rFonts w:ascii="Times New Roman" w:hAnsi="Times New Roman" w:cs="Times New Roman"/>
                        <w:szCs w:val="21"/>
                      </w:rPr>
                    </w:pPr>
                    <w:r>
                      <w:rPr>
                        <w:rFonts w:ascii="Times New Roman" w:hAnsi="Times New Roman" w:cs="Times New Roman"/>
                      </w:rPr>
                      <w:t>294,820.25</w:t>
                    </w:r>
                  </w:p>
                </w:tc>
                <w:tc>
                  <w:tcPr>
                    <w:tcW w:w="1583" w:type="pct"/>
                    <w:shd w:val="clear" w:color="auto" w:fill="auto"/>
                  </w:tcPr>
                  <w:p>
                    <w:pPr>
                      <w:snapToGrid w:val="0"/>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77c1a39652b40dbb6415e55480de5d5"/>
                <w:id w:val="865724840"/>
                <w:lock w:val="sdtLocked"/>
              </w:sdtPr>
              <w:sdtEndPr>
                <w:rPr>
                  <w:rFonts w:ascii="Times New Roman" w:hAnsi="Times New Roman" w:cs="Times New Roman"/>
                </w:rPr>
              </w:sdtEndPr>
              <w:sdtContent>
                <w:tc>
                  <w:tcPr>
                    <w:tcW w:w="1816" w:type="pct"/>
                    <w:shd w:val="clear" w:color="auto" w:fill="auto"/>
                    <w:vAlign w:val="bottom"/>
                  </w:tcPr>
                  <w:p>
                    <w:pPr>
                      <w:snapToGrid w:val="0"/>
                      <w:ind w:left="-107" w:leftChars="-51"/>
                      <w:jc w:val="center"/>
                      <w:rPr>
                        <w:rFonts w:ascii="Times New Roman" w:hAnsi="Times New Roman" w:cs="Times New Roman"/>
                        <w:szCs w:val="21"/>
                      </w:rPr>
                    </w:pPr>
                    <w:r>
                      <w:rPr>
                        <w:rFonts w:ascii="Times New Roman" w:cs="Times New Roman"/>
                        <w:szCs w:val="21"/>
                      </w:rPr>
                      <w:t>合计</w:t>
                    </w:r>
                  </w:p>
                </w:tc>
              </w:sdtContent>
            </w:sdt>
            <w:tc>
              <w:tcPr>
                <w:tcW w:w="1601" w:type="pct"/>
                <w:shd w:val="clear" w:color="auto" w:fill="auto"/>
              </w:tcPr>
              <w:p>
                <w:pPr>
                  <w:snapToGrid w:val="0"/>
                  <w:jc w:val="right"/>
                  <w:rPr>
                    <w:rFonts w:ascii="Times New Roman" w:hAnsi="Times New Roman" w:cs="Times New Roman"/>
                    <w:szCs w:val="21"/>
                  </w:rPr>
                </w:pPr>
                <w:r>
                  <w:rPr>
                    <w:rFonts w:ascii="Times New Roman" w:hAnsi="Times New Roman" w:cs="Times New Roman"/>
                    <w:szCs w:val="21"/>
                  </w:rPr>
                  <w:t>294,820.25</w:t>
                </w:r>
              </w:p>
            </w:tc>
            <w:tc>
              <w:tcPr>
                <w:tcW w:w="1583" w:type="pct"/>
                <w:shd w:val="clear" w:color="auto" w:fill="auto"/>
              </w:tcPr>
              <w:p>
                <w:pPr>
                  <w:snapToGrid w:val="0"/>
                  <w:jc w:val="right"/>
                  <w:rPr>
                    <w:rFonts w:ascii="Times New Roman" w:hAnsi="Times New Roman" w:cs="Times New Roman"/>
                    <w:szCs w:val="21"/>
                  </w:rPr>
                </w:pPr>
              </w:p>
            </w:tc>
          </w:tr>
        </w:tbl>
        <w:p/>
        <w:p>
          <w:pPr>
            <w:ind w:right="210"/>
          </w:pPr>
        </w:p>
      </w:sdtContent>
    </w:sdt>
    <w:sdt>
      <w:sdtPr>
        <w:rPr>
          <w:rFonts w:hint="eastAsia"/>
        </w:rPr>
        <w:alias w:val="模块:一年内到期的非流动资产期末重要的债权投资"/>
        <w:tag w:val="_SEC_cb1f0c52ccb6441287eb043720aaedbf"/>
        <w:id w:val="865724843"/>
        <w:lock w:val="sdtLocked"/>
        <w:placeholder>
          <w:docPart w:val="GBC22222222222222222222222222222"/>
        </w:placeholder>
      </w:sdtPr>
      <w:sdtEndPr>
        <w:rPr>
          <w:rFonts w:hint="default"/>
        </w:rPr>
      </w:sdtEndPr>
      <w:sdtContent>
        <w:p>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865724842"/>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一年内到期的非流动资产其他说明"/>
        <w:tag w:val="_SEC_5007efc3f00c4111a777e47f97d502e5"/>
        <w:id w:val="865724845"/>
        <w:lock w:val="sdtLocked"/>
        <w:placeholder>
          <w:docPart w:val="GBC22222222222222222222222222222"/>
        </w:placeholder>
      </w:sdtPr>
      <w:sdtEndPr>
        <w:rPr>
          <w:rFonts w:hint="default"/>
        </w:rPr>
      </w:sdtEndPr>
      <w:sdtContent>
        <w:p>
          <w:pPr>
            <w:ind w:right="210"/>
          </w:pPr>
        </w:p>
        <w:p>
          <w:pPr>
            <w:ind w:right="210"/>
          </w:pPr>
        </w:p>
      </w:sdtContent>
    </w:sdt>
    <w:bookmarkEnd w:id="166"/>
    <w:sdt>
      <w:sdtPr>
        <w:rPr>
          <w:rFonts w:hint="eastAsia" w:ascii="宋体" w:hAnsi="宋体" w:cs="宋体"/>
          <w:b w:val="0"/>
          <w:bCs w:val="0"/>
          <w:kern w:val="0"/>
          <w:szCs w:val="24"/>
        </w:rPr>
        <w:alias w:val="模块:其他流动资产"/>
        <w:tag w:val="_SEC_76a189d16ac5453184dfe42bd0fa9e73"/>
        <w:id w:val="865724862"/>
        <w:lock w:val="sdtLocked"/>
        <w:placeholder>
          <w:docPart w:val="GBC22222222222222222222222222222"/>
        </w:placeholder>
      </w:sdtPr>
      <w:sdtEndPr>
        <w:rPr>
          <w:rFonts w:hint="default" w:ascii="Times New Roman" w:hAnsi="Times New Roman" w:cs="Times New Roman"/>
          <w:b w:val="0"/>
          <w:bCs w:val="0"/>
          <w:kern w:val="0"/>
          <w:szCs w:val="21"/>
        </w:rPr>
      </w:sdtEndPr>
      <w:sdtContent>
        <w:p>
          <w:pPr>
            <w:pStyle w:val="4"/>
            <w:numPr>
              <w:ilvl w:val="0"/>
              <w:numId w:val="79"/>
            </w:numPr>
            <w:tabs>
              <w:tab w:val="left" w:pos="504"/>
            </w:tabs>
          </w:pPr>
          <w:bookmarkStart w:id="167" w:name="_Hlk533609053"/>
          <w:r>
            <w:rPr>
              <w:rFonts w:hint="eastAsia"/>
            </w:rPr>
            <w:t>其他流动资产</w:t>
          </w:r>
        </w:p>
        <w:sdt>
          <w:sdtPr>
            <w:alias w:val="是否适用：其他流动资产[双击切换]"/>
            <w:tag w:val="_GBC_49fe7514f24d4f7fbf009ae51ff98d5a"/>
            <w:id w:val="86572484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其他流动资产"/>
              <w:tag w:val="_GBC_8aa27294471c4172ba97de2c15d029c6"/>
              <w:id w:val="86572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8657248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2917"/>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34f889fb3794268b1f04c9534377486"/>
                <w:id w:val="865724849"/>
                <w:lock w:val="sdtLocked"/>
              </w:sdtPr>
              <w:sdtEndPr>
                <w:rPr>
                  <w:rFonts w:ascii="Times New Roman" w:hAnsi="Times New Roman" w:cs="Times New Roman"/>
                </w:rPr>
              </w:sdtEndPr>
              <w:sdtContent>
                <w:tc>
                  <w:tcPr>
                    <w:tcW w:w="1816" w:type="pc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97b9b7e912e14a06b24f532e76914900"/>
                <w:id w:val="865724850"/>
                <w:lock w:val="sdtLocked"/>
              </w:sdtPr>
              <w:sdtEndPr>
                <w:rPr>
                  <w:rFonts w:ascii="Times New Roman" w:hAnsi="Times New Roman" w:cs="Times New Roman"/>
                </w:rPr>
              </w:sdtEndPr>
              <w:sdtContent>
                <w:tc>
                  <w:tcPr>
                    <w:tcW w:w="1612" w:type="pct"/>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c02c94d4c7614f3cadd2972514fb87f4"/>
                <w:id w:val="865724851"/>
                <w:lock w:val="sdtLocked"/>
              </w:sdtPr>
              <w:sdtEndPr>
                <w:rPr>
                  <w:rFonts w:ascii="Times New Roman" w:hAnsi="Times New Roman" w:cs="Times New Roman"/>
                </w:rPr>
              </w:sdtEndPr>
              <w:sdtContent>
                <w:tc>
                  <w:tcPr>
                    <w:tcW w:w="1572" w:type="pct"/>
                    <w:shd w:val="clear" w:color="auto" w:fill="auto"/>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4585813e8414f74a3148e50aabc790e"/>
                <w:id w:val="865724852"/>
                <w:lock w:val="sdtLocked"/>
              </w:sdtPr>
              <w:sdtEndPr>
                <w:rPr>
                  <w:rFonts w:ascii="Times New Roman" w:hAnsi="Times New Roman" w:cs="Times New Roman"/>
                </w:rPr>
              </w:sdtEndPr>
              <w:sdtContent>
                <w:tc>
                  <w:tcPr>
                    <w:tcW w:w="1816" w:type="pct"/>
                    <w:shd w:val="clear" w:color="auto" w:fill="auto"/>
                    <w:vAlign w:val="center"/>
                  </w:tcPr>
                  <w:p>
                    <w:pPr>
                      <w:rPr>
                        <w:rFonts w:ascii="Times New Roman" w:hAnsi="Times New Roman" w:cs="Times New Roman"/>
                      </w:rPr>
                    </w:pPr>
                    <w:r>
                      <w:rPr>
                        <w:rFonts w:ascii="Times New Roman" w:cs="Times New Roman"/>
                      </w:rPr>
                      <w:t>合同取得成本</w:t>
                    </w:r>
                  </w:p>
                </w:tc>
              </w:sdtContent>
            </w:sdt>
            <w:tc>
              <w:tcPr>
                <w:tcW w:w="1612" w:type="pct"/>
                <w:shd w:val="clear" w:color="auto" w:fill="auto"/>
                <w:vAlign w:val="center"/>
              </w:tcPr>
              <w:p>
                <w:pPr>
                  <w:jc w:val="right"/>
                  <w:rPr>
                    <w:rFonts w:ascii="Times New Roman" w:hAnsi="Times New Roman" w:cs="Times New Roman"/>
                  </w:rPr>
                </w:pPr>
              </w:p>
            </w:tc>
            <w:tc>
              <w:tcPr>
                <w:tcW w:w="1572" w:type="pct"/>
                <w:shd w:val="clear" w:color="auto" w:fill="auto"/>
                <w:vAlign w:val="center"/>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1e91754f5eb4e66b5b652379959082e"/>
                <w:id w:val="865724853"/>
                <w:lock w:val="sdtLocked"/>
              </w:sdtPr>
              <w:sdtEndPr>
                <w:rPr>
                  <w:rFonts w:ascii="Times New Roman" w:hAnsi="Times New Roman" w:cs="Times New Roman"/>
                </w:rPr>
              </w:sdtEndPr>
              <w:sdtContent>
                <w:tc>
                  <w:tcPr>
                    <w:tcW w:w="1816" w:type="pct"/>
                    <w:shd w:val="clear" w:color="auto" w:fill="auto"/>
                    <w:vAlign w:val="center"/>
                  </w:tcPr>
                  <w:p>
                    <w:pPr>
                      <w:rPr>
                        <w:rFonts w:ascii="Times New Roman" w:hAnsi="Times New Roman" w:cs="Times New Roman"/>
                      </w:rPr>
                    </w:pPr>
                    <w:r>
                      <w:rPr>
                        <w:rFonts w:ascii="Times New Roman" w:cs="Times New Roman"/>
                      </w:rPr>
                      <w:t>应收退货成本</w:t>
                    </w:r>
                  </w:p>
                </w:tc>
              </w:sdtContent>
            </w:sdt>
            <w:tc>
              <w:tcPr>
                <w:tcW w:w="1612" w:type="pct"/>
                <w:shd w:val="clear" w:color="auto" w:fill="auto"/>
                <w:vAlign w:val="center"/>
              </w:tcPr>
              <w:p>
                <w:pPr>
                  <w:jc w:val="right"/>
                  <w:rPr>
                    <w:rFonts w:ascii="Times New Roman" w:hAnsi="Times New Roman" w:cs="Times New Roman"/>
                  </w:rPr>
                </w:pPr>
              </w:p>
            </w:tc>
            <w:tc>
              <w:tcPr>
                <w:tcW w:w="1572" w:type="pct"/>
                <w:shd w:val="clear" w:color="auto" w:fill="auto"/>
                <w:vAlign w:val="center"/>
              </w:tcPr>
              <w:p>
                <w:pPr>
                  <w:jc w:val="right"/>
                  <w:rPr>
                    <w:rFonts w:ascii="Times New Roman" w:hAnsi="Times New Roman" w:cs="Times New Roman"/>
                  </w:rPr>
                </w:pPr>
              </w:p>
            </w:tc>
          </w:tr>
          <w:sdt>
            <w:sdtPr>
              <w:rPr>
                <w:rFonts w:ascii="Times New Roman" w:hAnsi="Times New Roman" w:cs="Times New Roman"/>
                <w:szCs w:val="21"/>
              </w:rPr>
              <w:alias w:val="其他流动资产明细"/>
              <w:tag w:val="_TUP_03a79c0b3d284671976e8b90399a3019"/>
              <w:id w:val="86572485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Times New Roman" w:hAnsi="Times New Roman" w:cs="Times New Roman"/>
                        <w:szCs w:val="21"/>
                      </w:rPr>
                    </w:pPr>
                    <w:r>
                      <w:rPr>
                        <w:rFonts w:ascii="Times New Roman" w:cs="Times New Roman"/>
                      </w:rPr>
                      <w:t>待摊费用</w:t>
                    </w:r>
                  </w:p>
                </w:tc>
                <w:tc>
                  <w:tcPr>
                    <w:tcW w:w="1612" w:type="pct"/>
                    <w:shd w:val="clear" w:color="auto" w:fill="auto"/>
                    <w:vAlign w:val="center"/>
                  </w:tcPr>
                  <w:p>
                    <w:pPr>
                      <w:snapToGrid w:val="0"/>
                      <w:jc w:val="right"/>
                      <w:rPr>
                        <w:rFonts w:ascii="Times New Roman" w:hAnsi="Times New Roman" w:cs="Times New Roman"/>
                        <w:szCs w:val="21"/>
                      </w:rPr>
                    </w:pPr>
                    <w:r>
                      <w:rPr>
                        <w:rFonts w:ascii="Times New Roman" w:hAnsi="Times New Roman" w:cs="Times New Roman"/>
                      </w:rPr>
                      <w:t>4,000,067.85</w:t>
                    </w:r>
                  </w:p>
                </w:tc>
                <w:tc>
                  <w:tcPr>
                    <w:tcW w:w="1572" w:type="pct"/>
                    <w:shd w:val="clear" w:color="auto" w:fill="auto"/>
                    <w:vAlign w:val="center"/>
                  </w:tcPr>
                  <w:p>
                    <w:pPr>
                      <w:snapToGrid w:val="0"/>
                      <w:jc w:val="right"/>
                      <w:rPr>
                        <w:rFonts w:ascii="Times New Roman" w:hAnsi="Times New Roman" w:cs="Times New Roman"/>
                        <w:szCs w:val="21"/>
                      </w:rPr>
                    </w:pPr>
                    <w:r>
                      <w:rPr>
                        <w:rFonts w:ascii="Times New Roman" w:hAnsi="Times New Roman" w:cs="Times New Roman"/>
                      </w:rPr>
                      <w:t>3,076,983.31</w:t>
                    </w:r>
                  </w:p>
                </w:tc>
              </w:tr>
            </w:sdtContent>
          </w:sdt>
          <w:sdt>
            <w:sdtPr>
              <w:rPr>
                <w:rFonts w:ascii="Times New Roman" w:hAnsi="Times New Roman" w:cs="Times New Roman"/>
                <w:szCs w:val="21"/>
              </w:rPr>
              <w:alias w:val="其他流动资产明细"/>
              <w:tag w:val="_TUP_03a79c0b3d284671976e8b90399a3019"/>
              <w:id w:val="86572485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Times New Roman" w:hAnsi="Times New Roman" w:cs="Times New Roman"/>
                        <w:szCs w:val="21"/>
                      </w:rPr>
                    </w:pPr>
                    <w:r>
                      <w:rPr>
                        <w:rFonts w:ascii="Times New Roman" w:cs="Times New Roman"/>
                      </w:rPr>
                      <w:t>预付税费</w:t>
                    </w:r>
                  </w:p>
                </w:tc>
                <w:tc>
                  <w:tcPr>
                    <w:tcW w:w="1612" w:type="pct"/>
                    <w:shd w:val="clear" w:color="auto" w:fill="auto"/>
                    <w:vAlign w:val="center"/>
                  </w:tcPr>
                  <w:p>
                    <w:pPr>
                      <w:snapToGrid w:val="0"/>
                      <w:jc w:val="right"/>
                      <w:rPr>
                        <w:rFonts w:ascii="Times New Roman" w:hAnsi="Times New Roman" w:cs="Times New Roman"/>
                        <w:szCs w:val="21"/>
                      </w:rPr>
                    </w:pPr>
                    <w:r>
                      <w:rPr>
                        <w:rFonts w:ascii="Times New Roman" w:hAnsi="Times New Roman" w:cs="Times New Roman"/>
                      </w:rPr>
                      <w:t>112,784.87</w:t>
                    </w:r>
                  </w:p>
                </w:tc>
                <w:tc>
                  <w:tcPr>
                    <w:tcW w:w="1572" w:type="pct"/>
                    <w:shd w:val="clear" w:color="auto" w:fill="auto"/>
                    <w:vAlign w:val="center"/>
                  </w:tcPr>
                  <w:p>
                    <w:pPr>
                      <w:snapToGrid w:val="0"/>
                      <w:jc w:val="right"/>
                      <w:rPr>
                        <w:rFonts w:ascii="Times New Roman" w:hAnsi="Times New Roman" w:cs="Times New Roman"/>
                        <w:szCs w:val="21"/>
                      </w:rPr>
                    </w:pPr>
                    <w:r>
                      <w:rPr>
                        <w:rFonts w:ascii="Times New Roman" w:hAnsi="Times New Roman" w:cs="Times New Roman"/>
                      </w:rPr>
                      <w:t>14,851.18</w:t>
                    </w:r>
                  </w:p>
                </w:tc>
              </w:tr>
            </w:sdtContent>
          </w:sdt>
          <w:sdt>
            <w:sdtPr>
              <w:rPr>
                <w:rFonts w:ascii="Times New Roman" w:hAnsi="Times New Roman" w:cs="Times New Roman"/>
                <w:szCs w:val="21"/>
              </w:rPr>
              <w:alias w:val="其他流动资产明细"/>
              <w:tag w:val="_TUP_03a79c0b3d284671976e8b90399a3019"/>
              <w:id w:val="86572485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Times New Roman" w:hAnsi="Times New Roman" w:cs="Times New Roman"/>
                        <w:szCs w:val="21"/>
                      </w:rPr>
                    </w:pPr>
                    <w:r>
                      <w:rPr>
                        <w:rFonts w:ascii="Times New Roman" w:cs="Times New Roman"/>
                      </w:rPr>
                      <w:t>待抵扣进项税额</w:t>
                    </w:r>
                  </w:p>
                </w:tc>
                <w:tc>
                  <w:tcPr>
                    <w:tcW w:w="1612" w:type="pct"/>
                    <w:shd w:val="clear" w:color="auto" w:fill="auto"/>
                    <w:vAlign w:val="center"/>
                  </w:tcPr>
                  <w:p>
                    <w:pPr>
                      <w:snapToGrid w:val="0"/>
                      <w:jc w:val="right"/>
                      <w:rPr>
                        <w:rFonts w:ascii="Times New Roman" w:hAnsi="Times New Roman" w:cs="Times New Roman"/>
                        <w:szCs w:val="21"/>
                      </w:rPr>
                    </w:pPr>
                    <w:r>
                      <w:rPr>
                        <w:rFonts w:ascii="Times New Roman" w:hAnsi="Times New Roman" w:cs="Times New Roman"/>
                      </w:rPr>
                      <w:t>1,017,517.81</w:t>
                    </w:r>
                  </w:p>
                </w:tc>
                <w:tc>
                  <w:tcPr>
                    <w:tcW w:w="1572" w:type="pct"/>
                    <w:shd w:val="clear" w:color="auto" w:fill="auto"/>
                    <w:vAlign w:val="center"/>
                  </w:tcPr>
                  <w:p>
                    <w:pPr>
                      <w:snapToGrid w:val="0"/>
                      <w:jc w:val="right"/>
                      <w:rPr>
                        <w:rFonts w:ascii="Times New Roman" w:hAnsi="Times New Roman" w:cs="Times New Roman"/>
                        <w:szCs w:val="21"/>
                      </w:rPr>
                    </w:pPr>
                    <w:r>
                      <w:rPr>
                        <w:rFonts w:ascii="Times New Roman" w:hAnsi="Times New Roman" w:cs="Times New Roman"/>
                      </w:rPr>
                      <w:t>959,371.43</w:t>
                    </w:r>
                  </w:p>
                </w:tc>
              </w:tr>
            </w:sdtContent>
          </w:sdt>
          <w:sdt>
            <w:sdtPr>
              <w:rPr>
                <w:rFonts w:ascii="Times New Roman" w:hAnsi="Times New Roman" w:cs="Times New Roman"/>
                <w:szCs w:val="21"/>
              </w:rPr>
              <w:alias w:val="其他流动资产明细"/>
              <w:tag w:val="_TUP_03a79c0b3d284671976e8b90399a3019"/>
              <w:id w:val="86572485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Times New Roman" w:hAnsi="Times New Roman" w:cs="Times New Roman"/>
                        <w:szCs w:val="21"/>
                      </w:rPr>
                    </w:pPr>
                    <w:r>
                      <w:rPr>
                        <w:rFonts w:ascii="Times New Roman" w:cs="Times New Roman"/>
                      </w:rPr>
                      <w:t>其他</w:t>
                    </w:r>
                  </w:p>
                </w:tc>
                <w:tc>
                  <w:tcPr>
                    <w:tcW w:w="1612" w:type="pct"/>
                    <w:shd w:val="clear" w:color="auto" w:fill="auto"/>
                    <w:vAlign w:val="center"/>
                  </w:tcPr>
                  <w:p>
                    <w:pPr>
                      <w:snapToGrid w:val="0"/>
                      <w:jc w:val="right"/>
                      <w:rPr>
                        <w:rFonts w:ascii="Times New Roman" w:hAnsi="Times New Roman" w:cs="Times New Roman"/>
                        <w:szCs w:val="21"/>
                      </w:rPr>
                    </w:pPr>
                  </w:p>
                </w:tc>
                <w:tc>
                  <w:tcPr>
                    <w:tcW w:w="1572" w:type="pct"/>
                    <w:shd w:val="clear" w:color="auto" w:fill="auto"/>
                    <w:vAlign w:val="center"/>
                  </w:tcPr>
                  <w:p>
                    <w:pPr>
                      <w:snapToGrid w:val="0"/>
                      <w:jc w:val="right"/>
                      <w:rPr>
                        <w:rFonts w:ascii="Times New Roman" w:hAnsi="Times New Roman" w:cs="Times New Roman"/>
                        <w:szCs w:val="21"/>
                      </w:rPr>
                    </w:pPr>
                    <w:r>
                      <w:rPr>
                        <w:rFonts w:ascii="Times New Roman" w:hAnsi="Times New Roman" w:cs="Times New Roman"/>
                      </w:rPr>
                      <w:t>4,493.45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465e07d25cf4e809cbdbfd02cac01c7"/>
                <w:id w:val="865724860"/>
                <w:lock w:val="sdtLocked"/>
              </w:sdtPr>
              <w:sdtEndPr>
                <w:rPr>
                  <w:rFonts w:ascii="Times New Roman" w:hAnsi="Times New Roman" w:cs="Times New Roman"/>
                </w:rPr>
              </w:sdtEndPr>
              <w:sdtContent>
                <w:tc>
                  <w:tcPr>
                    <w:tcW w:w="1816" w:type="pct"/>
                    <w:shd w:val="clear" w:color="auto" w:fill="auto"/>
                    <w:vAlign w:val="center"/>
                  </w:tcPr>
                  <w:p>
                    <w:pPr>
                      <w:snapToGrid w:val="0"/>
                      <w:ind w:left="-107" w:leftChars="-51"/>
                      <w:jc w:val="center"/>
                      <w:rPr>
                        <w:rFonts w:ascii="Times New Roman" w:hAnsi="Times New Roman" w:cs="Times New Roman"/>
                        <w:szCs w:val="21"/>
                      </w:rPr>
                    </w:pPr>
                    <w:r>
                      <w:rPr>
                        <w:rFonts w:ascii="Times New Roman" w:cs="Times New Roman"/>
                        <w:szCs w:val="21"/>
                      </w:rPr>
                      <w:t>合计</w:t>
                    </w:r>
                  </w:p>
                </w:tc>
              </w:sdtContent>
            </w:sdt>
            <w:tc>
              <w:tcPr>
                <w:tcW w:w="1612" w:type="pct"/>
                <w:shd w:val="clear" w:color="auto" w:fill="auto"/>
                <w:vAlign w:val="center"/>
              </w:tcPr>
              <w:p>
                <w:pPr>
                  <w:jc w:val="right"/>
                  <w:rPr>
                    <w:rFonts w:ascii="Times New Roman" w:hAnsi="Times New Roman" w:cs="Times New Roman"/>
                    <w:sz w:val="24"/>
                  </w:rPr>
                </w:pPr>
                <w:r>
                  <w:rPr>
                    <w:rFonts w:ascii="Times New Roman" w:hAnsi="Times New Roman" w:cs="Times New Roman"/>
                  </w:rPr>
                  <w:t>5,130,370.53</w:t>
                </w:r>
              </w:p>
            </w:tc>
            <w:tc>
              <w:tcPr>
                <w:tcW w:w="1572" w:type="pct"/>
                <w:shd w:val="clear" w:color="auto" w:fill="auto"/>
                <w:vAlign w:val="center"/>
              </w:tcPr>
              <w:p>
                <w:pPr>
                  <w:jc w:val="right"/>
                  <w:rPr>
                    <w:rFonts w:ascii="Times New Roman" w:hAnsi="Times New Roman" w:cs="Times New Roman"/>
                    <w:sz w:val="24"/>
                  </w:rPr>
                </w:pPr>
                <w:r>
                  <w:rPr>
                    <w:rFonts w:ascii="Times New Roman" w:hAnsi="Times New Roman" w:cs="Times New Roman"/>
                  </w:rPr>
                  <w:t>4,055,699.37</w:t>
                </w:r>
              </w:p>
            </w:tc>
          </w:tr>
        </w:tbl>
        <w:p/>
        <w:p>
          <w:pPr>
            <w:rPr>
              <w:rFonts w:ascii="Times New Roman" w:hAnsi="Times New Roman" w:cs="Times New Roman"/>
              <w:szCs w:val="21"/>
            </w:rPr>
          </w:pPr>
          <w:r>
            <w:rPr>
              <w:rFonts w:ascii="Times New Roman" w:cs="Times New Roman"/>
              <w:szCs w:val="21"/>
            </w:rPr>
            <w:t>其他说明</w:t>
          </w:r>
        </w:p>
        <w:sdt>
          <w:sdtPr>
            <w:rPr>
              <w:rFonts w:ascii="Times New Roman" w:hAnsi="Times New Roman" w:cs="Times New Roman"/>
              <w:szCs w:val="21"/>
            </w:rPr>
            <w:alias w:val="其他流动资产说明"/>
            <w:tag w:val="_GBC_6b66243025624716a85c25ca534f7d52"/>
            <w:id w:val="865724861"/>
            <w:lock w:val="sdtLocked"/>
            <w:placeholder>
              <w:docPart w:val="GBC22222222222222222222222222222"/>
            </w:placeholder>
          </w:sdtPr>
          <w:sdtEndPr>
            <w:rPr>
              <w:rFonts w:ascii="Times New Roman" w:hAnsi="Times New Roman" w:cs="Times New Roman"/>
              <w:szCs w:val="21"/>
            </w:rPr>
          </w:sdtEndPr>
          <w:sdtContent>
            <w:p>
              <w:pPr>
                <w:rPr>
                  <w:rFonts w:ascii="Times New Roman" w:hAnsi="Times New Roman" w:cs="Times New Roman"/>
                  <w:szCs w:val="21"/>
                </w:rPr>
              </w:pPr>
              <w:r>
                <w:rPr>
                  <w:rFonts w:ascii="Times New Roman" w:cs="Times New Roman"/>
                  <w:color w:val="000000"/>
                  <w:szCs w:val="21"/>
                </w:rPr>
                <w:t>期初其他流动资产余额为</w:t>
              </w:r>
              <w:r>
                <w:rPr>
                  <w:rFonts w:ascii="Times New Roman" w:hAnsi="Times New Roman" w:cs="Times New Roman"/>
                  <w:color w:val="000000"/>
                  <w:szCs w:val="21"/>
                </w:rPr>
                <w:t>4,055,699.37</w:t>
              </w:r>
              <w:r>
                <w:rPr>
                  <w:rFonts w:ascii="Times New Roman" w:cs="Times New Roman"/>
                  <w:color w:val="000000"/>
                  <w:szCs w:val="21"/>
                </w:rPr>
                <w:t>元，上年期末其他流动资产余额为</w:t>
              </w:r>
              <w:r>
                <w:rPr>
                  <w:rFonts w:ascii="Times New Roman" w:hAnsi="Times New Roman" w:cs="Times New Roman"/>
                  <w:color w:val="000000"/>
                  <w:szCs w:val="21"/>
                </w:rPr>
                <w:t>4,486,019.37</w:t>
              </w:r>
              <w:r>
                <w:rPr>
                  <w:rFonts w:ascii="Times New Roman" w:cs="Times New Roman"/>
                  <w:color w:val="000000"/>
                  <w:szCs w:val="21"/>
                </w:rPr>
                <w:t>元，差异</w:t>
              </w:r>
              <w:r>
                <w:rPr>
                  <w:rFonts w:ascii="Times New Roman" w:hAnsi="Times New Roman" w:cs="Times New Roman"/>
                  <w:color w:val="000000"/>
                  <w:szCs w:val="21"/>
                </w:rPr>
                <w:t>430,320.00</w:t>
              </w:r>
              <w:r>
                <w:rPr>
                  <w:rFonts w:ascii="Times New Roman" w:cs="Times New Roman"/>
                  <w:color w:val="000000"/>
                  <w:szCs w:val="21"/>
                </w:rPr>
                <w:t>元系首次执行新租赁准则调整期初财务报表所致。</w:t>
              </w:r>
            </w:p>
          </w:sdtContent>
        </w:sdt>
        <w:p>
          <w:pPr>
            <w:rPr>
              <w:rFonts w:ascii="Times New Roman" w:hAnsi="Times New Roman" w:cs="Times New Roman"/>
              <w:szCs w:val="21"/>
            </w:rPr>
          </w:pPr>
        </w:p>
      </w:sdtContent>
    </w:sdt>
    <w:bookmarkEnd w:id="167"/>
    <w:sdt>
      <w:sdtPr>
        <w:rPr>
          <w:rFonts w:hint="eastAsia" w:ascii="宋体" w:hAnsi="宋体" w:cs="宋体"/>
          <w:b w:val="0"/>
          <w:bCs w:val="0"/>
          <w:kern w:val="0"/>
          <w:szCs w:val="24"/>
        </w:rPr>
        <w:alias w:val="模块:债权投资情况"/>
        <w:tag w:val="_SEC_14d51d39f7d5436a8f41f898c206e930"/>
        <w:id w:val="86572486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79"/>
            </w:numPr>
            <w:tabs>
              <w:tab w:val="left" w:pos="504"/>
            </w:tabs>
          </w:pPr>
          <w:bookmarkStart w:id="168" w:name="_Hlk533409588"/>
          <w:r>
            <w:rPr>
              <w:rFonts w:hint="eastAsia"/>
            </w:rPr>
            <w:t>债权投资</w:t>
          </w:r>
        </w:p>
        <w:p>
          <w:pPr>
            <w:pStyle w:val="5"/>
            <w:numPr>
              <w:ilvl w:val="3"/>
              <w:numId w:val="86"/>
            </w:numPr>
            <w:ind w:left="426" w:hanging="426"/>
          </w:pPr>
          <w:bookmarkStart w:id="169" w:name="_Hlk532993723"/>
          <w:r>
            <w:rPr>
              <w:rFonts w:hint="eastAsia"/>
            </w:rPr>
            <w:t>债权投资情况</w:t>
          </w:r>
        </w:p>
        <w:sdt>
          <w:sdtPr>
            <w:alias w:val="是否适用：以摊余成本计量的长期债权投资[双击切换]"/>
            <w:tag w:val="_GBC_dbc7f90615cc46578228904cb4aa1cff"/>
            <w:id w:val="865724863"/>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期末重要的债权投资"/>
        <w:tag w:val="_SEC_9590e8ecc5d3406198e45c28b530ea74"/>
        <w:id w:val="865724866"/>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3"/>
              <w:numId w:val="86"/>
            </w:numPr>
            <w:ind w:left="426" w:hanging="426"/>
          </w:pPr>
          <w:bookmarkStart w:id="170" w:name="_Hlk532994191"/>
          <w:r>
            <w:rPr>
              <w:rFonts w:hint="eastAsia"/>
            </w:rPr>
            <w:t>期末重要的债权投资</w:t>
          </w:r>
        </w:p>
        <w:sdt>
          <w:sdtPr>
            <w:alias w:val="是否适用：重要的债权投资[双击切换]"/>
            <w:tag w:val="_GBC_ca6db275ff8944c2900ec34693d6ebf6"/>
            <w:id w:val="865724865"/>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8"/>
    <w:bookmarkEnd w:id="169"/>
    <w:bookmarkEnd w:id="170"/>
    <w:sdt>
      <w:sdtPr>
        <w:rPr>
          <w:rFonts w:hint="eastAsia" w:ascii="宋体" w:hAnsi="宋体" w:eastAsia="宋体" w:cs="宋体"/>
          <w:b w:val="0"/>
          <w:bCs w:val="0"/>
          <w:kern w:val="0"/>
          <w:szCs w:val="24"/>
        </w:rPr>
        <w:alias w:val="模块:减值准备计提情况"/>
        <w:tag w:val="_SEC_5933b4ff0aa1441d91a30454dd600143"/>
        <w:id w:val="865724868"/>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3"/>
              <w:numId w:val="86"/>
            </w:numPr>
            <w:ind w:left="426" w:hanging="426"/>
          </w:pPr>
          <w:bookmarkStart w:id="171" w:name="_Hlk533872317"/>
          <w:r>
            <w:rPr>
              <w:rFonts w:hint="eastAsia" w:ascii="宋体" w:hAnsi="宋体" w:eastAsia="宋体" w:cs="宋体"/>
              <w:bCs w:val="0"/>
              <w:kern w:val="0"/>
              <w:szCs w:val="24"/>
            </w:rPr>
            <w:t>减值准备计提情况</w:t>
          </w:r>
        </w:p>
        <w:sdt>
          <w:sdtPr>
            <w:alias w:val="是否适用：债权投资减值准备调节表[双击切换]"/>
            <w:tag w:val="_GBC_686136d6dd874d559865e7aa5dd1a835"/>
            <w:id w:val="865724867"/>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105" w:rightChars="50"/>
            <w:rPr>
              <w:szCs w:val="21"/>
            </w:rPr>
          </w:pPr>
        </w:p>
        <w:p>
          <w:pPr>
            <w:autoSpaceDE w:val="0"/>
            <w:autoSpaceDN w:val="0"/>
            <w:adjustRightInd w:val="0"/>
            <w:ind w:right="105" w:rightChars="50"/>
            <w:rPr>
              <w:szCs w:val="21"/>
            </w:rPr>
          </w:pPr>
        </w:p>
      </w:sdtContent>
    </w:sdt>
    <w:bookmarkEnd w:id="171"/>
    <w:sdt>
      <w:sdtPr>
        <w:rPr>
          <w:rFonts w:hint="eastAsia" w:ascii="宋体" w:hAnsi="宋体" w:cs="宋体"/>
          <w:b/>
          <w:bCs/>
          <w:kern w:val="0"/>
          <w:szCs w:val="24"/>
        </w:rPr>
        <w:alias w:val="模块:本期减值准备计提金额以及评估金融工具的信用风险是否显著增加的采用依据"/>
        <w:tag w:val="_SEC_040e62d42619437596c68d45a7cf057c"/>
        <w:id w:val="865724870"/>
        <w:lock w:val="sdtLocked"/>
        <w:placeholder>
          <w:docPart w:val="GBC22222222222222222222222222222"/>
        </w:placeholder>
      </w:sdtPr>
      <w:sdtEndPr>
        <w:rPr>
          <w:rFonts w:hint="default" w:ascii="宋体" w:hAnsi="宋体" w:cs="宋体"/>
          <w:b w:val="0"/>
          <w:bCs w:val="0"/>
          <w:kern w:val="0"/>
          <w:szCs w:val="24"/>
        </w:rPr>
      </w:sdtEndPr>
      <w:sdtContent>
        <w:p>
          <w:pPr>
            <w:pStyle w:val="72"/>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865724869"/>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szCs w:val="21"/>
        </w:rPr>
        <w:alias w:val="模块:债券投资其他说明"/>
        <w:tag w:val="_SEC_81d8c27b48964e40adc85851e95f5fe8"/>
        <w:id w:val="865724872"/>
        <w:lock w:val="sdtLocked"/>
        <w:placeholder>
          <w:docPart w:val="GBC22222222222222222222222222222"/>
        </w:placeholder>
      </w:sdtPr>
      <w:sdtEndPr>
        <w:rPr>
          <w:rFonts w:hint="default"/>
          <w:szCs w:val="24"/>
        </w:rPr>
      </w:sdtEndPr>
      <w:sdtContent>
        <w:p>
          <w:pPr>
            <w:rPr>
              <w:szCs w:val="21"/>
            </w:rPr>
          </w:pPr>
          <w:r>
            <w:rPr>
              <w:rFonts w:hint="eastAsia"/>
              <w:szCs w:val="21"/>
            </w:rPr>
            <w:t>其他说明</w:t>
          </w:r>
        </w:p>
        <w:sdt>
          <w:sdtPr>
            <w:alias w:val="是否适用：债权投资其他说明[双击切换]"/>
            <w:tag w:val="_GBC_17cf4c675aec4f36816c24c079df205c"/>
            <w:id w:val="865724871"/>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sdtContent>
    </w:sdt>
    <w:sdt>
      <w:sdtPr>
        <w:rPr>
          <w:rFonts w:hint="eastAsia" w:ascii="宋体" w:hAnsi="宋体" w:cs="宋体"/>
          <w:b w:val="0"/>
          <w:bCs w:val="0"/>
          <w:kern w:val="0"/>
          <w:szCs w:val="24"/>
        </w:rPr>
        <w:alias w:val="模块:其他债权投资情况"/>
        <w:tag w:val="_SEC_45dbf962086b4d8eb08561c0bbb52ee7"/>
        <w:id w:val="865724874"/>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79"/>
            </w:numPr>
            <w:tabs>
              <w:tab w:val="left" w:pos="504"/>
            </w:tabs>
          </w:pPr>
          <w:r>
            <w:rPr>
              <w:rFonts w:hint="eastAsia"/>
            </w:rPr>
            <w:t>其他债权投资</w:t>
          </w:r>
        </w:p>
        <w:p>
          <w:pPr>
            <w:pStyle w:val="5"/>
            <w:numPr>
              <w:ilvl w:val="3"/>
              <w:numId w:val="87"/>
            </w:numPr>
            <w:ind w:left="426" w:hanging="426"/>
          </w:pPr>
          <w:r>
            <w:rPr>
              <w:rFonts w:hint="eastAsia"/>
            </w:rPr>
            <w:t>其他债权投资情况</w:t>
          </w:r>
        </w:p>
        <w:sdt>
          <w:sdtPr>
            <w:alias w:val="是否适用：其他债权投资情况[双击切换]"/>
            <w:tag w:val="_GBC_23599130a9db43be881f1fb4a46d3b7e"/>
            <w:id w:val="865724873"/>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期末重要的其他债权投资"/>
        <w:tag w:val="_SEC_44eeb7a9a2664cfb8bc2bf6709356388"/>
        <w:id w:val="865724876"/>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87"/>
            </w:numPr>
            <w:ind w:left="426" w:hanging="426"/>
          </w:pPr>
          <w:bookmarkStart w:id="172" w:name="_Hlk533848078"/>
          <w:r>
            <w:rPr>
              <w:rFonts w:hint="eastAsia"/>
            </w:rPr>
            <w:t>期末重要的其他债权投资</w:t>
          </w:r>
        </w:p>
        <w:sdt>
          <w:sdtPr>
            <w:alias w:val="是否适用：重要的其他债权投资[双击切换]"/>
            <w:tag w:val="_GBC_bb82f40f19284b2489199fbaa477b35c"/>
            <w:id w:val="865724875"/>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2"/>
    <w:sdt>
      <w:sdtPr>
        <w:rPr>
          <w:rFonts w:hint="eastAsia" w:ascii="宋体" w:hAnsi="宋体" w:eastAsia="宋体" w:cs="宋体"/>
          <w:b w:val="0"/>
          <w:bCs w:val="0"/>
          <w:kern w:val="0"/>
          <w:szCs w:val="24"/>
        </w:rPr>
        <w:alias w:val="模块:减值准备计提情况"/>
        <w:tag w:val="_SEC_43c61e1bfcad49d9a2d7d8b43d392735"/>
        <w:id w:val="865724878"/>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3"/>
              <w:numId w:val="87"/>
            </w:numPr>
            <w:ind w:left="426" w:hanging="426"/>
          </w:pPr>
          <w:bookmarkStart w:id="173" w:name="_Hlk533872678"/>
          <w:r>
            <w:rPr>
              <w:rFonts w:hint="eastAsia" w:ascii="宋体" w:hAnsi="宋体" w:eastAsia="宋体" w:cs="宋体"/>
              <w:bCs w:val="0"/>
              <w:kern w:val="0"/>
              <w:szCs w:val="24"/>
            </w:rPr>
            <w:t>减值准备计提情况</w:t>
          </w:r>
        </w:p>
        <w:sdt>
          <w:sdtPr>
            <w:alias w:val="是否适用：其他债权投资减值准备调节表[双击切换]"/>
            <w:tag w:val="_GBC_4fb0e145a1004885abb87d20ed68a2ed"/>
            <w:id w:val="86572487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73"/>
    <w:sdt>
      <w:sdtPr>
        <w:rPr>
          <w:rFonts w:hint="eastAsia" w:ascii="宋体" w:hAnsi="宋体" w:cs="宋体"/>
          <w:b/>
          <w:bCs/>
          <w:kern w:val="0"/>
          <w:szCs w:val="24"/>
        </w:rPr>
        <w:alias w:val="模块:本期减值准备计提金额以及评估金融工具的信用风险是否显著增加的..."/>
        <w:tag w:val="_SEC_dd9ad0da12d84bd799c60de7b6243679"/>
        <w:id w:val="865724880"/>
        <w:lock w:val="sdtLocked"/>
        <w:placeholder>
          <w:docPart w:val="GBC22222222222222222222222222222"/>
        </w:placeholder>
      </w:sdtPr>
      <w:sdtEndPr>
        <w:rPr>
          <w:rFonts w:hint="default" w:ascii="宋体" w:hAnsi="宋体" w:cs="宋体"/>
          <w:b w:val="0"/>
          <w:bCs w:val="0"/>
          <w:kern w:val="0"/>
          <w:szCs w:val="24"/>
        </w:rPr>
      </w:sdtEndPr>
      <w:sdtContent>
        <w:p>
          <w:pPr>
            <w:pStyle w:val="72"/>
          </w:pPr>
          <w:bookmarkStart w:id="174" w:name="_Hlk533848073"/>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865724879"/>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sdtContent>
    </w:sdt>
    <w:bookmarkEnd w:id="174"/>
    <w:sdt>
      <w:sdtPr>
        <w:rPr>
          <w:rFonts w:hint="eastAsia"/>
        </w:rPr>
        <w:alias w:val="模块:其他债权投资其他说明"/>
        <w:tag w:val="_SEC_dc2e57efff8f4436957f51feebac7226"/>
        <w:id w:val="865724882"/>
        <w:lock w:val="sdtLocked"/>
        <w:placeholder>
          <w:docPart w:val="GBC22222222222222222222222222222"/>
        </w:placeholder>
      </w:sdtPr>
      <w:sdtEndPr>
        <w:rPr>
          <w:rFonts w:hint="default"/>
        </w:rPr>
      </w:sdtEndPr>
      <w:sdtContent>
        <w:p>
          <w:bookmarkStart w:id="175" w:name="_Hlk533848097"/>
          <w:r>
            <w:rPr>
              <w:rFonts w:hint="eastAsia"/>
            </w:rPr>
            <w:t>其他说明：</w:t>
          </w:r>
          <w:bookmarkEnd w:id="175"/>
        </w:p>
        <w:sdt>
          <w:sdtPr>
            <w:alias w:val="是否适用：其他债权投资其他说明[双击切换]"/>
            <w:tag w:val="_GBC_ce8084fd599f45febc44624db662adaa"/>
            <w:id w:val="86572488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p>
      <w:pPr>
        <w:pStyle w:val="4"/>
        <w:numPr>
          <w:ilvl w:val="0"/>
          <w:numId w:val="79"/>
        </w:numPr>
        <w:tabs>
          <w:tab w:val="left" w:pos="504"/>
        </w:tabs>
        <w:rPr>
          <w:rFonts w:ascii="宋体" w:hAnsi="宋体"/>
          <w:szCs w:val="21"/>
        </w:rPr>
      </w:pPr>
      <w:r>
        <w:rPr>
          <w:rFonts w:hint="eastAsia" w:ascii="宋体" w:hAnsi="宋体"/>
          <w:szCs w:val="21"/>
        </w:rPr>
        <w:t>长期应收款</w:t>
      </w:r>
    </w:p>
    <w:sdt>
      <w:sdtPr>
        <w:rPr>
          <w:rFonts w:hint="eastAsia" w:ascii="宋体" w:hAnsi="宋体" w:eastAsia="宋体" w:cs="宋体"/>
          <w:b w:val="0"/>
          <w:bCs w:val="0"/>
          <w:kern w:val="0"/>
          <w:szCs w:val="24"/>
        </w:rPr>
        <w:alias w:val="模块:长期应收款"/>
        <w:tag w:val="_SEC_03910fcb1d7b4c9e888090eddf49d0f5"/>
        <w:id w:val="865724903"/>
        <w:lock w:val="sdtLocked"/>
        <w:placeholder>
          <w:docPart w:val="GBC22222222222222222222222222222"/>
        </w:placeholder>
      </w:sdtPr>
      <w:sdtEndPr>
        <w:rPr>
          <w:rFonts w:hint="default" w:cs="Times New Roman" w:asciiTheme="minorEastAsia" w:hAnsiTheme="minorEastAsia" w:eastAsiaTheme="minorEastAsia"/>
          <w:b/>
          <w:bCs/>
          <w:color w:val="FF0000"/>
          <w:kern w:val="2"/>
          <w:szCs w:val="21"/>
        </w:rPr>
      </w:sdtEndPr>
      <w:sdtContent>
        <w:p>
          <w:pPr>
            <w:pStyle w:val="5"/>
            <w:numPr>
              <w:ilvl w:val="3"/>
              <w:numId w:val="88"/>
            </w:numPr>
            <w:ind w:left="426" w:hanging="426"/>
          </w:pPr>
          <w:r>
            <w:rPr>
              <w:rFonts w:hint="eastAsia"/>
            </w:rPr>
            <w:t>长期应收款情况</w:t>
          </w:r>
        </w:p>
        <w:sdt>
          <w:sdtPr>
            <w:alias w:val="是否适用：长期应收款情况[双击切换]"/>
            <w:tag w:val="_GBC_0c54e576828240c482e58c8a9f7cd173"/>
            <w:id w:val="-2082364011"/>
            <w:lock w:val="sdtLocked"/>
          </w:sdtPr>
          <w:sdtContent>
            <w:p>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应收款"/>
              <w:tag w:val="_GBC_83e90e099c524c00ad00f3262465133a"/>
              <w:id w:val="1516497827"/>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0575864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1182"/>
            <w:gridCol w:w="946"/>
            <w:gridCol w:w="1182"/>
            <w:gridCol w:w="947"/>
            <w:gridCol w:w="947"/>
            <w:gridCol w:w="966"/>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79a5a5db414628bc47ed54fb917eb5"/>
                <w:id w:val="-1242717289"/>
                <w:lock w:val="sdtLocked"/>
              </w:sdtPr>
              <w:sdtContent>
                <w:tc>
                  <w:tcPr>
                    <w:tcW w:w="1110"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9a36ea2203424631bf208c9515121cc2"/>
                <w:id w:val="791010270"/>
                <w:lock w:val="sdtLocked"/>
              </w:sdtPr>
              <w:sdtContent>
                <w:tc>
                  <w:tcPr>
                    <w:tcW w:w="182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期末余额</w:t>
                    </w:r>
                  </w:p>
                </w:tc>
              </w:sdtContent>
            </w:sdt>
            <w:sdt>
              <w:sdtPr>
                <w:tag w:val="_PLD_03d144ce33e04be682481d2a013c13af"/>
                <w:id w:val="1025909016"/>
                <w:lock w:val="sdtLocked"/>
              </w:sdtPr>
              <w:sdtContent>
                <w:tc>
                  <w:tcPr>
                    <w:tcW w:w="158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期初余额</w:t>
                    </w:r>
                  </w:p>
                </w:tc>
              </w:sdtContent>
            </w:sdt>
            <w:sdt>
              <w:sdtPr>
                <w:tag w:val="_PLD_19a494fc04ce4efba377e98e304b04d0"/>
                <w:id w:val="-327371166"/>
                <w:lock w:val="sdtLocked"/>
              </w:sdtPr>
              <w:sdtContent>
                <w:tc>
                  <w:tcPr>
                    <w:tcW w:w="481"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折现率区间</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110" w:type="pct"/>
                <w:vMerge w:val="continue"/>
                <w:tcBorders>
                  <w:left w:val="single" w:color="auto" w:sz="4" w:space="0"/>
                  <w:bottom w:val="single" w:color="auto" w:sz="6" w:space="0"/>
                  <w:right w:val="single" w:color="auto" w:sz="4" w:space="0"/>
                </w:tcBorders>
                <w:shd w:val="clear" w:color="auto" w:fill="auto"/>
                <w:vAlign w:val="center"/>
              </w:tcPr>
              <w:p>
                <w:pPr>
                  <w:jc w:val="center"/>
                  <w:rPr>
                    <w:szCs w:val="21"/>
                  </w:rPr>
                </w:pPr>
              </w:p>
            </w:tc>
            <w:sdt>
              <w:sdtPr>
                <w:tag w:val="_PLD_c0fe744fa9744e57b65a03499c0b9370"/>
                <w:id w:val="1077480216"/>
                <w:lock w:val="sdtLocked"/>
              </w:sdtPr>
              <w:sdtContent>
                <w:tc>
                  <w:tcPr>
                    <w:tcW w:w="653" w:type="pct"/>
                    <w:tcBorders>
                      <w:left w:val="single" w:color="auto" w:sz="4" w:space="0"/>
                      <w:bottom w:val="single" w:color="auto" w:sz="6" w:space="0"/>
                    </w:tcBorders>
                    <w:shd w:val="clear" w:color="auto" w:fill="auto"/>
                    <w:vAlign w:val="center"/>
                  </w:tcPr>
                  <w:p>
                    <w:pPr>
                      <w:jc w:val="center"/>
                      <w:rPr>
                        <w:szCs w:val="21"/>
                      </w:rPr>
                    </w:pPr>
                    <w:r>
                      <w:rPr>
                        <w:rFonts w:hint="eastAsia"/>
                        <w:szCs w:val="21"/>
                      </w:rPr>
                      <w:t>账面余额</w:t>
                    </w:r>
                  </w:p>
                </w:tc>
              </w:sdtContent>
            </w:sdt>
            <w:sdt>
              <w:sdtPr>
                <w:tag w:val="_PLD_77ffaa95600c4c8d82666d2fa1a55587"/>
                <w:id w:val="-573199346"/>
                <w:lock w:val="sdtLocked"/>
              </w:sdtPr>
              <w:sdtContent>
                <w:tc>
                  <w:tcPr>
                    <w:tcW w:w="523" w:type="pct"/>
                    <w:tcBorders>
                      <w:bottom w:val="single" w:color="auto" w:sz="6" w:space="0"/>
                    </w:tcBorders>
                    <w:shd w:val="clear" w:color="auto" w:fill="auto"/>
                    <w:vAlign w:val="center"/>
                  </w:tcPr>
                  <w:p>
                    <w:pPr>
                      <w:jc w:val="center"/>
                      <w:rPr>
                        <w:szCs w:val="21"/>
                      </w:rPr>
                    </w:pPr>
                    <w:r>
                      <w:rPr>
                        <w:rFonts w:hint="eastAsia"/>
                        <w:szCs w:val="21"/>
                      </w:rPr>
                      <w:t>坏账准备</w:t>
                    </w:r>
                  </w:p>
                </w:tc>
              </w:sdtContent>
            </w:sdt>
            <w:sdt>
              <w:sdtPr>
                <w:tag w:val="_PLD_b4a8209a5fa445268b4557f9b0cea931"/>
                <w:id w:val="28230329"/>
                <w:lock w:val="sdtLocked"/>
              </w:sdtPr>
              <w:sdtContent>
                <w:tc>
                  <w:tcPr>
                    <w:tcW w:w="653" w:type="pct"/>
                    <w:tcBorders>
                      <w:bottom w:val="single" w:color="auto" w:sz="6" w:space="0"/>
                    </w:tcBorders>
                    <w:shd w:val="clear" w:color="auto" w:fill="auto"/>
                    <w:vAlign w:val="center"/>
                  </w:tcPr>
                  <w:p>
                    <w:pPr>
                      <w:jc w:val="center"/>
                      <w:rPr>
                        <w:szCs w:val="21"/>
                      </w:rPr>
                    </w:pPr>
                    <w:r>
                      <w:rPr>
                        <w:rFonts w:hint="eastAsia"/>
                        <w:szCs w:val="21"/>
                      </w:rPr>
                      <w:t>账面价值</w:t>
                    </w:r>
                  </w:p>
                </w:tc>
              </w:sdtContent>
            </w:sdt>
            <w:sdt>
              <w:sdtPr>
                <w:tag w:val="_PLD_8f25a17bc1634cc893a4d67aa1847b6a"/>
                <w:id w:val="-2005112525"/>
                <w:lock w:val="sdtLocked"/>
              </w:sdtPr>
              <w:sdtContent>
                <w:tc>
                  <w:tcPr>
                    <w:tcW w:w="523" w:type="pct"/>
                    <w:tcBorders>
                      <w:bottom w:val="single" w:color="auto" w:sz="6" w:space="0"/>
                    </w:tcBorders>
                    <w:shd w:val="clear" w:color="auto" w:fill="auto"/>
                    <w:vAlign w:val="center"/>
                  </w:tcPr>
                  <w:p>
                    <w:pPr>
                      <w:jc w:val="center"/>
                      <w:rPr>
                        <w:szCs w:val="21"/>
                      </w:rPr>
                    </w:pPr>
                    <w:r>
                      <w:rPr>
                        <w:rFonts w:hint="eastAsia"/>
                        <w:szCs w:val="21"/>
                      </w:rPr>
                      <w:t>账面余额</w:t>
                    </w:r>
                  </w:p>
                </w:tc>
              </w:sdtContent>
            </w:sdt>
            <w:sdt>
              <w:sdtPr>
                <w:tag w:val="_PLD_a654b9f6a8cf4e1797c1b5ccb7073aa0"/>
                <w:id w:val="453838584"/>
                <w:lock w:val="sdtLocked"/>
              </w:sdtPr>
              <w:sdtContent>
                <w:tc>
                  <w:tcPr>
                    <w:tcW w:w="523" w:type="pct"/>
                    <w:tcBorders>
                      <w:bottom w:val="single" w:color="auto" w:sz="6" w:space="0"/>
                    </w:tcBorders>
                    <w:shd w:val="clear" w:color="auto" w:fill="auto"/>
                    <w:vAlign w:val="center"/>
                  </w:tcPr>
                  <w:p>
                    <w:pPr>
                      <w:jc w:val="center"/>
                      <w:rPr>
                        <w:szCs w:val="21"/>
                      </w:rPr>
                    </w:pPr>
                    <w:r>
                      <w:rPr>
                        <w:rFonts w:hint="eastAsia"/>
                        <w:szCs w:val="21"/>
                      </w:rPr>
                      <w:t>坏账准备</w:t>
                    </w:r>
                  </w:p>
                </w:tc>
              </w:sdtContent>
            </w:sdt>
            <w:sdt>
              <w:sdtPr>
                <w:tag w:val="_PLD_bccad3095dd04c1e9d8e38cc94818670"/>
                <w:id w:val="-1711637527"/>
                <w:lock w:val="sdtLocked"/>
              </w:sdtPr>
              <w:sdtContent>
                <w:tc>
                  <w:tcPr>
                    <w:tcW w:w="534" w:type="pct"/>
                    <w:tcBorders>
                      <w:bottom w:val="single" w:color="auto" w:sz="6" w:space="0"/>
                      <w:right w:val="single" w:color="auto" w:sz="4" w:space="0"/>
                    </w:tcBorders>
                    <w:shd w:val="clear" w:color="auto" w:fill="auto"/>
                    <w:vAlign w:val="center"/>
                  </w:tcPr>
                  <w:p>
                    <w:pPr>
                      <w:jc w:val="center"/>
                      <w:rPr>
                        <w:szCs w:val="21"/>
                      </w:rPr>
                    </w:pPr>
                    <w:r>
                      <w:rPr>
                        <w:rFonts w:hint="eastAsia"/>
                        <w:szCs w:val="21"/>
                      </w:rPr>
                      <w:t>账面价值</w:t>
                    </w:r>
                  </w:p>
                </w:tc>
              </w:sdtContent>
            </w:sdt>
            <w:tc>
              <w:tcPr>
                <w:tcW w:w="481" w:type="pct"/>
                <w:vMerge w:val="continue"/>
                <w:tcBorders>
                  <w:left w:val="single" w:color="auto" w:sz="4" w:space="0"/>
                  <w:bottom w:val="single" w:color="auto" w:sz="6" w:space="0"/>
                  <w:right w:val="single" w:color="auto" w:sz="4" w:space="0"/>
                </w:tcBorders>
                <w:shd w:val="clear" w:color="auto" w:fill="auto"/>
              </w:tcPr>
              <w:p>
                <w:pPr>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6014f13de0394ff9853d0e9ee8fd804e"/>
                <w:id w:val="-317346184"/>
                <w:lock w:val="sdtLocked"/>
              </w:sdtPr>
              <w:sdtContent>
                <w:tc>
                  <w:tcPr>
                    <w:tcW w:w="1110" w:type="pct"/>
                    <w:shd w:val="clear" w:color="auto" w:fill="auto"/>
                  </w:tcPr>
                  <w:p>
                    <w:pPr>
                      <w:rPr>
                        <w:szCs w:val="21"/>
                      </w:rPr>
                    </w:pPr>
                    <w:r>
                      <w:rPr>
                        <w:rFonts w:hint="eastAsia"/>
                        <w:szCs w:val="21"/>
                      </w:rPr>
                      <w:t>融资租赁款</w:t>
                    </w:r>
                  </w:p>
                </w:tc>
              </w:sdtContent>
            </w:sdt>
            <w:tc>
              <w:tcPr>
                <w:tcW w:w="653" w:type="pct"/>
                <w:shd w:val="clear" w:color="auto" w:fill="auto"/>
                <w:vAlign w:val="center"/>
              </w:tcPr>
              <w:p>
                <w:pPr>
                  <w:ind w:right="105" w:rightChars="50"/>
                  <w:jc w:val="right"/>
                  <w:rPr>
                    <w:rFonts w:ascii="Times New Roman" w:hAnsi="Times New Roman" w:cs="Times New Roman"/>
                    <w:szCs w:val="21"/>
                  </w:rPr>
                </w:pPr>
                <w:r>
                  <w:rPr>
                    <w:rFonts w:ascii="Times New Roman" w:hAnsi="Times New Roman" w:cs="Times New Roman"/>
                    <w:szCs w:val="21"/>
                  </w:rPr>
                  <w:t>635,007.93</w:t>
                </w:r>
              </w:p>
            </w:tc>
            <w:tc>
              <w:tcPr>
                <w:tcW w:w="523" w:type="pct"/>
                <w:shd w:val="clear" w:color="auto" w:fill="auto"/>
                <w:vAlign w:val="center"/>
              </w:tcPr>
              <w:p>
                <w:pPr>
                  <w:ind w:right="105" w:rightChars="50"/>
                  <w:jc w:val="right"/>
                  <w:rPr>
                    <w:rFonts w:ascii="Times New Roman" w:hAnsi="Times New Roman" w:cs="Times New Roman"/>
                    <w:szCs w:val="21"/>
                  </w:rPr>
                </w:pPr>
              </w:p>
            </w:tc>
            <w:tc>
              <w:tcPr>
                <w:tcW w:w="653" w:type="pct"/>
                <w:shd w:val="clear" w:color="auto" w:fill="auto"/>
                <w:vAlign w:val="center"/>
              </w:tcPr>
              <w:p>
                <w:pPr>
                  <w:ind w:right="105" w:rightChars="50"/>
                  <w:jc w:val="right"/>
                  <w:rPr>
                    <w:rFonts w:ascii="Times New Roman" w:hAnsi="Times New Roman" w:cs="Times New Roman"/>
                    <w:szCs w:val="21"/>
                  </w:rPr>
                </w:pPr>
                <w:r>
                  <w:rPr>
                    <w:rFonts w:ascii="Times New Roman" w:hAnsi="Times New Roman" w:cs="Times New Roman"/>
                    <w:szCs w:val="21"/>
                  </w:rPr>
                  <w:t>635,007.93</w:t>
                </w:r>
              </w:p>
            </w:tc>
            <w:tc>
              <w:tcPr>
                <w:tcW w:w="523" w:type="pct"/>
                <w:shd w:val="clear" w:color="auto" w:fill="auto"/>
              </w:tcPr>
              <w:p>
                <w:pPr>
                  <w:ind w:right="105" w:rightChars="50"/>
                  <w:jc w:val="right"/>
                  <w:rPr>
                    <w:szCs w:val="21"/>
                  </w:rPr>
                </w:pPr>
              </w:p>
            </w:tc>
            <w:tc>
              <w:tcPr>
                <w:tcW w:w="523" w:type="pct"/>
                <w:shd w:val="clear" w:color="auto" w:fill="auto"/>
              </w:tcPr>
              <w:p>
                <w:pPr>
                  <w:ind w:right="105" w:rightChars="50"/>
                  <w:jc w:val="right"/>
                  <w:rPr>
                    <w:szCs w:val="21"/>
                  </w:rPr>
                </w:pPr>
              </w:p>
            </w:tc>
            <w:tc>
              <w:tcPr>
                <w:tcW w:w="534" w:type="pct"/>
                <w:tcBorders>
                  <w:right w:val="single" w:color="auto" w:sz="4" w:space="0"/>
                </w:tcBorders>
                <w:shd w:val="clear" w:color="auto" w:fill="auto"/>
              </w:tcPr>
              <w:p>
                <w:pPr>
                  <w:ind w:right="105" w:rightChars="50"/>
                  <w:jc w:val="right"/>
                  <w:rPr>
                    <w:szCs w:val="21"/>
                  </w:rPr>
                </w:pPr>
              </w:p>
            </w:tc>
            <w:tc>
              <w:tcPr>
                <w:tcW w:w="481" w:type="pct"/>
                <w:tcBorders>
                  <w:left w:val="single" w:color="auto" w:sz="4" w:space="0"/>
                </w:tcBorders>
                <w:shd w:val="clear" w:color="auto" w:fill="auto"/>
              </w:tcPr>
              <w:p>
                <w:pPr>
                  <w:ind w:right="105" w:rightChars="50"/>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b95229b3437247d592ece1a210532761"/>
                <w:id w:val="-1491398442"/>
                <w:lock w:val="sdtLocked"/>
              </w:sdtPr>
              <w:sdtContent>
                <w:tc>
                  <w:tcPr>
                    <w:tcW w:w="1110" w:type="pct"/>
                    <w:shd w:val="clear" w:color="auto" w:fill="auto"/>
                  </w:tcPr>
                  <w:p>
                    <w:pPr>
                      <w:ind w:firstLine="420" w:firstLineChars="200"/>
                      <w:rPr>
                        <w:szCs w:val="21"/>
                      </w:rPr>
                    </w:pPr>
                    <w:r>
                      <w:rPr>
                        <w:rFonts w:hint="eastAsia"/>
                        <w:szCs w:val="21"/>
                      </w:rPr>
                      <w:t>其中：未实现融资收益</w:t>
                    </w:r>
                  </w:p>
                </w:tc>
              </w:sdtContent>
            </w:sdt>
            <w:tc>
              <w:tcPr>
                <w:tcW w:w="653" w:type="pct"/>
                <w:shd w:val="clear" w:color="auto" w:fill="auto"/>
                <w:vAlign w:val="center"/>
              </w:tcPr>
              <w:p>
                <w:pPr>
                  <w:ind w:right="105" w:rightChars="50"/>
                  <w:jc w:val="right"/>
                  <w:rPr>
                    <w:rFonts w:ascii="Times New Roman" w:hAnsi="Times New Roman" w:cs="Times New Roman"/>
                    <w:szCs w:val="21"/>
                  </w:rPr>
                </w:pPr>
              </w:p>
            </w:tc>
            <w:tc>
              <w:tcPr>
                <w:tcW w:w="523" w:type="pct"/>
                <w:shd w:val="clear" w:color="auto" w:fill="auto"/>
                <w:vAlign w:val="center"/>
              </w:tcPr>
              <w:p>
                <w:pPr>
                  <w:ind w:right="105" w:rightChars="50"/>
                  <w:jc w:val="right"/>
                  <w:rPr>
                    <w:rFonts w:ascii="Times New Roman" w:hAnsi="Times New Roman" w:cs="Times New Roman"/>
                    <w:szCs w:val="21"/>
                  </w:rPr>
                </w:pPr>
              </w:p>
            </w:tc>
            <w:tc>
              <w:tcPr>
                <w:tcW w:w="653" w:type="pct"/>
                <w:shd w:val="clear" w:color="auto" w:fill="auto"/>
                <w:vAlign w:val="center"/>
              </w:tcPr>
              <w:p>
                <w:pPr>
                  <w:ind w:right="105" w:rightChars="50"/>
                  <w:jc w:val="right"/>
                  <w:rPr>
                    <w:rFonts w:ascii="Times New Roman" w:hAnsi="Times New Roman" w:cs="Times New Roman"/>
                    <w:szCs w:val="21"/>
                  </w:rPr>
                </w:pPr>
              </w:p>
            </w:tc>
            <w:tc>
              <w:tcPr>
                <w:tcW w:w="523" w:type="pct"/>
                <w:shd w:val="clear" w:color="auto" w:fill="auto"/>
              </w:tcPr>
              <w:p>
                <w:pPr>
                  <w:ind w:right="105" w:rightChars="50"/>
                  <w:jc w:val="right"/>
                  <w:rPr>
                    <w:szCs w:val="21"/>
                  </w:rPr>
                </w:pPr>
              </w:p>
            </w:tc>
            <w:tc>
              <w:tcPr>
                <w:tcW w:w="523" w:type="pct"/>
                <w:shd w:val="clear" w:color="auto" w:fill="auto"/>
              </w:tcPr>
              <w:p>
                <w:pPr>
                  <w:ind w:right="105" w:rightChars="50"/>
                  <w:jc w:val="right"/>
                  <w:rPr>
                    <w:szCs w:val="21"/>
                  </w:rPr>
                </w:pPr>
              </w:p>
            </w:tc>
            <w:tc>
              <w:tcPr>
                <w:tcW w:w="534" w:type="pct"/>
                <w:tcBorders>
                  <w:right w:val="single" w:color="auto" w:sz="4" w:space="0"/>
                </w:tcBorders>
                <w:shd w:val="clear" w:color="auto" w:fill="auto"/>
              </w:tcPr>
              <w:p>
                <w:pPr>
                  <w:ind w:right="105" w:rightChars="50"/>
                  <w:jc w:val="right"/>
                  <w:rPr>
                    <w:szCs w:val="21"/>
                  </w:rPr>
                </w:pPr>
              </w:p>
            </w:tc>
            <w:tc>
              <w:tcPr>
                <w:tcW w:w="481" w:type="pct"/>
                <w:tcBorders>
                  <w:left w:val="single" w:color="auto" w:sz="4" w:space="0"/>
                </w:tcBorders>
                <w:shd w:val="clear" w:color="auto" w:fill="auto"/>
              </w:tcPr>
              <w:p>
                <w:pPr>
                  <w:ind w:right="105" w:rightChars="50"/>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80caa93a5df0467f8beb0ffe577024dd"/>
                <w:id w:val="1061216075"/>
                <w:lock w:val="sdtLocked"/>
              </w:sdtPr>
              <w:sdtContent>
                <w:tc>
                  <w:tcPr>
                    <w:tcW w:w="1110" w:type="pct"/>
                    <w:shd w:val="clear" w:color="auto" w:fill="auto"/>
                  </w:tcPr>
                  <w:p>
                    <w:pPr>
                      <w:rPr>
                        <w:szCs w:val="21"/>
                      </w:rPr>
                    </w:pPr>
                    <w:r>
                      <w:rPr>
                        <w:rFonts w:hint="eastAsia"/>
                        <w:szCs w:val="21"/>
                      </w:rPr>
                      <w:t>分期收款销售商品</w:t>
                    </w:r>
                  </w:p>
                </w:tc>
              </w:sdtContent>
            </w:sdt>
            <w:tc>
              <w:tcPr>
                <w:tcW w:w="653" w:type="pct"/>
                <w:shd w:val="clear" w:color="auto" w:fill="auto"/>
                <w:vAlign w:val="center"/>
              </w:tcPr>
              <w:p>
                <w:pPr>
                  <w:ind w:right="105" w:rightChars="50"/>
                  <w:jc w:val="right"/>
                  <w:rPr>
                    <w:rFonts w:ascii="Times New Roman" w:hAnsi="Times New Roman" w:cs="Times New Roman"/>
                    <w:szCs w:val="21"/>
                  </w:rPr>
                </w:pPr>
              </w:p>
            </w:tc>
            <w:tc>
              <w:tcPr>
                <w:tcW w:w="523" w:type="pct"/>
                <w:shd w:val="clear" w:color="auto" w:fill="auto"/>
                <w:vAlign w:val="center"/>
              </w:tcPr>
              <w:p>
                <w:pPr>
                  <w:ind w:right="105" w:rightChars="50"/>
                  <w:jc w:val="right"/>
                  <w:rPr>
                    <w:rFonts w:ascii="Times New Roman" w:hAnsi="Times New Roman" w:cs="Times New Roman"/>
                    <w:szCs w:val="21"/>
                  </w:rPr>
                </w:pPr>
              </w:p>
            </w:tc>
            <w:tc>
              <w:tcPr>
                <w:tcW w:w="653" w:type="pct"/>
                <w:shd w:val="clear" w:color="auto" w:fill="auto"/>
                <w:vAlign w:val="center"/>
              </w:tcPr>
              <w:p>
                <w:pPr>
                  <w:ind w:right="105" w:rightChars="50"/>
                  <w:jc w:val="right"/>
                  <w:rPr>
                    <w:rFonts w:ascii="Times New Roman" w:hAnsi="Times New Roman" w:cs="Times New Roman"/>
                    <w:szCs w:val="21"/>
                  </w:rPr>
                </w:pPr>
              </w:p>
            </w:tc>
            <w:tc>
              <w:tcPr>
                <w:tcW w:w="523" w:type="pct"/>
                <w:shd w:val="clear" w:color="auto" w:fill="auto"/>
              </w:tcPr>
              <w:p>
                <w:pPr>
                  <w:ind w:right="105" w:rightChars="50"/>
                  <w:jc w:val="right"/>
                  <w:rPr>
                    <w:szCs w:val="21"/>
                  </w:rPr>
                </w:pPr>
              </w:p>
            </w:tc>
            <w:tc>
              <w:tcPr>
                <w:tcW w:w="523" w:type="pct"/>
                <w:shd w:val="clear" w:color="auto" w:fill="auto"/>
              </w:tcPr>
              <w:p>
                <w:pPr>
                  <w:ind w:right="105" w:rightChars="50"/>
                  <w:jc w:val="right"/>
                  <w:rPr>
                    <w:szCs w:val="21"/>
                  </w:rPr>
                </w:pPr>
              </w:p>
            </w:tc>
            <w:tc>
              <w:tcPr>
                <w:tcW w:w="534" w:type="pct"/>
                <w:tcBorders>
                  <w:right w:val="single" w:color="auto" w:sz="4" w:space="0"/>
                </w:tcBorders>
                <w:shd w:val="clear" w:color="auto" w:fill="auto"/>
              </w:tcPr>
              <w:p>
                <w:pPr>
                  <w:ind w:right="105" w:rightChars="50"/>
                  <w:jc w:val="right"/>
                  <w:rPr>
                    <w:szCs w:val="21"/>
                  </w:rPr>
                </w:pPr>
              </w:p>
            </w:tc>
            <w:tc>
              <w:tcPr>
                <w:tcW w:w="481" w:type="pct"/>
                <w:tcBorders>
                  <w:left w:val="single" w:color="auto" w:sz="4" w:space="0"/>
                </w:tcBorders>
                <w:shd w:val="clear" w:color="auto" w:fill="auto"/>
              </w:tcPr>
              <w:p>
                <w:pPr>
                  <w:ind w:right="105" w:rightChars="50"/>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a67dddde32464ba099f3f901c6a5a680"/>
                <w:id w:val="-1490172533"/>
                <w:lock w:val="sdtLocked"/>
              </w:sdtPr>
              <w:sdtContent>
                <w:tc>
                  <w:tcPr>
                    <w:tcW w:w="1110" w:type="pct"/>
                    <w:tcBorders>
                      <w:bottom w:val="single" w:color="auto" w:sz="6" w:space="0"/>
                    </w:tcBorders>
                    <w:shd w:val="clear" w:color="auto" w:fill="auto"/>
                  </w:tcPr>
                  <w:p>
                    <w:pPr>
                      <w:rPr>
                        <w:szCs w:val="21"/>
                      </w:rPr>
                    </w:pPr>
                    <w:r>
                      <w:rPr>
                        <w:rFonts w:hint="eastAsia"/>
                        <w:szCs w:val="21"/>
                      </w:rPr>
                      <w:t>分期收款提供劳务</w:t>
                    </w:r>
                  </w:p>
                </w:tc>
              </w:sdtContent>
            </w:sdt>
            <w:tc>
              <w:tcPr>
                <w:tcW w:w="653" w:type="pct"/>
                <w:shd w:val="clear" w:color="auto" w:fill="auto"/>
                <w:vAlign w:val="center"/>
              </w:tcPr>
              <w:p>
                <w:pPr>
                  <w:ind w:right="105" w:rightChars="50"/>
                  <w:jc w:val="right"/>
                  <w:rPr>
                    <w:rFonts w:ascii="Times New Roman" w:hAnsi="Times New Roman" w:cs="Times New Roman"/>
                    <w:szCs w:val="21"/>
                  </w:rPr>
                </w:pPr>
              </w:p>
            </w:tc>
            <w:tc>
              <w:tcPr>
                <w:tcW w:w="523" w:type="pct"/>
                <w:shd w:val="clear" w:color="auto" w:fill="auto"/>
                <w:vAlign w:val="center"/>
              </w:tcPr>
              <w:p>
                <w:pPr>
                  <w:ind w:right="105" w:rightChars="50"/>
                  <w:jc w:val="right"/>
                  <w:rPr>
                    <w:rFonts w:ascii="Times New Roman" w:hAnsi="Times New Roman" w:cs="Times New Roman"/>
                    <w:szCs w:val="21"/>
                  </w:rPr>
                </w:pPr>
              </w:p>
            </w:tc>
            <w:tc>
              <w:tcPr>
                <w:tcW w:w="653" w:type="pct"/>
                <w:shd w:val="clear" w:color="auto" w:fill="auto"/>
                <w:vAlign w:val="center"/>
              </w:tcPr>
              <w:p>
                <w:pPr>
                  <w:ind w:right="105" w:rightChars="50"/>
                  <w:jc w:val="right"/>
                  <w:rPr>
                    <w:rFonts w:ascii="Times New Roman" w:hAnsi="Times New Roman" w:cs="Times New Roman"/>
                    <w:szCs w:val="21"/>
                  </w:rPr>
                </w:pPr>
              </w:p>
            </w:tc>
            <w:tc>
              <w:tcPr>
                <w:tcW w:w="523" w:type="pct"/>
                <w:shd w:val="clear" w:color="auto" w:fill="auto"/>
              </w:tcPr>
              <w:p>
                <w:pPr>
                  <w:ind w:right="105" w:rightChars="50"/>
                  <w:jc w:val="right"/>
                  <w:rPr>
                    <w:szCs w:val="21"/>
                  </w:rPr>
                </w:pPr>
              </w:p>
            </w:tc>
            <w:tc>
              <w:tcPr>
                <w:tcW w:w="523" w:type="pct"/>
                <w:shd w:val="clear" w:color="auto" w:fill="auto"/>
              </w:tcPr>
              <w:p>
                <w:pPr>
                  <w:ind w:right="105" w:rightChars="50"/>
                  <w:jc w:val="right"/>
                  <w:rPr>
                    <w:szCs w:val="21"/>
                  </w:rPr>
                </w:pPr>
              </w:p>
            </w:tc>
            <w:tc>
              <w:tcPr>
                <w:tcW w:w="534" w:type="pct"/>
                <w:tcBorders>
                  <w:right w:val="single" w:color="auto" w:sz="4" w:space="0"/>
                </w:tcBorders>
                <w:shd w:val="clear" w:color="auto" w:fill="auto"/>
              </w:tcPr>
              <w:p>
                <w:pPr>
                  <w:ind w:right="105" w:rightChars="50"/>
                  <w:jc w:val="right"/>
                  <w:rPr>
                    <w:szCs w:val="21"/>
                  </w:rPr>
                </w:pPr>
              </w:p>
            </w:tc>
            <w:tc>
              <w:tcPr>
                <w:tcW w:w="481" w:type="pct"/>
                <w:tcBorders>
                  <w:left w:val="single" w:color="auto" w:sz="4" w:space="0"/>
                </w:tcBorders>
                <w:shd w:val="clear" w:color="auto" w:fill="auto"/>
              </w:tcPr>
              <w:p>
                <w:pPr>
                  <w:ind w:right="105" w:rightChars="50"/>
                  <w:rPr>
                    <w:szCs w:val="21"/>
                  </w:rPr>
                </w:pPr>
              </w:p>
            </w:tc>
          </w:tr>
          <w:sdt>
            <w:sdtPr>
              <w:rPr>
                <w:szCs w:val="21"/>
              </w:rPr>
              <w:alias w:val="长期应收款情况明细"/>
              <w:tag w:val="_TUP_a52c6e5ee1894db1af9de39bee7ee199"/>
              <w:id w:val="442806021"/>
              <w:lock w:val="sdtLocked"/>
            </w:sdtPr>
            <w:sdtEndPr>
              <w:rPr>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110" w:type="pct"/>
                    <w:shd w:val="clear" w:color="auto" w:fill="auto"/>
                  </w:tcPr>
                  <w:p>
                    <w:pPr>
                      <w:rPr>
                        <w:szCs w:val="21"/>
                      </w:rPr>
                    </w:pPr>
                    <w:r>
                      <w:rPr>
                        <w:rFonts w:hint="eastAsia"/>
                        <w:szCs w:val="21"/>
                      </w:rPr>
                      <w:t>一年内到期的长期应收款</w:t>
                    </w:r>
                  </w:p>
                </w:tc>
                <w:tc>
                  <w:tcPr>
                    <w:tcW w:w="653" w:type="pct"/>
                    <w:shd w:val="clear" w:color="auto" w:fill="auto"/>
                    <w:vAlign w:val="center"/>
                  </w:tcPr>
                  <w:p>
                    <w:pPr>
                      <w:ind w:right="105" w:rightChars="50"/>
                      <w:jc w:val="right"/>
                      <w:rPr>
                        <w:rFonts w:ascii="Times New Roman" w:hAnsi="Times New Roman" w:cs="Times New Roman"/>
                        <w:szCs w:val="21"/>
                      </w:rPr>
                    </w:pPr>
                    <w:r>
                      <w:rPr>
                        <w:rFonts w:ascii="Times New Roman" w:hAnsi="Times New Roman" w:cs="Times New Roman"/>
                        <w:szCs w:val="21"/>
                      </w:rPr>
                      <w:t>-294,820.25</w:t>
                    </w:r>
                  </w:p>
                </w:tc>
                <w:tc>
                  <w:tcPr>
                    <w:tcW w:w="523" w:type="pct"/>
                    <w:shd w:val="clear" w:color="auto" w:fill="auto"/>
                    <w:vAlign w:val="center"/>
                  </w:tcPr>
                  <w:p>
                    <w:pPr>
                      <w:ind w:right="105" w:rightChars="50"/>
                      <w:jc w:val="right"/>
                      <w:rPr>
                        <w:rFonts w:ascii="Times New Roman" w:hAnsi="Times New Roman" w:cs="Times New Roman"/>
                        <w:szCs w:val="21"/>
                      </w:rPr>
                    </w:pPr>
                  </w:p>
                </w:tc>
                <w:tc>
                  <w:tcPr>
                    <w:tcW w:w="653" w:type="pct"/>
                    <w:shd w:val="clear" w:color="auto" w:fill="auto"/>
                    <w:vAlign w:val="center"/>
                  </w:tcPr>
                  <w:p>
                    <w:pPr>
                      <w:ind w:right="105" w:rightChars="50"/>
                      <w:jc w:val="right"/>
                      <w:rPr>
                        <w:rFonts w:ascii="Times New Roman" w:hAnsi="Times New Roman" w:cs="Times New Roman"/>
                        <w:szCs w:val="21"/>
                      </w:rPr>
                    </w:pPr>
                    <w:r>
                      <w:rPr>
                        <w:rFonts w:ascii="Times New Roman" w:hAnsi="Times New Roman" w:cs="Times New Roman"/>
                        <w:szCs w:val="21"/>
                      </w:rPr>
                      <w:t>-294,820.25</w:t>
                    </w:r>
                  </w:p>
                </w:tc>
                <w:tc>
                  <w:tcPr>
                    <w:tcW w:w="523" w:type="pct"/>
                    <w:shd w:val="clear" w:color="auto" w:fill="auto"/>
                  </w:tcPr>
                  <w:p>
                    <w:pPr>
                      <w:ind w:right="105" w:rightChars="50"/>
                      <w:jc w:val="right"/>
                      <w:rPr>
                        <w:szCs w:val="21"/>
                      </w:rPr>
                    </w:pPr>
                  </w:p>
                </w:tc>
                <w:tc>
                  <w:tcPr>
                    <w:tcW w:w="523" w:type="pct"/>
                    <w:shd w:val="clear" w:color="auto" w:fill="auto"/>
                  </w:tcPr>
                  <w:p>
                    <w:pPr>
                      <w:ind w:right="105" w:rightChars="50"/>
                      <w:jc w:val="right"/>
                      <w:rPr>
                        <w:szCs w:val="21"/>
                      </w:rPr>
                    </w:pPr>
                  </w:p>
                </w:tc>
                <w:tc>
                  <w:tcPr>
                    <w:tcW w:w="534" w:type="pct"/>
                    <w:tcBorders>
                      <w:right w:val="single" w:color="auto" w:sz="4" w:space="0"/>
                    </w:tcBorders>
                    <w:shd w:val="clear" w:color="auto" w:fill="auto"/>
                  </w:tcPr>
                  <w:p>
                    <w:pPr>
                      <w:ind w:right="105" w:rightChars="50"/>
                      <w:jc w:val="right"/>
                      <w:rPr>
                        <w:szCs w:val="21"/>
                      </w:rPr>
                    </w:pPr>
                  </w:p>
                </w:tc>
                <w:tc>
                  <w:tcPr>
                    <w:tcW w:w="481" w:type="pct"/>
                    <w:tcBorders>
                      <w:left w:val="single" w:color="auto" w:sz="4" w:space="0"/>
                    </w:tcBorders>
                    <w:shd w:val="clear" w:color="auto" w:fill="auto"/>
                  </w:tcPr>
                  <w:p>
                    <w:pPr>
                      <w:ind w:right="105" w:rightChars="50"/>
                      <w:rPr>
                        <w:szCs w:val="21"/>
                      </w:rPr>
                    </w:pPr>
                  </w:p>
                </w:tc>
              </w:tr>
            </w:sdtContent>
          </w:sdt>
          <w:sdt>
            <w:sdtPr>
              <w:rPr>
                <w:rFonts w:ascii="Times New Roman" w:hAnsi="Times New Roman" w:cs="Times New Roman"/>
                <w:szCs w:val="21"/>
              </w:rPr>
              <w:alias w:val="长期应收款情况明细"/>
              <w:tag w:val="_TUP_a52c6e5ee1894db1af9de39bee7ee199"/>
              <w:id w:val="201056815"/>
              <w:lock w:val="sdtLocked"/>
            </w:sdtPr>
            <w:sdtEndPr>
              <w:rPr>
                <w:rFonts w:ascii="Times New Roman" w:hAnsi="Times New Roman" w:cs="Times New Roman"/>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110" w:type="pct"/>
                    <w:shd w:val="clear" w:color="auto" w:fill="auto"/>
                  </w:tcPr>
                  <w:p>
                    <w:pPr>
                      <w:rPr>
                        <w:rFonts w:ascii="Times New Roman" w:hAnsi="Times New Roman" w:cs="Times New Roman"/>
                        <w:szCs w:val="21"/>
                      </w:rPr>
                    </w:pPr>
                    <w:r>
                      <w:rPr>
                        <w:rFonts w:ascii="Times New Roman" w:cs="Times New Roman"/>
                        <w:szCs w:val="21"/>
                      </w:rPr>
                      <w:t>减：未实现融资收益</w:t>
                    </w:r>
                  </w:p>
                </w:tc>
                <w:tc>
                  <w:tcPr>
                    <w:tcW w:w="653" w:type="pct"/>
                    <w:shd w:val="clear" w:color="auto" w:fill="auto"/>
                    <w:vAlign w:val="center"/>
                  </w:tcPr>
                  <w:p>
                    <w:pPr>
                      <w:jc w:val="right"/>
                      <w:rPr>
                        <w:rFonts w:ascii="Times New Roman" w:hAnsi="Times New Roman" w:cs="Times New Roman"/>
                        <w:sz w:val="24"/>
                      </w:rPr>
                    </w:pPr>
                    <w:r>
                      <w:rPr>
                        <w:rFonts w:ascii="Times New Roman" w:hAnsi="Times New Roman" w:cs="Times New Roman"/>
                      </w:rPr>
                      <w:t>-41,195.34</w:t>
                    </w:r>
                  </w:p>
                </w:tc>
                <w:tc>
                  <w:tcPr>
                    <w:tcW w:w="523" w:type="pct"/>
                    <w:shd w:val="clear" w:color="auto" w:fill="auto"/>
                    <w:vAlign w:val="center"/>
                  </w:tcPr>
                  <w:p>
                    <w:pPr>
                      <w:jc w:val="right"/>
                      <w:rPr>
                        <w:rFonts w:ascii="Times New Roman" w:hAnsi="Times New Roman" w:cs="Times New Roman"/>
                        <w:sz w:val="24"/>
                      </w:rPr>
                    </w:pPr>
                  </w:p>
                </w:tc>
                <w:tc>
                  <w:tcPr>
                    <w:tcW w:w="653" w:type="pct"/>
                    <w:shd w:val="clear" w:color="auto" w:fill="auto"/>
                    <w:vAlign w:val="center"/>
                  </w:tcPr>
                  <w:p>
                    <w:pPr>
                      <w:jc w:val="right"/>
                      <w:rPr>
                        <w:rFonts w:ascii="Times New Roman" w:hAnsi="Times New Roman" w:cs="Times New Roman"/>
                        <w:sz w:val="24"/>
                      </w:rPr>
                    </w:pPr>
                    <w:r>
                      <w:rPr>
                        <w:rFonts w:ascii="Times New Roman" w:hAnsi="Times New Roman" w:cs="Times New Roman"/>
                      </w:rPr>
                      <w:t>-41,195.34</w:t>
                    </w:r>
                  </w:p>
                </w:tc>
                <w:tc>
                  <w:tcPr>
                    <w:tcW w:w="523" w:type="pct"/>
                    <w:shd w:val="clear" w:color="auto" w:fill="auto"/>
                  </w:tcPr>
                  <w:p>
                    <w:pPr>
                      <w:ind w:right="105" w:rightChars="50"/>
                      <w:jc w:val="right"/>
                      <w:rPr>
                        <w:rFonts w:ascii="Times New Roman" w:hAnsi="Times New Roman" w:cs="Times New Roman"/>
                        <w:szCs w:val="21"/>
                      </w:rPr>
                    </w:pPr>
                  </w:p>
                </w:tc>
                <w:tc>
                  <w:tcPr>
                    <w:tcW w:w="523" w:type="pct"/>
                    <w:shd w:val="clear" w:color="auto" w:fill="auto"/>
                  </w:tcPr>
                  <w:p>
                    <w:pPr>
                      <w:ind w:right="105" w:rightChars="50"/>
                      <w:jc w:val="right"/>
                      <w:rPr>
                        <w:rFonts w:ascii="Times New Roman" w:hAnsi="Times New Roman" w:cs="Times New Roman"/>
                        <w:szCs w:val="21"/>
                      </w:rPr>
                    </w:pPr>
                  </w:p>
                </w:tc>
                <w:tc>
                  <w:tcPr>
                    <w:tcW w:w="534" w:type="pct"/>
                    <w:tcBorders>
                      <w:right w:val="single" w:color="auto" w:sz="4" w:space="0"/>
                    </w:tcBorders>
                    <w:shd w:val="clear" w:color="auto" w:fill="auto"/>
                  </w:tcPr>
                  <w:p>
                    <w:pPr>
                      <w:ind w:right="105" w:rightChars="50"/>
                      <w:jc w:val="right"/>
                      <w:rPr>
                        <w:rFonts w:ascii="Times New Roman" w:hAnsi="Times New Roman" w:cs="Times New Roman"/>
                        <w:szCs w:val="21"/>
                      </w:rPr>
                    </w:pPr>
                  </w:p>
                </w:tc>
                <w:tc>
                  <w:tcPr>
                    <w:tcW w:w="481" w:type="pct"/>
                    <w:tcBorders>
                      <w:left w:val="single" w:color="auto" w:sz="4" w:space="0"/>
                    </w:tcBorders>
                    <w:shd w:val="clear" w:color="auto" w:fill="auto"/>
                  </w:tcPr>
                  <w:p>
                    <w:pPr>
                      <w:ind w:right="105" w:rightChars="50"/>
                      <w:rPr>
                        <w:rFonts w:ascii="Times New Roman" w:hAnsi="Times New Roman" w:cs="Times New Roman"/>
                        <w:szCs w:val="21"/>
                      </w:rPr>
                    </w:pP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tag w:val="_PLD_660a7802fc494567837f11197506b48e"/>
                <w:id w:val="-995263436"/>
                <w:lock w:val="sdtLocked"/>
              </w:sdtPr>
              <w:sdtContent>
                <w:tc>
                  <w:tcPr>
                    <w:tcW w:w="1110" w:type="pct"/>
                    <w:shd w:val="clear" w:color="auto" w:fill="auto"/>
                    <w:vAlign w:val="center"/>
                  </w:tcPr>
                  <w:p>
                    <w:pPr>
                      <w:jc w:val="center"/>
                      <w:rPr>
                        <w:szCs w:val="21"/>
                      </w:rPr>
                    </w:pPr>
                    <w:r>
                      <w:rPr>
                        <w:rFonts w:hint="eastAsia"/>
                        <w:szCs w:val="21"/>
                      </w:rPr>
                      <w:t>合计</w:t>
                    </w:r>
                  </w:p>
                </w:tc>
              </w:sdtContent>
            </w:sdt>
            <w:tc>
              <w:tcPr>
                <w:tcW w:w="653" w:type="pct"/>
                <w:shd w:val="clear" w:color="auto" w:fill="auto"/>
                <w:vAlign w:val="center"/>
              </w:tcPr>
              <w:p>
                <w:pPr>
                  <w:ind w:right="105" w:rightChars="50"/>
                  <w:jc w:val="right"/>
                  <w:rPr>
                    <w:rFonts w:ascii="Times New Roman" w:hAnsi="Times New Roman" w:cs="Times New Roman"/>
                    <w:szCs w:val="21"/>
                  </w:rPr>
                </w:pPr>
                <w:r>
                  <w:rPr>
                    <w:rFonts w:ascii="Times New Roman" w:hAnsi="Times New Roman" w:cs="Times New Roman"/>
                    <w:szCs w:val="21"/>
                  </w:rPr>
                  <w:t>298,992.34</w:t>
                </w:r>
              </w:p>
            </w:tc>
            <w:tc>
              <w:tcPr>
                <w:tcW w:w="523" w:type="pct"/>
                <w:shd w:val="clear" w:color="auto" w:fill="auto"/>
                <w:vAlign w:val="center"/>
              </w:tcPr>
              <w:p>
                <w:pPr>
                  <w:ind w:right="105" w:rightChars="50"/>
                  <w:jc w:val="right"/>
                  <w:rPr>
                    <w:rFonts w:ascii="Times New Roman" w:hAnsi="Times New Roman" w:cs="Times New Roman"/>
                    <w:szCs w:val="21"/>
                  </w:rPr>
                </w:pPr>
              </w:p>
            </w:tc>
            <w:tc>
              <w:tcPr>
                <w:tcW w:w="653" w:type="pct"/>
                <w:shd w:val="clear" w:color="auto" w:fill="auto"/>
                <w:vAlign w:val="center"/>
              </w:tcPr>
              <w:p>
                <w:pPr>
                  <w:ind w:right="105" w:rightChars="50"/>
                  <w:jc w:val="right"/>
                  <w:rPr>
                    <w:rFonts w:ascii="Times New Roman" w:hAnsi="Times New Roman" w:cs="Times New Roman"/>
                    <w:szCs w:val="21"/>
                  </w:rPr>
                </w:pPr>
                <w:r>
                  <w:rPr>
                    <w:rFonts w:ascii="Times New Roman" w:hAnsi="Times New Roman" w:cs="Times New Roman"/>
                    <w:szCs w:val="21"/>
                  </w:rPr>
                  <w:t>298,992.34</w:t>
                </w:r>
              </w:p>
            </w:tc>
            <w:tc>
              <w:tcPr>
                <w:tcW w:w="523" w:type="pct"/>
                <w:shd w:val="clear" w:color="auto" w:fill="auto"/>
              </w:tcPr>
              <w:p>
                <w:pPr>
                  <w:ind w:right="105" w:rightChars="50"/>
                  <w:jc w:val="right"/>
                  <w:rPr>
                    <w:szCs w:val="21"/>
                  </w:rPr>
                </w:pPr>
              </w:p>
            </w:tc>
            <w:tc>
              <w:tcPr>
                <w:tcW w:w="523" w:type="pct"/>
                <w:shd w:val="clear" w:color="auto" w:fill="auto"/>
              </w:tcPr>
              <w:p>
                <w:pPr>
                  <w:ind w:right="105" w:rightChars="50"/>
                  <w:jc w:val="right"/>
                  <w:rPr>
                    <w:szCs w:val="21"/>
                  </w:rPr>
                </w:pPr>
              </w:p>
            </w:tc>
            <w:tc>
              <w:tcPr>
                <w:tcW w:w="534" w:type="pct"/>
                <w:tcBorders>
                  <w:right w:val="single" w:color="auto" w:sz="4" w:space="0"/>
                </w:tcBorders>
                <w:shd w:val="clear" w:color="auto" w:fill="auto"/>
              </w:tcPr>
              <w:p>
                <w:pPr>
                  <w:ind w:right="105" w:rightChars="50"/>
                  <w:jc w:val="right"/>
                  <w:rPr>
                    <w:szCs w:val="21"/>
                  </w:rPr>
                </w:pPr>
              </w:p>
            </w:tc>
            <w:tc>
              <w:tcPr>
                <w:tcW w:w="481" w:type="pct"/>
                <w:tcBorders>
                  <w:left w:val="single" w:color="auto" w:sz="4" w:space="0"/>
                </w:tcBorders>
                <w:shd w:val="clear" w:color="auto" w:fill="auto"/>
              </w:tcPr>
              <w:p>
                <w:pPr>
                  <w:ind w:right="105" w:rightChars="50"/>
                  <w:jc w:val="center"/>
                  <w:rPr>
                    <w:szCs w:val="21"/>
                  </w:rPr>
                </w:pPr>
                <w:r>
                  <w:rPr>
                    <w:rFonts w:hint="eastAsia"/>
                    <w:szCs w:val="21"/>
                  </w:rPr>
                  <w:t>/</w:t>
                </w:r>
              </w:p>
            </w:tc>
          </w:tr>
        </w:tbl>
        <w:p>
          <w:pPr>
            <w:rPr>
              <w:color w:val="FF0000"/>
              <w:szCs w:val="21"/>
            </w:rPr>
          </w:pPr>
        </w:p>
        <w:p>
          <w:pPr>
            <w:pStyle w:val="5"/>
            <w:rPr>
              <w:color w:val="FF0000"/>
              <w:szCs w:val="21"/>
            </w:rPr>
          </w:pPr>
        </w:p>
      </w:sdtContent>
    </w:sdt>
    <w:sdt>
      <w:sdtPr>
        <w:rPr>
          <w:rFonts w:hint="eastAsia" w:ascii="宋体" w:hAnsi="宋体" w:eastAsia="宋体" w:cs="宋体"/>
          <w:b w:val="0"/>
          <w:bCs w:val="0"/>
          <w:kern w:val="0"/>
          <w:szCs w:val="21"/>
        </w:rPr>
        <w:alias w:val="模块:按减值计提方法分类披露"/>
        <w:tag w:val="_SEC_e3a77e97bfdc4d80b28798b16620a97a"/>
        <w:id w:val="865724905"/>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3"/>
              <w:numId w:val="88"/>
            </w:numPr>
            <w:ind w:left="426" w:hanging="426"/>
            <w:rPr>
              <w:szCs w:val="21"/>
            </w:rPr>
          </w:pPr>
          <w:bookmarkStart w:id="176" w:name="_Hlk533872428"/>
          <w:r>
            <w:rPr>
              <w:rFonts w:hint="eastAsia" w:ascii="宋体" w:hAnsi="宋体" w:eastAsia="宋体" w:cs="宋体"/>
              <w:bCs w:val="0"/>
              <w:kern w:val="0"/>
              <w:szCs w:val="21"/>
            </w:rPr>
            <w:t>坏账准备计提情况</w:t>
          </w:r>
        </w:p>
        <w:sdt>
          <w:sdtPr>
            <w:alias w:val="是否适用：长期应收款坏账准备调节表[双击切换]"/>
            <w:tag w:val="_GBC_83c414b79fa243258be4f4c6998e475c"/>
            <w:id w:val="865724904"/>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p>
      </w:sdtContent>
    </w:sdt>
    <w:bookmarkEnd w:id="176"/>
    <w:sdt>
      <w:sdtPr>
        <w:rPr>
          <w:rFonts w:hint="eastAsia" w:ascii="宋体" w:hAnsi="宋体" w:cs="宋体"/>
          <w:b/>
          <w:bCs/>
          <w:kern w:val="0"/>
          <w:szCs w:val="24"/>
        </w:rPr>
        <w:alias w:val="模块:本期坏账准备计提金额以及评估金融工具的信用风险是否显著增加的..."/>
        <w:tag w:val="_SEC_cac91801a7df45b898da28991af8099b"/>
        <w:id w:val="865724907"/>
        <w:lock w:val="sdtLocked"/>
        <w:placeholder>
          <w:docPart w:val="GBC22222222222222222222222222222"/>
        </w:placeholder>
      </w:sdtPr>
      <w:sdtEndPr>
        <w:rPr>
          <w:rFonts w:hint="default" w:ascii="宋体" w:hAnsi="宋体" w:cs="宋体"/>
          <w:b w:val="0"/>
          <w:bCs w:val="0"/>
          <w:kern w:val="0"/>
          <w:szCs w:val="21"/>
        </w:rPr>
      </w:sdtEndPr>
      <w:sdtContent>
        <w:p>
          <w:pPr>
            <w:pStyle w:val="72"/>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86572490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eastAsia="宋体" w:cs="宋体"/>
          <w:b w:val="0"/>
          <w:bCs w:val="0"/>
          <w:kern w:val="0"/>
          <w:szCs w:val="24"/>
        </w:rPr>
        <w:alias w:val="模块:因金融资产转移而终止确认的长期应收款"/>
        <w:tag w:val="_SEC_c0276803b0764169b1c7aa5897007892"/>
        <w:id w:val="865724909"/>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3"/>
              <w:numId w:val="88"/>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86572490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eastAsia="宋体" w:cs="宋体"/>
          <w:b w:val="0"/>
          <w:bCs w:val="0"/>
          <w:kern w:val="0"/>
          <w:szCs w:val="24"/>
        </w:rPr>
        <w:alias w:val="模块:转移长期应收款且继续涉入形成的资产、负债金额"/>
        <w:tag w:val="_SEC_89a60922f7cb457c9329be8065df91e2"/>
        <w:id w:val="865724911"/>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3"/>
              <w:numId w:val="88"/>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865724910"/>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szCs w:val="21"/>
        </w:rPr>
        <w:alias w:val="模块:长期应收款的其他说明"/>
        <w:tag w:val="_SEC_2121861ee4514c94a9ddd15a509ae12d"/>
        <w:id w:val="865724913"/>
        <w:lock w:val="sdtLocked"/>
        <w:placeholder>
          <w:docPart w:val="GBC22222222222222222222222222222"/>
        </w:placeholder>
      </w:sdtPr>
      <w:sdtEndPr>
        <w:rPr>
          <w:rFonts w:hint="eastAsia"/>
          <w:szCs w:val="21"/>
        </w:rPr>
      </w:sdtEndPr>
      <w:sdtContent>
        <w:p>
          <w:pPr>
            <w:rPr>
              <w:szCs w:val="21"/>
            </w:rPr>
          </w:pPr>
          <w:r>
            <w:rPr>
              <w:rFonts w:hint="eastAsia"/>
              <w:szCs w:val="21"/>
            </w:rPr>
            <w:t>其他说明</w:t>
          </w:r>
        </w:p>
        <w:sdt>
          <w:sdtPr>
            <w:rPr>
              <w:szCs w:val="21"/>
            </w:rPr>
            <w:alias w:val="是否适用：长期应收款的其他说明[双击切换]"/>
            <w:tag w:val="_GBC_374ef9a861254142b9ef8519d87eb5ac"/>
            <w:id w:val="86572491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pStyle w:val="4"/>
        <w:numPr>
          <w:ilvl w:val="0"/>
          <w:numId w:val="79"/>
        </w:numPr>
        <w:tabs>
          <w:tab w:val="left" w:pos="504"/>
        </w:tabs>
        <w:rPr>
          <w:rFonts w:ascii="宋体" w:hAnsi="宋体"/>
          <w:szCs w:val="21"/>
        </w:rPr>
      </w:pPr>
      <w:r>
        <w:rPr>
          <w:rFonts w:hint="eastAsia" w:ascii="宋体" w:hAnsi="宋体"/>
          <w:szCs w:val="21"/>
        </w:rPr>
        <w:t>长期股权投资</w:t>
      </w:r>
    </w:p>
    <w:p>
      <w:sdt>
        <w:sdtPr>
          <w:rPr>
            <w:rFonts w:hint="eastAsia"/>
          </w:rPr>
          <w:alias w:val="是否适用：长期股权投资[双击切换]"/>
          <w:tag w:val="_GBC_94e2c461d3d34280a0a5f1e908656d3e"/>
          <w:id w:val="865724914"/>
          <w:lock w:val="sdtContentLocked"/>
          <w:placeholder>
            <w:docPart w:val="GBC22222222222222222222222222222"/>
          </w:placeholder>
        </w:sdtPr>
        <w:sdtEndPr>
          <w:rPr>
            <w:rFonts w:hint="eastAsia"/>
          </w:rPr>
        </w:sdtEnd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865724943"/>
        <w:lock w:val="sdtLocked"/>
        <w:placeholder>
          <w:docPart w:val="GBC22222222222222222222222222222"/>
        </w:placeholder>
      </w:sdtPr>
      <w:sdtEndPr>
        <w:rPr>
          <w:rFonts w:hint="eastAsia"/>
          <w:szCs w:val="21"/>
        </w:rPr>
      </w:sdtEndPr>
      <w:sdtContent>
        <w:p>
          <w:pPr>
            <w:jc w:val="right"/>
            <w:rPr>
              <w:szCs w:val="21"/>
            </w:rPr>
          </w:pPr>
          <w:r>
            <w:rPr>
              <w:rFonts w:hint="eastAsia"/>
              <w:szCs w:val="21"/>
            </w:rPr>
            <w:t>单位：</w:t>
          </w:r>
          <w:sdt>
            <w:sdtPr>
              <w:rPr>
                <w:rFonts w:hint="eastAsia"/>
                <w:szCs w:val="21"/>
              </w:rPr>
              <w:alias w:val="单位：财务附注：长期股权投资"/>
              <w:tag w:val="_GBC_9ef1128bd666425898c1d0386f4940f0"/>
              <w:id w:val="8657249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865724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348"/>
            <w:gridCol w:w="400"/>
            <w:gridCol w:w="266"/>
            <w:gridCol w:w="670"/>
            <w:gridCol w:w="404"/>
            <w:gridCol w:w="404"/>
            <w:gridCol w:w="670"/>
            <w:gridCol w:w="311"/>
            <w:gridCol w:w="273"/>
            <w:gridCol w:w="1497"/>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04000e8ce384d4988e09c22d5f8f725"/>
                <w:id w:val="865724917"/>
                <w:lock w:val="sdtLocked"/>
              </w:sdtPr>
              <w:sdtEndPr>
                <w:rPr>
                  <w:rFonts w:ascii="Times New Roman" w:hAnsi="Times New Roman" w:cs="Times New Roman"/>
                </w:rPr>
              </w:sdtEndPr>
              <w:sdtContent>
                <w:tc>
                  <w:tcPr>
                    <w:tcW w:w="734"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被投资单位</w:t>
                    </w:r>
                  </w:p>
                </w:tc>
              </w:sdtContent>
            </w:sdt>
            <w:sdt>
              <w:sdtPr>
                <w:rPr>
                  <w:rFonts w:ascii="Times New Roman" w:hAnsi="Times New Roman" w:cs="Times New Roman"/>
                </w:rPr>
                <w:tag w:val="_PLD_2325481f20324f949b4d5af7cfe3ea45"/>
                <w:id w:val="865724918"/>
                <w:lock w:val="sdtLocked"/>
              </w:sdtPr>
              <w:sdtEndPr>
                <w:rPr>
                  <w:rFonts w:ascii="Times New Roman" w:hAnsi="Times New Roman" w:cs="Times New Roman"/>
                </w:rPr>
              </w:sdtEndPr>
              <w:sdtContent>
                <w:tc>
                  <w:tcPr>
                    <w:tcW w:w="745"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期初</w:t>
                    </w:r>
                  </w:p>
                  <w:p>
                    <w:pPr>
                      <w:jc w:val="center"/>
                      <w:rPr>
                        <w:rFonts w:ascii="Times New Roman" w:hAnsi="Times New Roman" w:cs="Times New Roman"/>
                        <w:szCs w:val="21"/>
                      </w:rPr>
                    </w:pPr>
                    <w:r>
                      <w:rPr>
                        <w:rFonts w:ascii="Times New Roman" w:cs="Times New Roman"/>
                        <w:szCs w:val="21"/>
                      </w:rPr>
                      <w:t>余额</w:t>
                    </w:r>
                  </w:p>
                </w:tc>
              </w:sdtContent>
            </w:sdt>
            <w:sdt>
              <w:sdtPr>
                <w:rPr>
                  <w:rFonts w:ascii="Times New Roman" w:hAnsi="Times New Roman" w:cs="Times New Roman"/>
                </w:rPr>
                <w:tag w:val="_PLD_62e0836260734d34965d8070b1a6f2dd"/>
                <w:id w:val="865724919"/>
                <w:lock w:val="sdtLocked"/>
              </w:sdtPr>
              <w:sdtEndPr>
                <w:rPr>
                  <w:rFonts w:ascii="Times New Roman" w:hAnsi="Times New Roman" w:cs="Times New Roman"/>
                </w:rPr>
              </w:sdtEndPr>
              <w:sdtContent>
                <w:tc>
                  <w:tcPr>
                    <w:tcW w:w="1877"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本期增减变动</w:t>
                    </w:r>
                  </w:p>
                </w:tc>
              </w:sdtContent>
            </w:sdt>
            <w:sdt>
              <w:sdtPr>
                <w:rPr>
                  <w:rFonts w:ascii="Times New Roman" w:hAnsi="Times New Roman" w:cs="Times New Roman"/>
                </w:rPr>
                <w:tag w:val="_PLD_7b9429fc29b64f4c83eea02ed0cad7ba"/>
                <w:id w:val="865724920"/>
                <w:lock w:val="sdtLocked"/>
              </w:sdtPr>
              <w:sdtEndPr>
                <w:rPr>
                  <w:rFonts w:ascii="Times New Roman" w:hAnsi="Times New Roman" w:cs="Times New Roman"/>
                </w:rPr>
              </w:sdtEndPr>
              <w:sdtContent>
                <w:tc>
                  <w:tcPr>
                    <w:tcW w:w="827"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期末</w:t>
                    </w:r>
                  </w:p>
                  <w:p>
                    <w:pPr>
                      <w:jc w:val="center"/>
                      <w:rPr>
                        <w:rFonts w:ascii="Times New Roman" w:hAnsi="Times New Roman" w:cs="Times New Roman"/>
                        <w:szCs w:val="21"/>
                      </w:rPr>
                    </w:pPr>
                    <w:r>
                      <w:rPr>
                        <w:rFonts w:ascii="Times New Roman" w:cs="Times New Roman"/>
                        <w:szCs w:val="21"/>
                      </w:rPr>
                      <w:t>余额</w:t>
                    </w:r>
                  </w:p>
                </w:tc>
              </w:sdtContent>
            </w:sdt>
            <w:sdt>
              <w:sdtPr>
                <w:rPr>
                  <w:rFonts w:ascii="Times New Roman" w:hAnsi="Times New Roman" w:cs="Times New Roman"/>
                </w:rPr>
                <w:tag w:val="_PLD_79298dc466f54a239357520005d5d0d6"/>
                <w:id w:val="865724921"/>
                <w:lock w:val="sdtLocked"/>
              </w:sdtPr>
              <w:sdtEndPr>
                <w:rPr>
                  <w:rFonts w:ascii="Times New Roman" w:hAnsi="Times New Roman" w:cs="Times New Roman"/>
                </w:rPr>
              </w:sdtEndPr>
              <w:sdtContent>
                <w:tc>
                  <w:tcPr>
                    <w:tcW w:w="818"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vMerge w:val="continue"/>
                <w:tcBorders>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szCs w:val="21"/>
                  </w:rPr>
                </w:pPr>
              </w:p>
            </w:tc>
            <w:tc>
              <w:tcPr>
                <w:tcW w:w="745" w:type="pct"/>
                <w:vMerge w:val="continue"/>
                <w:tcBorders>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szCs w:val="21"/>
                  </w:rPr>
                </w:pPr>
              </w:p>
            </w:tc>
            <w:sdt>
              <w:sdtPr>
                <w:rPr>
                  <w:rFonts w:ascii="Times New Roman" w:hAnsi="Times New Roman" w:cs="Times New Roman"/>
                </w:rPr>
                <w:tag w:val="_PLD_32174384d8204c80ab4f8eb2ee1b7c00"/>
                <w:id w:val="865724922"/>
                <w:lock w:val="sdtLocked"/>
              </w:sdtPr>
              <w:sdtEndPr>
                <w:rPr>
                  <w:rFonts w:ascii="Times New Roman" w:hAnsi="Times New Roman" w:cs="Times New Roman"/>
                </w:rPr>
              </w:sdtEndPr>
              <w:sdtContent>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追加投资</w:t>
                    </w:r>
                  </w:p>
                </w:tc>
              </w:sdtContent>
            </w:sdt>
            <w:sdt>
              <w:sdtPr>
                <w:rPr>
                  <w:rFonts w:ascii="Times New Roman" w:hAnsi="Times New Roman" w:cs="Times New Roman"/>
                </w:rPr>
                <w:tag w:val="_PLD_095046b604db44b8b22c0d62f18b7d7b"/>
                <w:id w:val="865724923"/>
                <w:lock w:val="sdtLocked"/>
              </w:sdtPr>
              <w:sdtEndPr>
                <w:rPr>
                  <w:rFonts w:ascii="Times New Roman" w:hAnsi="Times New Roman" w:cs="Times New Roman"/>
                </w:rPr>
              </w:sdtEndPr>
              <w:sdtContent>
                <w:tc>
                  <w:tcPr>
                    <w:tcW w:w="1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减少投资</w:t>
                    </w:r>
                  </w:p>
                </w:tc>
              </w:sdtContent>
            </w:sdt>
            <w:sdt>
              <w:sdtPr>
                <w:rPr>
                  <w:rFonts w:ascii="Times New Roman" w:hAnsi="Times New Roman" w:cs="Times New Roman"/>
                </w:rPr>
                <w:tag w:val="_PLD_6b1aa2f12a4b43c9acfdfe03af1b69b5"/>
                <w:id w:val="865724924"/>
                <w:lock w:val="sdtLocked"/>
              </w:sdtPr>
              <w:sdtEndPr>
                <w:rPr>
                  <w:rFonts w:ascii="Times New Roman" w:hAnsi="Times New Roman" w:cs="Times New Roman"/>
                </w:rPr>
              </w:sdtEndPr>
              <w:sdtContent>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权益法下确认的投资损益</w:t>
                    </w:r>
                  </w:p>
                </w:tc>
              </w:sdtContent>
            </w:sdt>
            <w:sdt>
              <w:sdtPr>
                <w:rPr>
                  <w:rFonts w:ascii="Times New Roman" w:hAnsi="Times New Roman" w:cs="Times New Roman"/>
                </w:rPr>
                <w:tag w:val="_PLD_7843f54d0d14415a8d81c3e768bcd483"/>
                <w:id w:val="865724925"/>
                <w:lock w:val="sdtLocked"/>
              </w:sdtPr>
              <w:sdtEndPr>
                <w:rPr>
                  <w:rFonts w:ascii="Times New Roman" w:hAnsi="Times New Roman" w:cs="Times New Roman"/>
                </w:rPr>
              </w:sdtEndPr>
              <w:sdtContent>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其他综合收益调整</w:t>
                    </w:r>
                  </w:p>
                </w:tc>
              </w:sdtContent>
            </w:sdt>
            <w:sdt>
              <w:sdtPr>
                <w:rPr>
                  <w:rFonts w:ascii="Times New Roman" w:hAnsi="Times New Roman" w:cs="Times New Roman"/>
                </w:rPr>
                <w:tag w:val="_PLD_dd698127723b4ea0815eca9ac49240a1"/>
                <w:id w:val="865724926"/>
                <w:lock w:val="sdtLocked"/>
              </w:sdtPr>
              <w:sdtEndPr>
                <w:rPr>
                  <w:rFonts w:ascii="Times New Roman" w:hAnsi="Times New Roman" w:cs="Times New Roman"/>
                </w:rPr>
              </w:sdtEndPr>
              <w:sdtContent>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其他权益变动</w:t>
                    </w:r>
                  </w:p>
                </w:tc>
              </w:sdtContent>
            </w:sdt>
            <w:sdt>
              <w:sdtPr>
                <w:rPr>
                  <w:rFonts w:ascii="Times New Roman" w:hAnsi="Times New Roman" w:cs="Times New Roman"/>
                </w:rPr>
                <w:tag w:val="_PLD_6d37a876ad014b7ba59d452d3d7f5f15"/>
                <w:id w:val="865724927"/>
                <w:lock w:val="sdtLocked"/>
              </w:sdtPr>
              <w:sdtEndPr>
                <w:rPr>
                  <w:rFonts w:ascii="Times New Roman" w:hAnsi="Times New Roman" w:cs="Times New Roman"/>
                </w:rPr>
              </w:sdtEndPr>
              <w:sdtContent>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宣告发放现金股利或利润</w:t>
                    </w:r>
                  </w:p>
                </w:tc>
              </w:sdtContent>
            </w:sdt>
            <w:sdt>
              <w:sdtPr>
                <w:rPr>
                  <w:rFonts w:ascii="Times New Roman" w:hAnsi="Times New Roman" w:cs="Times New Roman"/>
                </w:rPr>
                <w:tag w:val="_PLD_050d96d5e62f42b9bb4f13a2ca047503"/>
                <w:id w:val="865724928"/>
                <w:lock w:val="sdtLocked"/>
              </w:sdtPr>
              <w:sdtEndPr>
                <w:rPr>
                  <w:rFonts w:ascii="Times New Roman" w:hAnsi="Times New Roman" w:cs="Times New Roman"/>
                </w:rPr>
              </w:sdtEndPr>
              <w:sdtContent>
                <w:tc>
                  <w:tcPr>
                    <w:tcW w:w="1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计提减值准备</w:t>
                    </w:r>
                  </w:p>
                </w:tc>
              </w:sdtContent>
            </w:sdt>
            <w:sdt>
              <w:sdtPr>
                <w:rPr>
                  <w:rFonts w:ascii="Times New Roman" w:hAnsi="Times New Roman" w:cs="Times New Roman"/>
                </w:rPr>
                <w:tag w:val="_PLD_add111e25b4543c48121d495919f2030"/>
                <w:id w:val="865724929"/>
                <w:lock w:val="sdtLocked"/>
              </w:sdtPr>
              <w:sdtEndPr>
                <w:rPr>
                  <w:rFonts w:ascii="Times New Roman" w:hAnsi="Times New Roman" w:cs="Times New Roman"/>
                </w:rPr>
              </w:sdtEndPr>
              <w:sdtContent>
                <w:tc>
                  <w:tcPr>
                    <w:tcW w:w="1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其他</w:t>
                    </w:r>
                  </w:p>
                </w:tc>
              </w:sdtContent>
            </w:sdt>
            <w:tc>
              <w:tcPr>
                <w:tcW w:w="827"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p>
            </w:tc>
            <w:tc>
              <w:tcPr>
                <w:tcW w:w="818"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5b755e14b594e4c91e0b7c9ecb32e60"/>
                <w:id w:val="865724930"/>
                <w:lock w:val="sdtLocked"/>
              </w:sdtPr>
              <w:sdtEndPr>
                <w:rPr>
                  <w:rFonts w:ascii="Times New Roman" w:hAnsi="Times New Roman" w:cs="Times New Roman"/>
                </w:rPr>
              </w:sdtEnd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一、合营企业</w:t>
                    </w:r>
                  </w:p>
                </w:tc>
              </w:sdtContent>
            </w:sdt>
          </w:tr>
          <w:sdt>
            <w:sdtPr>
              <w:rPr>
                <w:rFonts w:ascii="Times New Roman" w:hAnsi="Times New Roman" w:cs="Times New Roman"/>
                <w:szCs w:val="21"/>
              </w:rPr>
              <w:alias w:val="合营企业投资信息明细"/>
              <w:tag w:val="_TUP_c75e58945b574362871fd5ee9d3f2706"/>
              <w:id w:val="86572493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p>
                </w:tc>
                <w:tc>
                  <w:tcPr>
                    <w:tcW w:w="74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r>
            </w:sdtContent>
          </w:sdt>
          <w:sdt>
            <w:sdtPr>
              <w:rPr>
                <w:rFonts w:ascii="Times New Roman" w:hAnsi="Times New Roman" w:cs="Times New Roman"/>
                <w:szCs w:val="21"/>
              </w:rPr>
              <w:alias w:val="合营企业投资信息明细"/>
              <w:tag w:val="_TUP_c75e58945b574362871fd5ee9d3f2706"/>
              <w:id w:val="86572493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p>
                </w:tc>
                <w:tc>
                  <w:tcPr>
                    <w:tcW w:w="74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95bd2e13c884c579b2866f1b3e0ad4a"/>
                <w:id w:val="865724933"/>
                <w:lock w:val="sdtLocked"/>
              </w:sdtPr>
              <w:sdtEndPr>
                <w:rPr>
                  <w:rFonts w:ascii="Times New Roman" w:hAnsi="Times New Roman" w:cs="Times New Roman"/>
                </w:rPr>
              </w:sdtEndPr>
              <w:sdtContent>
                <w:tc>
                  <w:tcPr>
                    <w:tcW w:w="73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小计</w:t>
                    </w:r>
                  </w:p>
                </w:tc>
              </w:sdtContent>
            </w:sdt>
            <w:tc>
              <w:tcPr>
                <w:tcW w:w="74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c448562bca04f23a9ec97848768cd82"/>
                <w:id w:val="865724934"/>
                <w:lock w:val="sdtLocked"/>
              </w:sdtPr>
              <w:sdtEndPr>
                <w:rPr>
                  <w:rFonts w:ascii="Times New Roman" w:hAnsi="Times New Roman" w:cs="Times New Roman"/>
                </w:rPr>
              </w:sdtEnd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二、联营企业</w:t>
                    </w:r>
                  </w:p>
                </w:tc>
              </w:sdtContent>
            </w:sdt>
          </w:tr>
          <w:sdt>
            <w:sdtPr>
              <w:rPr>
                <w:rFonts w:ascii="Times New Roman" w:hAnsi="Times New Roman" w:cs="Times New Roman"/>
                <w:szCs w:val="21"/>
              </w:rPr>
              <w:alias w:val="联营企业投资信息明细"/>
              <w:tag w:val="_TUP_9536e771f46d491bae43945d896c883f"/>
              <w:id w:val="86572493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柳州市玉洁口腔卫生用品有限责任公司</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3,854,508.49</w:t>
                    </w: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3,854,508.49</w:t>
                    </w:r>
                  </w:p>
                </w:tc>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3,854,508.49</w:t>
                    </w:r>
                  </w:p>
                </w:tc>
              </w:tr>
            </w:sdtContent>
          </w:sdt>
          <w:sdt>
            <w:sdtPr>
              <w:rPr>
                <w:rFonts w:ascii="Times New Roman" w:hAnsi="Times New Roman" w:cs="Times New Roman"/>
                <w:szCs w:val="21"/>
              </w:rPr>
              <w:alias w:val="联营企业投资信息明细"/>
              <w:tag w:val="_TUP_9536e771f46d491bae43945d896c883f"/>
              <w:id w:val="86572493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广西两面针九洲房地产开发有限公司</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3,916,163.14</w:t>
                    </w: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3,916,163.14</w:t>
                    </w:r>
                  </w:p>
                </w:tc>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3,916,163.14</w:t>
                    </w:r>
                  </w:p>
                </w:tc>
              </w:tr>
            </w:sdtContent>
          </w:sdt>
          <w:sdt>
            <w:sdtPr>
              <w:rPr>
                <w:rFonts w:ascii="Times New Roman" w:hAnsi="Times New Roman" w:cs="Times New Roman"/>
                <w:szCs w:val="21"/>
              </w:rPr>
              <w:alias w:val="联营企业投资信息明细"/>
              <w:tag w:val="_TUP_9536e771f46d491bae43945d896c883f"/>
              <w:id w:val="86572493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成都同基医药有限公司</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1,652,476.44</w:t>
                    </w: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1,652,476.44</w:t>
                    </w:r>
                  </w:p>
                </w:tc>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1,652,476.44</w:t>
                    </w:r>
                  </w:p>
                </w:tc>
              </w:tr>
            </w:sdtContent>
          </w:sdt>
          <w:sdt>
            <w:sdtPr>
              <w:rPr>
                <w:rFonts w:ascii="Times New Roman" w:hAnsi="Times New Roman" w:cs="Times New Roman"/>
                <w:szCs w:val="21"/>
              </w:rPr>
              <w:alias w:val="联营企业投资信息明细"/>
              <w:tag w:val="_TUP_9536e771f46d491bae43945d896c883f"/>
              <w:id w:val="86572493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广西亿康南药药业种植有限责任公司</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4,000,000.00</w:t>
                    </w: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4,000,000.00</w:t>
                    </w:r>
                  </w:p>
                </w:tc>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4,000,000.00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1d10d53c021416d9099f27f6145f507"/>
                <w:id w:val="865724939"/>
                <w:lock w:val="sdtLocked"/>
              </w:sdtPr>
              <w:sdtEndPr>
                <w:rPr>
                  <w:rFonts w:ascii="Times New Roman" w:hAnsi="Times New Roman" w:cs="Times New Roman"/>
                </w:rPr>
              </w:sdtEndPr>
              <w:sdtContent>
                <w:tc>
                  <w:tcPr>
                    <w:tcW w:w="73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小计</w:t>
                    </w:r>
                  </w:p>
                </w:tc>
              </w:sdtContent>
            </w:sdt>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ind w:leftChars="-91" w:hanging="191" w:hangingChars="91"/>
                  <w:jc w:val="right"/>
                  <w:rPr>
                    <w:rFonts w:ascii="Times New Roman" w:hAnsi="Times New Roman" w:cs="Times New Roman"/>
                    <w:szCs w:val="21"/>
                  </w:rPr>
                </w:pPr>
                <w:r>
                  <w:rPr>
                    <w:rFonts w:ascii="Times New Roman" w:hAnsi="Times New Roman" w:cs="Times New Roman"/>
                    <w:szCs w:val="21"/>
                  </w:rPr>
                  <w:t>13,423,148.07</w:t>
                </w: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13,423,148.07</w:t>
                </w:r>
              </w:p>
            </w:tc>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pPr>
                  <w:ind w:leftChars="-27" w:right="105" w:hanging="56" w:hangingChars="27"/>
                  <w:jc w:val="right"/>
                  <w:rPr>
                    <w:rFonts w:ascii="Times New Roman" w:hAnsi="Times New Roman" w:cs="Times New Roman"/>
                    <w:sz w:val="24"/>
                  </w:rPr>
                </w:pPr>
                <w:r>
                  <w:rPr>
                    <w:rFonts w:ascii="Times New Roman" w:hAnsi="Times New Roman" w:cs="Times New Roman"/>
                  </w:rPr>
                  <w:t>13,423,148.07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1b492ac76a6486cbdda41e1180ee125"/>
                <w:id w:val="865724940"/>
                <w:lock w:val="sdtLocked"/>
              </w:sdtPr>
              <w:sdtEndPr>
                <w:rPr>
                  <w:rFonts w:ascii="Times New Roman" w:hAnsi="Times New Roman" w:cs="Times New Roman"/>
                </w:rPr>
              </w:sdtEndPr>
              <w:sdtContent>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ind w:left="-2" w:leftChars="-92" w:hanging="191" w:hangingChars="91"/>
                  <w:jc w:val="right"/>
                  <w:rPr>
                    <w:rFonts w:ascii="Times New Roman" w:hAnsi="Times New Roman" w:cs="Times New Roman"/>
                    <w:szCs w:val="21"/>
                  </w:rPr>
                </w:pPr>
                <w:r>
                  <w:rPr>
                    <w:rFonts w:ascii="Times New Roman" w:hAnsi="Times New Roman" w:cs="Times New Roman"/>
                    <w:szCs w:val="21"/>
                  </w:rPr>
                  <w:t>13,423,148.07</w:t>
                </w:r>
              </w:p>
            </w:tc>
            <w:tc>
              <w:tcPr>
                <w:tcW w:w="22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4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2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37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13,423,148.07</w:t>
                </w:r>
              </w:p>
            </w:tc>
            <w:tc>
              <w:tcPr>
                <w:tcW w:w="81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13,423,148.07</w:t>
                </w:r>
              </w:p>
            </w:tc>
          </w:tr>
        </w:tbl>
        <w:p/>
        <w:sdt>
          <w:sdtPr>
            <w:rPr>
              <w:rFonts w:hint="eastAsia"/>
              <w:szCs w:val="21"/>
            </w:rPr>
            <w:tag w:val="_SEC_3a311bd4f3f14e4ea06367dc28b85743"/>
            <w:id w:val="865724942"/>
            <w:lock w:val="sdtLocked"/>
            <w:placeholder>
              <w:docPart w:val="GBC22222222222222222222222222222"/>
            </w:placeholder>
            <w:showingPlcHdr/>
          </w:sdtPr>
          <w:sdtEndPr>
            <w:rPr>
              <w:rFonts w:hint="default"/>
              <w:szCs w:val="21"/>
            </w:rPr>
          </w:sdtEndPr>
          <w:sdtContent>
            <w:p>
              <w:pPr>
                <w:snapToGrid w:val="0"/>
                <w:spacing w:line="240" w:lineRule="atLeast"/>
                <w:rPr>
                  <w:szCs w:val="21"/>
                </w:rPr>
              </w:pPr>
              <w:r>
                <w:rPr>
                  <w:rStyle w:val="70"/>
                  <w:rFonts w:hint="eastAsia"/>
                  <w:color w:val="333399"/>
                  <w:u w:val="single"/>
                </w:rPr>
                <w:t>　　　</w:t>
              </w:r>
            </w:p>
          </w:sdtContent>
        </w:sdt>
      </w:sdtContent>
    </w:sdt>
    <w:sdt>
      <w:sdtPr>
        <w:rPr>
          <w:rFonts w:hint="eastAsia"/>
          <w:b w:val="0"/>
          <w:bCs w:val="0"/>
          <w:szCs w:val="21"/>
        </w:rPr>
        <w:alias w:val="模块:其他权益工具投资情况"/>
        <w:tag w:val="_SEC_28824f064b6848578824ba80aeb4ac54"/>
        <w:id w:val="865724954"/>
        <w:lock w:val="sdtLocked"/>
        <w:placeholder>
          <w:docPart w:val="GBC22222222222222222222222222222"/>
        </w:placeholder>
      </w:sdtPr>
      <w:sdtEndPr>
        <w:rPr>
          <w:rFonts w:hint="default"/>
          <w:b w:val="0"/>
          <w:bCs w:val="0"/>
          <w:szCs w:val="22"/>
        </w:rPr>
      </w:sdtEndPr>
      <w:sdtContent>
        <w:p>
          <w:pPr>
            <w:pStyle w:val="4"/>
            <w:numPr>
              <w:ilvl w:val="0"/>
              <w:numId w:val="79"/>
            </w:numPr>
            <w:tabs>
              <w:tab w:val="left" w:pos="504"/>
            </w:tabs>
            <w:rPr>
              <w:szCs w:val="21"/>
            </w:rPr>
          </w:pPr>
          <w:bookmarkStart w:id="177" w:name="_Hlk533409702"/>
          <w:r>
            <w:rPr>
              <w:rFonts w:hint="eastAsia"/>
              <w:szCs w:val="21"/>
            </w:rPr>
            <w:t>其他权益工具投资</w:t>
          </w:r>
        </w:p>
        <w:p>
          <w:pPr>
            <w:pStyle w:val="5"/>
            <w:numPr>
              <w:ilvl w:val="3"/>
              <w:numId w:val="89"/>
            </w:numPr>
            <w:ind w:left="426" w:hanging="426"/>
          </w:pPr>
          <w:bookmarkStart w:id="178" w:name="_Hlk532994936"/>
          <w:r>
            <w:rPr>
              <w:rFonts w:hint="eastAsia"/>
            </w:rPr>
            <w:t>其他权益工具投资情况</w:t>
          </w:r>
        </w:p>
        <w:sdt>
          <w:sdtPr>
            <w:alias w:val="是否适用：其他权益工具投资情况[双击切换]"/>
            <w:tag w:val="_GBC_d086d5c38ce84090b98eac90481c97aa"/>
            <w:id w:val="86572494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8657249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8657249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177"/>
        <w:bookmarkEnd w:id="178"/>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650"/>
            <w:gridCol w:w="2688"/>
            <w:gridCol w:w="27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rPr>
                  <w:rFonts w:ascii="Times New Roman" w:hAnsi="Times New Roman" w:cs="Times New Roman"/>
                </w:rPr>
                <w:tag w:val="_PLD_61c0544752ba493aaf375242547dccc6"/>
                <w:id w:val="865724947"/>
                <w:lock w:val="sdtLocked"/>
              </w:sdtPr>
              <w:sdtEndPr>
                <w:rPr>
                  <w:rFonts w:ascii="Times New Roman" w:hAnsi="Times New Roman" w:cs="Times New Roman"/>
                </w:rPr>
              </w:sdtEndPr>
              <w:sdtContent>
                <w:tc>
                  <w:tcPr>
                    <w:tcW w:w="2017" w:type="pc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af37ba7740d949a3a0293ffb3c90c81e"/>
                <w:id w:val="865724948"/>
                <w:lock w:val="sdtLocked"/>
              </w:sdtPr>
              <w:sdtEndPr>
                <w:rPr>
                  <w:rFonts w:ascii="Times New Roman" w:hAnsi="Times New Roman" w:cs="Times New Roman"/>
                </w:rPr>
              </w:sdtEndPr>
              <w:sdtContent>
                <w:tc>
                  <w:tcPr>
                    <w:tcW w:w="1485" w:type="pct"/>
                    <w:tcBorders>
                      <w:bottom w:val="single" w:color="auto" w:sz="6" w:space="0"/>
                    </w:tcBorders>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158bc18d839846e78ca4a9687f119e16"/>
                <w:id w:val="865724949"/>
                <w:lock w:val="sdtLocked"/>
              </w:sdtPr>
              <w:sdtEndPr>
                <w:rPr>
                  <w:rFonts w:ascii="Times New Roman" w:hAnsi="Times New Roman" w:cs="Times New Roman"/>
                </w:rPr>
              </w:sdtEndPr>
              <w:sdtContent>
                <w:tc>
                  <w:tcPr>
                    <w:tcW w:w="1498" w:type="pct"/>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期初余额</w:t>
                    </w:r>
                  </w:p>
                </w:tc>
              </w:sdtContent>
            </w:sdt>
          </w:tr>
          <w:sdt>
            <w:sdtPr>
              <w:rPr>
                <w:rFonts w:ascii="Times New Roman" w:hAnsi="Times New Roman" w:cs="Times New Roman"/>
                <w:szCs w:val="21"/>
              </w:rPr>
              <w:alias w:val="其他权益工具投资明细"/>
              <w:tag w:val="_TUP_2181011c68774147afbfcb817f7459e8"/>
              <w:id w:val="86572495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rFonts w:ascii="Times New Roman" w:hAnsi="Times New Roman" w:cs="Times New Roman"/>
                        <w:szCs w:val="21"/>
                      </w:rPr>
                    </w:pPr>
                    <w:r>
                      <w:rPr>
                        <w:rFonts w:ascii="Times New Roman" w:cs="Times New Roman"/>
                      </w:rPr>
                      <w:t>柳州银行股份有限公司</w:t>
                    </w:r>
                  </w:p>
                </w:tc>
                <w:tc>
                  <w:tcPr>
                    <w:tcW w:w="1485" w:type="pct"/>
                    <w:tcBorders>
                      <w:top w:val="single" w:color="auto" w:sz="6" w:space="0"/>
                      <w:bottom w:val="single" w:color="auto" w:sz="6" w:space="0"/>
                    </w:tcBorders>
                    <w:shd w:val="clear" w:color="auto" w:fill="auto"/>
                  </w:tcPr>
                  <w:p>
                    <w:pPr>
                      <w:jc w:val="right"/>
                      <w:rPr>
                        <w:rFonts w:ascii="Times New Roman" w:hAnsi="Times New Roman" w:cs="Times New Roman"/>
                        <w:szCs w:val="21"/>
                      </w:rPr>
                    </w:pPr>
                    <w:r>
                      <w:rPr>
                        <w:rFonts w:ascii="Times New Roman" w:hAnsi="Times New Roman" w:cs="Times New Roman"/>
                      </w:rPr>
                      <w:t>35,000,000.00</w:t>
                    </w:r>
                  </w:p>
                </w:tc>
                <w:tc>
                  <w:tcPr>
                    <w:tcW w:w="1498" w:type="pct"/>
                    <w:shd w:val="clear" w:color="auto" w:fill="auto"/>
                  </w:tcPr>
                  <w:p>
                    <w:pPr>
                      <w:jc w:val="right"/>
                      <w:rPr>
                        <w:rFonts w:ascii="Times New Roman" w:hAnsi="Times New Roman" w:cs="Times New Roman"/>
                        <w:szCs w:val="21"/>
                      </w:rPr>
                    </w:pPr>
                    <w:r>
                      <w:rPr>
                        <w:rFonts w:ascii="Times New Roman" w:hAnsi="Times New Roman" w:cs="Times New Roman"/>
                      </w:rPr>
                      <w:t>35,000,000.00</w:t>
                    </w:r>
                  </w:p>
                </w:tc>
              </w:tr>
            </w:sdtContent>
          </w:sdt>
          <w:sdt>
            <w:sdtPr>
              <w:rPr>
                <w:rFonts w:ascii="Times New Roman" w:hAnsi="Times New Roman" w:cs="Times New Roman"/>
                <w:szCs w:val="21"/>
              </w:rPr>
              <w:alias w:val="其他权益工具投资明细"/>
              <w:tag w:val="_TUP_2181011c68774147afbfcb817f7459e8"/>
              <w:id w:val="86572495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rFonts w:ascii="Times New Roman" w:hAnsi="Times New Roman" w:cs="Times New Roman"/>
                        <w:szCs w:val="21"/>
                      </w:rPr>
                    </w:pPr>
                    <w:r>
                      <w:rPr>
                        <w:rFonts w:ascii="Times New Roman" w:cs="Times New Roman"/>
                      </w:rPr>
                      <w:t>广西北部湾银行股份有限公司</w:t>
                    </w:r>
                  </w:p>
                </w:tc>
                <w:tc>
                  <w:tcPr>
                    <w:tcW w:w="1485"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257,200,000.00</w:t>
                    </w:r>
                  </w:p>
                </w:tc>
                <w:tc>
                  <w:tcPr>
                    <w:tcW w:w="1498" w:type="pct"/>
                    <w:shd w:val="clear" w:color="auto" w:fill="auto"/>
                    <w:vAlign w:val="center"/>
                  </w:tcPr>
                  <w:p>
                    <w:pPr>
                      <w:jc w:val="right"/>
                      <w:rPr>
                        <w:rFonts w:ascii="Times New Roman" w:hAnsi="Times New Roman" w:cs="Times New Roman"/>
                        <w:szCs w:val="21"/>
                      </w:rPr>
                    </w:pPr>
                    <w:r>
                      <w:rPr>
                        <w:rFonts w:ascii="Times New Roman" w:hAnsi="Times New Roman" w:cs="Times New Roman"/>
                      </w:rPr>
                      <w:t>257,200,000.00</w:t>
                    </w:r>
                  </w:p>
                </w:tc>
              </w:tr>
            </w:sdtContent>
          </w:sdt>
          <w:sdt>
            <w:sdtPr>
              <w:rPr>
                <w:rFonts w:ascii="Times New Roman" w:hAnsi="Times New Roman" w:cs="Times New Roman"/>
                <w:szCs w:val="21"/>
              </w:rPr>
              <w:alias w:val="其他权益工具投资明细"/>
              <w:tag w:val="_TUP_2181011c68774147afbfcb817f7459e8"/>
              <w:id w:val="86572495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rFonts w:ascii="Times New Roman" w:hAnsi="Times New Roman" w:cs="Times New Roman"/>
                        <w:szCs w:val="21"/>
                      </w:rPr>
                    </w:pPr>
                    <w:r>
                      <w:rPr>
                        <w:rFonts w:ascii="Times New Roman" w:cs="Times New Roman"/>
                      </w:rPr>
                      <w:t>柳州市亿康投资发展有限责任公司</w:t>
                    </w:r>
                  </w:p>
                </w:tc>
                <w:tc>
                  <w:tcPr>
                    <w:tcW w:w="1485"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p>
                </w:tc>
                <w:tc>
                  <w:tcPr>
                    <w:tcW w:w="1498" w:type="pct"/>
                    <w:shd w:val="clear" w:color="auto" w:fill="auto"/>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rPr>
                  <w:rFonts w:ascii="Times New Roman" w:hAnsi="Times New Roman" w:cs="Times New Roman"/>
                </w:rPr>
                <w:tag w:val="_PLD_0c37c3458bef418a8d30226250a27be8"/>
                <w:id w:val="865724953"/>
                <w:lock w:val="sdtLocked"/>
              </w:sdtPr>
              <w:sdtEndPr>
                <w:rPr>
                  <w:rFonts w:ascii="Times New Roman" w:hAnsi="Times New Roman" w:cs="Times New Roman"/>
                </w:rPr>
              </w:sdtEndPr>
              <w:sdtContent>
                <w:tc>
                  <w:tcPr>
                    <w:tcW w:w="2017" w:type="pct"/>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1485" w:type="pct"/>
                <w:tcBorders>
                  <w:top w:val="single" w:color="auto" w:sz="6" w:space="0"/>
                  <w:bottom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292,200,000.00</w:t>
                </w:r>
              </w:p>
            </w:tc>
            <w:tc>
              <w:tcPr>
                <w:tcW w:w="1498" w:type="pct"/>
                <w:shd w:val="clear" w:color="auto" w:fill="auto"/>
                <w:vAlign w:val="center"/>
              </w:tcPr>
              <w:p>
                <w:pPr>
                  <w:jc w:val="right"/>
                  <w:rPr>
                    <w:rFonts w:ascii="Times New Roman" w:hAnsi="Times New Roman" w:cs="Times New Roman"/>
                    <w:sz w:val="24"/>
                  </w:rPr>
                </w:pPr>
                <w:r>
                  <w:rPr>
                    <w:rFonts w:ascii="Times New Roman" w:hAnsi="Times New Roman" w:cs="Times New Roman"/>
                  </w:rPr>
                  <w:t>292,200,000.00</w:t>
                </w:r>
              </w:p>
            </w:tc>
          </w:tr>
        </w:tbl>
        <w:p/>
        <w:p>
          <w:pPr>
            <w:pStyle w:val="82"/>
            <w:ind w:firstLine="0" w:firstLineChars="0"/>
          </w:pPr>
        </w:p>
      </w:sdtContent>
    </w:sdt>
    <w:sdt>
      <w:sdtPr>
        <w:rPr>
          <w:rFonts w:hint="eastAsia" w:ascii="宋体" w:hAnsi="宋体" w:eastAsia="宋体" w:cs="宋体"/>
          <w:b w:val="0"/>
          <w:bCs w:val="0"/>
          <w:kern w:val="0"/>
          <w:szCs w:val="24"/>
        </w:rPr>
        <w:alias w:val="模块:非交易性权益工具投资的情况"/>
        <w:tag w:val="_SEC_a20f5a6c87a7486f84aaaae7561d335d"/>
        <w:id w:val="865724969"/>
        <w:lock w:val="sdtLocked"/>
        <w:placeholder>
          <w:docPart w:val="GBC22222222222222222222222222222"/>
        </w:placeholder>
      </w:sdtPr>
      <w:sdtEndPr>
        <w:rPr>
          <w:rFonts w:hint="default" w:ascii="宋体" w:hAnsi="宋体" w:eastAsia="宋体" w:cs="宋体"/>
          <w:b w:val="0"/>
          <w:bCs w:val="0"/>
          <w:color w:val="333333"/>
          <w:kern w:val="0"/>
          <w:szCs w:val="21"/>
        </w:rPr>
      </w:sdtEndPr>
      <w:sdtContent>
        <w:p>
          <w:pPr>
            <w:pStyle w:val="5"/>
            <w:numPr>
              <w:ilvl w:val="3"/>
              <w:numId w:val="89"/>
            </w:numPr>
            <w:ind w:left="426" w:hanging="426"/>
          </w:pPr>
          <w:bookmarkStart w:id="179" w:name="_Hlk532995211"/>
          <w:bookmarkStart w:id="180" w:name="_Hlk533938157"/>
          <w:r>
            <w:rPr>
              <w:rFonts w:hint="eastAsia"/>
            </w:rPr>
            <w:t>非交易性权益工具投资的情况</w:t>
          </w:r>
        </w:p>
        <w:sdt>
          <w:sdtPr>
            <w:alias w:val="是否适用：非交易性权益工具投资情况[双击切换]"/>
            <w:tag w:val="_GBC_bc9bd0cb64e149f2b6adad5701cc1e11"/>
            <w:id w:val="86572495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非交易性权益工具投资情况"/>
              <w:tag w:val="_GBC_9670ecff60f2406d8385b0f2c027b86c"/>
              <w:id w:val="8657249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非交易性权益工具投资情况"/>
              <w:tag w:val="_GBC_cbf8d67c95ab4933810717f60ee72c1d"/>
              <w:id w:val="865724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179"/>
        <w:tbl>
          <w:tblPr>
            <w:tblStyle w:val="10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639"/>
            <w:gridCol w:w="774"/>
            <w:gridCol w:w="705"/>
            <w:gridCol w:w="1188"/>
            <w:gridCol w:w="1710"/>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32b13a51bd44decbda9442ed04c7052"/>
                <w:id w:val="865724958"/>
                <w:lock w:val="sdtLocked"/>
              </w:sdtPr>
              <w:sdtEndPr>
                <w:rPr>
                  <w:rFonts w:ascii="Times New Roman" w:hAnsi="Times New Roman" w:cs="Times New Roman"/>
                </w:rPr>
              </w:sdtEndPr>
              <w:sdtContent>
                <w:tc>
                  <w:tcPr>
                    <w:tcW w:w="844" w:type="pct"/>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ceede5be033846a09865ec1dc028fc4f"/>
                <w:id w:val="865724959"/>
                <w:lock w:val="sdtLocked"/>
              </w:sdtPr>
              <w:sdtEndPr>
                <w:rPr>
                  <w:rFonts w:ascii="Times New Roman" w:hAnsi="Times New Roman" w:cs="Times New Roman"/>
                </w:rPr>
              </w:sdtEndPr>
              <w:sdtContent>
                <w:tc>
                  <w:tcPr>
                    <w:tcW w:w="907" w:type="pct"/>
                    <w:vAlign w:val="center"/>
                  </w:tcPr>
                  <w:p>
                    <w:pPr>
                      <w:jc w:val="center"/>
                      <w:rPr>
                        <w:rFonts w:ascii="Times New Roman" w:hAnsi="Times New Roman" w:cs="Times New Roman"/>
                        <w:szCs w:val="21"/>
                      </w:rPr>
                    </w:pPr>
                    <w:r>
                      <w:rPr>
                        <w:rFonts w:ascii="Times New Roman" w:cs="Times New Roman"/>
                        <w:szCs w:val="21"/>
                      </w:rPr>
                      <w:t>本期确认的股利收入</w:t>
                    </w:r>
                  </w:p>
                </w:tc>
              </w:sdtContent>
            </w:sdt>
            <w:sdt>
              <w:sdtPr>
                <w:rPr>
                  <w:rFonts w:ascii="Times New Roman" w:hAnsi="Times New Roman" w:cs="Times New Roman"/>
                </w:rPr>
                <w:tag w:val="_PLD_201f3d1b1dc448f3b0c2fdecd4f1f963"/>
                <w:id w:val="865724960"/>
                <w:lock w:val="sdtLocked"/>
              </w:sdtPr>
              <w:sdtEndPr>
                <w:rPr>
                  <w:rFonts w:ascii="Times New Roman" w:hAnsi="Times New Roman" w:cs="Times New Roman"/>
                </w:rPr>
              </w:sdtEndPr>
              <w:sdtContent>
                <w:tc>
                  <w:tcPr>
                    <w:tcW w:w="428" w:type="pct"/>
                    <w:vAlign w:val="center"/>
                  </w:tcPr>
                  <w:p>
                    <w:pPr>
                      <w:jc w:val="center"/>
                      <w:rPr>
                        <w:rFonts w:ascii="Times New Roman" w:hAnsi="Times New Roman" w:cs="Times New Roman"/>
                        <w:szCs w:val="21"/>
                      </w:rPr>
                    </w:pPr>
                    <w:r>
                      <w:rPr>
                        <w:rFonts w:ascii="Times New Roman" w:cs="Times New Roman"/>
                        <w:szCs w:val="21"/>
                      </w:rPr>
                      <w:t>累计利得</w:t>
                    </w:r>
                  </w:p>
                </w:tc>
              </w:sdtContent>
            </w:sdt>
            <w:sdt>
              <w:sdtPr>
                <w:rPr>
                  <w:rFonts w:ascii="Times New Roman" w:hAnsi="Times New Roman" w:cs="Times New Roman"/>
                </w:rPr>
                <w:tag w:val="_PLD_e20f4109e8114e79b32bd683e1f624f9"/>
                <w:id w:val="865724961"/>
                <w:lock w:val="sdtLocked"/>
              </w:sdtPr>
              <w:sdtEndPr>
                <w:rPr>
                  <w:rFonts w:ascii="Times New Roman" w:hAnsi="Times New Roman" w:cs="Times New Roman"/>
                </w:rPr>
              </w:sdtEndPr>
              <w:sdtContent>
                <w:tc>
                  <w:tcPr>
                    <w:tcW w:w="390" w:type="pct"/>
                    <w:vAlign w:val="center"/>
                  </w:tcPr>
                  <w:p>
                    <w:pPr>
                      <w:jc w:val="center"/>
                      <w:rPr>
                        <w:rFonts w:ascii="Times New Roman" w:hAnsi="Times New Roman" w:cs="Times New Roman"/>
                        <w:szCs w:val="21"/>
                      </w:rPr>
                    </w:pPr>
                    <w:r>
                      <w:rPr>
                        <w:rFonts w:ascii="Times New Roman" w:cs="Times New Roman"/>
                        <w:szCs w:val="21"/>
                      </w:rPr>
                      <w:t>累计损失</w:t>
                    </w:r>
                  </w:p>
                </w:tc>
              </w:sdtContent>
            </w:sdt>
            <w:sdt>
              <w:sdtPr>
                <w:rPr>
                  <w:rFonts w:ascii="Times New Roman" w:hAnsi="Times New Roman" w:cs="Times New Roman"/>
                </w:rPr>
                <w:tag w:val="_PLD_8f2134a1b3ec43ccb867568cb56a86de"/>
                <w:id w:val="865724962"/>
                <w:lock w:val="sdtLocked"/>
              </w:sdtPr>
              <w:sdtEndPr>
                <w:rPr>
                  <w:rFonts w:ascii="Times New Roman" w:hAnsi="Times New Roman" w:cs="Times New Roman"/>
                </w:rPr>
              </w:sdtEndPr>
              <w:sdtContent>
                <w:tc>
                  <w:tcPr>
                    <w:tcW w:w="657" w:type="pct"/>
                    <w:vAlign w:val="center"/>
                  </w:tcPr>
                  <w:p>
                    <w:pPr>
                      <w:jc w:val="center"/>
                      <w:rPr>
                        <w:rFonts w:ascii="Times New Roman" w:hAnsi="Times New Roman" w:cs="Times New Roman"/>
                        <w:szCs w:val="21"/>
                      </w:rPr>
                    </w:pPr>
                    <w:r>
                      <w:rPr>
                        <w:rFonts w:ascii="Times New Roman" w:cs="Times New Roman"/>
                        <w:szCs w:val="21"/>
                      </w:rPr>
                      <w:t>其他综合收益转入留存收益的金额</w:t>
                    </w:r>
                  </w:p>
                </w:tc>
              </w:sdtContent>
            </w:sdt>
            <w:sdt>
              <w:sdtPr>
                <w:rPr>
                  <w:rFonts w:ascii="Times New Roman" w:hAnsi="Times New Roman" w:cs="Times New Roman"/>
                </w:rPr>
                <w:tag w:val="_PLD_b5c711ea1e6845a1b26fb2c13357882c"/>
                <w:id w:val="865724963"/>
                <w:lock w:val="sdtLocked"/>
              </w:sdtPr>
              <w:sdtEndPr>
                <w:rPr>
                  <w:rFonts w:ascii="Times New Roman" w:hAnsi="Times New Roman" w:cs="Times New Roman"/>
                </w:rPr>
              </w:sdtEndPr>
              <w:sdtContent>
                <w:tc>
                  <w:tcPr>
                    <w:tcW w:w="946" w:type="pct"/>
                  </w:tcPr>
                  <w:p>
                    <w:pPr>
                      <w:jc w:val="center"/>
                      <w:rPr>
                        <w:rFonts w:ascii="Times New Roman" w:hAnsi="Times New Roman" w:cs="Times New Roman"/>
                      </w:rPr>
                    </w:pPr>
                    <w:r>
                      <w:rPr>
                        <w:rFonts w:ascii="Times New Roman" w:cs="Times New Roman"/>
                      </w:rPr>
                      <w:t>指定为以公允价值计量且其变动计入其他综合收益的原因</w:t>
                    </w:r>
                  </w:p>
                </w:tc>
              </w:sdtContent>
            </w:sdt>
            <w:sdt>
              <w:sdtPr>
                <w:rPr>
                  <w:rFonts w:ascii="Times New Roman" w:hAnsi="Times New Roman" w:cs="Times New Roman"/>
                </w:rPr>
                <w:tag w:val="_PLD_79b8ac256625407da48ae35b42e73f12"/>
                <w:id w:val="865724964"/>
                <w:lock w:val="sdtLocked"/>
              </w:sdtPr>
              <w:sdtEndPr>
                <w:rPr>
                  <w:rFonts w:ascii="Times New Roman" w:hAnsi="Times New Roman" w:cs="Times New Roman"/>
                </w:rPr>
              </w:sdtEndPr>
              <w:sdtContent>
                <w:tc>
                  <w:tcPr>
                    <w:tcW w:w="829" w:type="pct"/>
                    <w:vAlign w:val="center"/>
                  </w:tcPr>
                  <w:p>
                    <w:pPr>
                      <w:jc w:val="center"/>
                      <w:rPr>
                        <w:rFonts w:ascii="Times New Roman" w:hAnsi="Times New Roman" w:cs="Times New Roman"/>
                        <w:szCs w:val="21"/>
                      </w:rPr>
                    </w:pPr>
                    <w:r>
                      <w:rPr>
                        <w:rFonts w:ascii="Times New Roman" w:cs="Times New Roman"/>
                      </w:rPr>
                      <w:t>其他综合收益转入留存收益的原因</w:t>
                    </w:r>
                  </w:p>
                </w:tc>
              </w:sdtContent>
            </w:sdt>
          </w:tr>
          <w:sdt>
            <w:sdtPr>
              <w:rPr>
                <w:rFonts w:ascii="Times New Roman" w:hAnsi="Times New Roman" w:cs="Times New Roman"/>
                <w:szCs w:val="21"/>
              </w:rPr>
              <w:alias w:val="非交易性权益工具投资明细"/>
              <w:tag w:val="_TUP_991c5e505207476aa32a4523b109f5f5"/>
              <w:id w:val="86572496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tcPr>
                  <w:p>
                    <w:pPr>
                      <w:rPr>
                        <w:rFonts w:ascii="Times New Roman" w:hAnsi="Times New Roman" w:cs="Times New Roman"/>
                        <w:szCs w:val="21"/>
                      </w:rPr>
                    </w:pPr>
                    <w:r>
                      <w:rPr>
                        <w:rFonts w:ascii="Times New Roman" w:cs="Times New Roman"/>
                      </w:rPr>
                      <w:t>柳州银行股份有限公司</w:t>
                    </w:r>
                  </w:p>
                </w:tc>
                <w:tc>
                  <w:tcPr>
                    <w:tcW w:w="907" w:type="pct"/>
                    <w:vAlign w:val="center"/>
                  </w:tcPr>
                  <w:p>
                    <w:pPr>
                      <w:ind w:left="317" w:leftChars="151"/>
                      <w:jc w:val="right"/>
                      <w:rPr>
                        <w:rFonts w:ascii="Times New Roman" w:hAnsi="Times New Roman" w:cs="Times New Roman"/>
                        <w:sz w:val="24"/>
                      </w:rPr>
                    </w:pPr>
                    <w:r>
                      <w:rPr>
                        <w:rFonts w:ascii="Times New Roman" w:hAnsi="Times New Roman" w:cs="Times New Roman"/>
                      </w:rPr>
                      <w:t>1,200,000.00</w:t>
                    </w:r>
                  </w:p>
                </w:tc>
                <w:tc>
                  <w:tcPr>
                    <w:tcW w:w="428" w:type="pct"/>
                  </w:tcPr>
                  <w:p>
                    <w:pPr>
                      <w:jc w:val="right"/>
                      <w:rPr>
                        <w:rFonts w:ascii="Times New Roman" w:hAnsi="Times New Roman" w:cs="Times New Roman"/>
                        <w:szCs w:val="21"/>
                      </w:rPr>
                    </w:pPr>
                  </w:p>
                </w:tc>
                <w:tc>
                  <w:tcPr>
                    <w:tcW w:w="390" w:type="pct"/>
                  </w:tcPr>
                  <w:p>
                    <w:pPr>
                      <w:jc w:val="right"/>
                      <w:rPr>
                        <w:rFonts w:ascii="Times New Roman" w:hAnsi="Times New Roman" w:cs="Times New Roman"/>
                        <w:szCs w:val="21"/>
                      </w:rPr>
                    </w:pPr>
                  </w:p>
                </w:tc>
                <w:tc>
                  <w:tcPr>
                    <w:tcW w:w="657" w:type="pct"/>
                  </w:tcPr>
                  <w:p>
                    <w:pPr>
                      <w:jc w:val="right"/>
                      <w:rPr>
                        <w:rFonts w:ascii="Times New Roman" w:hAnsi="Times New Roman" w:cs="Times New Roman"/>
                        <w:szCs w:val="21"/>
                      </w:rPr>
                    </w:pPr>
                  </w:p>
                </w:tc>
                <w:tc>
                  <w:tcPr>
                    <w:tcW w:w="946" w:type="pct"/>
                  </w:tcPr>
                  <w:p>
                    <w:pPr>
                      <w:rPr>
                        <w:rFonts w:ascii="Times New Roman" w:hAnsi="Times New Roman" w:cs="Times New Roman"/>
                        <w:szCs w:val="21"/>
                      </w:rPr>
                    </w:pPr>
                  </w:p>
                </w:tc>
                <w:tc>
                  <w:tcPr>
                    <w:tcW w:w="829" w:type="pct"/>
                  </w:tcPr>
                  <w:p>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86572496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tcPr>
                  <w:p>
                    <w:pPr>
                      <w:rPr>
                        <w:rFonts w:ascii="Times New Roman" w:hAnsi="Times New Roman" w:cs="Times New Roman"/>
                        <w:szCs w:val="21"/>
                      </w:rPr>
                    </w:pPr>
                    <w:r>
                      <w:rPr>
                        <w:rFonts w:ascii="Times New Roman" w:cs="Times New Roman"/>
                      </w:rPr>
                      <w:t>广西北部湾银行股份有限公司</w:t>
                    </w:r>
                  </w:p>
                </w:tc>
                <w:tc>
                  <w:tcPr>
                    <w:tcW w:w="907" w:type="pct"/>
                    <w:vAlign w:val="center"/>
                  </w:tcPr>
                  <w:p>
                    <w:pPr>
                      <w:jc w:val="right"/>
                      <w:rPr>
                        <w:rFonts w:ascii="Times New Roman" w:hAnsi="Times New Roman" w:cs="Times New Roman"/>
                        <w:sz w:val="24"/>
                      </w:rPr>
                    </w:pPr>
                    <w:r>
                      <w:rPr>
                        <w:rFonts w:ascii="Times New Roman" w:hAnsi="Times New Roman" w:cs="Times New Roman"/>
                      </w:rPr>
                      <w:t>13,860,000.00</w:t>
                    </w:r>
                  </w:p>
                </w:tc>
                <w:tc>
                  <w:tcPr>
                    <w:tcW w:w="428" w:type="pct"/>
                  </w:tcPr>
                  <w:p>
                    <w:pPr>
                      <w:jc w:val="right"/>
                      <w:rPr>
                        <w:rFonts w:ascii="Times New Roman" w:hAnsi="Times New Roman" w:cs="Times New Roman"/>
                        <w:szCs w:val="21"/>
                      </w:rPr>
                    </w:pPr>
                  </w:p>
                </w:tc>
                <w:tc>
                  <w:tcPr>
                    <w:tcW w:w="390" w:type="pct"/>
                  </w:tcPr>
                  <w:p>
                    <w:pPr>
                      <w:jc w:val="right"/>
                      <w:rPr>
                        <w:rFonts w:ascii="Times New Roman" w:hAnsi="Times New Roman" w:cs="Times New Roman"/>
                        <w:szCs w:val="21"/>
                      </w:rPr>
                    </w:pPr>
                  </w:p>
                </w:tc>
                <w:tc>
                  <w:tcPr>
                    <w:tcW w:w="657" w:type="pct"/>
                  </w:tcPr>
                  <w:p>
                    <w:pPr>
                      <w:jc w:val="right"/>
                      <w:rPr>
                        <w:rFonts w:ascii="Times New Roman" w:hAnsi="Times New Roman" w:cs="Times New Roman"/>
                        <w:szCs w:val="21"/>
                      </w:rPr>
                    </w:pPr>
                  </w:p>
                </w:tc>
                <w:tc>
                  <w:tcPr>
                    <w:tcW w:w="946" w:type="pct"/>
                  </w:tcPr>
                  <w:p>
                    <w:pPr>
                      <w:rPr>
                        <w:rFonts w:ascii="Times New Roman" w:hAnsi="Times New Roman" w:cs="Times New Roman"/>
                        <w:szCs w:val="21"/>
                      </w:rPr>
                    </w:pPr>
                  </w:p>
                </w:tc>
                <w:tc>
                  <w:tcPr>
                    <w:tcW w:w="829" w:type="pct"/>
                  </w:tcPr>
                  <w:p>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86572496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tcPr>
                  <w:p>
                    <w:pPr>
                      <w:rPr>
                        <w:rFonts w:ascii="Times New Roman" w:hAnsi="Times New Roman" w:cs="Times New Roman"/>
                        <w:szCs w:val="21"/>
                      </w:rPr>
                    </w:pPr>
                    <w:r>
                      <w:rPr>
                        <w:rFonts w:ascii="Times New Roman" w:cs="Times New Roman"/>
                      </w:rPr>
                      <w:t>柳州市亿康投资发展有限责任公司</w:t>
                    </w:r>
                  </w:p>
                </w:tc>
                <w:tc>
                  <w:tcPr>
                    <w:tcW w:w="907" w:type="pct"/>
                    <w:vAlign w:val="center"/>
                  </w:tcPr>
                  <w:p>
                    <w:pPr>
                      <w:jc w:val="right"/>
                      <w:rPr>
                        <w:rFonts w:ascii="Times New Roman" w:hAnsi="Times New Roman" w:cs="Times New Roman"/>
                        <w:sz w:val="24"/>
                      </w:rPr>
                    </w:pPr>
                  </w:p>
                </w:tc>
                <w:tc>
                  <w:tcPr>
                    <w:tcW w:w="428" w:type="pct"/>
                  </w:tcPr>
                  <w:p>
                    <w:pPr>
                      <w:jc w:val="right"/>
                      <w:rPr>
                        <w:rFonts w:ascii="Times New Roman" w:hAnsi="Times New Roman" w:cs="Times New Roman"/>
                        <w:szCs w:val="21"/>
                      </w:rPr>
                    </w:pPr>
                  </w:p>
                </w:tc>
                <w:tc>
                  <w:tcPr>
                    <w:tcW w:w="390" w:type="pct"/>
                  </w:tcPr>
                  <w:p>
                    <w:pPr>
                      <w:jc w:val="right"/>
                      <w:rPr>
                        <w:rFonts w:ascii="Times New Roman" w:hAnsi="Times New Roman" w:cs="Times New Roman"/>
                        <w:szCs w:val="21"/>
                      </w:rPr>
                    </w:pPr>
                  </w:p>
                </w:tc>
                <w:tc>
                  <w:tcPr>
                    <w:tcW w:w="657" w:type="pct"/>
                  </w:tcPr>
                  <w:p>
                    <w:pPr>
                      <w:jc w:val="right"/>
                      <w:rPr>
                        <w:rFonts w:ascii="Times New Roman" w:hAnsi="Times New Roman" w:cs="Times New Roman"/>
                        <w:szCs w:val="21"/>
                      </w:rPr>
                    </w:pPr>
                  </w:p>
                </w:tc>
                <w:tc>
                  <w:tcPr>
                    <w:tcW w:w="946" w:type="pct"/>
                  </w:tcPr>
                  <w:p>
                    <w:pPr>
                      <w:rPr>
                        <w:rFonts w:ascii="Times New Roman" w:hAnsi="Times New Roman" w:cs="Times New Roman"/>
                        <w:szCs w:val="21"/>
                      </w:rPr>
                    </w:pPr>
                  </w:p>
                </w:tc>
                <w:tc>
                  <w:tcPr>
                    <w:tcW w:w="829" w:type="pct"/>
                  </w:tcPr>
                  <w:p>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86572496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tcPr>
                  <w:p>
                    <w:pPr>
                      <w:rPr>
                        <w:rFonts w:ascii="Times New Roman" w:hAnsi="Times New Roman" w:cs="Times New Roman"/>
                        <w:szCs w:val="21"/>
                      </w:rPr>
                    </w:pPr>
                    <w:r>
                      <w:rPr>
                        <w:rFonts w:ascii="Times New Roman" w:cs="Times New Roman"/>
                      </w:rPr>
                      <w:t>合计</w:t>
                    </w:r>
                  </w:p>
                </w:tc>
                <w:tc>
                  <w:tcPr>
                    <w:tcW w:w="907" w:type="pct"/>
                    <w:vAlign w:val="center"/>
                  </w:tcPr>
                  <w:p>
                    <w:pPr>
                      <w:jc w:val="right"/>
                      <w:rPr>
                        <w:rFonts w:ascii="Times New Roman" w:hAnsi="Times New Roman" w:cs="Times New Roman"/>
                        <w:sz w:val="24"/>
                      </w:rPr>
                    </w:pPr>
                    <w:r>
                      <w:rPr>
                        <w:rFonts w:ascii="Times New Roman" w:hAnsi="Times New Roman" w:cs="Times New Roman"/>
                      </w:rPr>
                      <w:t>15,060,000.00</w:t>
                    </w:r>
                  </w:p>
                </w:tc>
                <w:tc>
                  <w:tcPr>
                    <w:tcW w:w="428" w:type="pct"/>
                  </w:tcPr>
                  <w:p>
                    <w:pPr>
                      <w:jc w:val="right"/>
                      <w:rPr>
                        <w:rFonts w:ascii="Times New Roman" w:hAnsi="Times New Roman" w:cs="Times New Roman"/>
                        <w:szCs w:val="21"/>
                      </w:rPr>
                    </w:pPr>
                  </w:p>
                </w:tc>
                <w:tc>
                  <w:tcPr>
                    <w:tcW w:w="390" w:type="pct"/>
                  </w:tcPr>
                  <w:p>
                    <w:pPr>
                      <w:jc w:val="right"/>
                      <w:rPr>
                        <w:rFonts w:ascii="Times New Roman" w:hAnsi="Times New Roman" w:cs="Times New Roman"/>
                        <w:szCs w:val="21"/>
                      </w:rPr>
                    </w:pPr>
                  </w:p>
                </w:tc>
                <w:tc>
                  <w:tcPr>
                    <w:tcW w:w="657" w:type="pct"/>
                  </w:tcPr>
                  <w:p>
                    <w:pPr>
                      <w:jc w:val="right"/>
                      <w:rPr>
                        <w:rFonts w:ascii="Times New Roman" w:hAnsi="Times New Roman" w:cs="Times New Roman"/>
                        <w:szCs w:val="21"/>
                      </w:rPr>
                    </w:pPr>
                  </w:p>
                </w:tc>
                <w:tc>
                  <w:tcPr>
                    <w:tcW w:w="946" w:type="pct"/>
                  </w:tcPr>
                  <w:p>
                    <w:pPr>
                      <w:rPr>
                        <w:rFonts w:ascii="Times New Roman" w:hAnsi="Times New Roman" w:cs="Times New Roman"/>
                        <w:szCs w:val="21"/>
                      </w:rPr>
                    </w:pPr>
                  </w:p>
                </w:tc>
                <w:tc>
                  <w:tcPr>
                    <w:tcW w:w="829" w:type="pct"/>
                  </w:tcPr>
                  <w:p>
                    <w:pPr>
                      <w:rPr>
                        <w:rFonts w:ascii="Times New Roman" w:hAnsi="Times New Roman" w:cs="Times New Roman"/>
                        <w:szCs w:val="21"/>
                      </w:rPr>
                    </w:pPr>
                  </w:p>
                </w:tc>
              </w:tr>
            </w:sdtContent>
          </w:sdt>
        </w:tbl>
        <w:p/>
        <w:p>
          <w:pPr>
            <w:rPr>
              <w:color w:val="333333"/>
              <w:szCs w:val="21"/>
            </w:rPr>
          </w:pPr>
        </w:p>
      </w:sdtContent>
    </w:sdt>
    <w:bookmarkEnd w:id="180"/>
    <w:sdt>
      <w:sdtPr>
        <w:rPr>
          <w:rFonts w:hint="eastAsia"/>
        </w:rPr>
        <w:alias w:val="模块:其他权益工具投资其他说明"/>
        <w:tag w:val="_SEC_646eb5e4608348a5bc5c6dea7ef6971a"/>
        <w:id w:val="865724971"/>
        <w:lock w:val="sdtLocked"/>
        <w:placeholder>
          <w:docPart w:val="GBC22222222222222222222222222222"/>
        </w:placeholder>
      </w:sdtPr>
      <w:sdtEndPr>
        <w:rPr>
          <w:rFonts w:hint="default"/>
          <w:szCs w:val="21"/>
        </w:rPr>
      </w:sdtEndPr>
      <w:sdtContent>
        <w:p>
          <w:r>
            <w:rPr>
              <w:rFonts w:hint="eastAsia"/>
            </w:rPr>
            <w:t>其他</w:t>
          </w:r>
          <w:r>
            <w:t>说明</w:t>
          </w:r>
          <w:r>
            <w:rPr>
              <w:rFonts w:hint="eastAsia"/>
            </w:rPr>
            <w:t>：</w:t>
          </w:r>
        </w:p>
        <w:sdt>
          <w:sdtPr>
            <w:alias w:val="是否适用：其他权益工具投资其他说明[双击切换]"/>
            <w:tag w:val="_GBC_217dff5073ff4a12b86d342292038452"/>
            <w:id w:val="865724970"/>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sdtContent>
    </w:sdt>
    <w:sdt>
      <w:sdtPr>
        <w:rPr>
          <w:rFonts w:hint="eastAsia" w:ascii="宋体" w:hAnsi="宋体" w:cs="宋体"/>
          <w:b w:val="0"/>
          <w:bCs w:val="0"/>
          <w:kern w:val="0"/>
          <w:szCs w:val="21"/>
        </w:rPr>
        <w:alias w:val="模块:其他非流动金融资产"/>
        <w:tag w:val="_SEC_d085182d12d941b88dd5666cf5452533"/>
        <w:id w:val="865724973"/>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79"/>
            </w:numPr>
            <w:tabs>
              <w:tab w:val="left" w:pos="504"/>
            </w:tabs>
            <w:rPr>
              <w:szCs w:val="21"/>
            </w:rPr>
          </w:pPr>
          <w:bookmarkStart w:id="181" w:name="_Hlk533409746"/>
          <w:r>
            <w:rPr>
              <w:rFonts w:hint="eastAsia"/>
              <w:szCs w:val="21"/>
            </w:rPr>
            <w:t>其他非流动金融资产</w:t>
          </w:r>
        </w:p>
        <w:sdt>
          <w:sdtPr>
            <w:alias w:val="是否适用：其他非流动金融资产[双击切换]"/>
            <w:tag w:val="_GBC_6b599068045d444b87b686a3b6690bf1"/>
            <w:id w:val="86572497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81"/>
    <w:sdt>
      <w:sdtPr>
        <w:rPr>
          <w:rFonts w:hint="eastAsia"/>
        </w:rPr>
        <w:alias w:val="模块:其他非流动金融资产其他说明"/>
        <w:tag w:val="_SEC_93f7cfdc7a9549c68b787aff064a41f3"/>
        <w:id w:val="865724975"/>
        <w:lock w:val="sdtLocked"/>
        <w:placeholder>
          <w:docPart w:val="GBC22222222222222222222222222222"/>
        </w:placeholder>
      </w:sdtPr>
      <w:sdtEndPr>
        <w:rPr>
          <w:rFonts w:hint="default"/>
          <w:szCs w:val="21"/>
        </w:rPr>
      </w:sdtEndPr>
      <w:sdtContent>
        <w:p>
          <w:r>
            <w:rPr>
              <w:rFonts w:hint="eastAsia"/>
            </w:rPr>
            <w:t>其他</w:t>
          </w:r>
          <w:r>
            <w:t>说明</w:t>
          </w:r>
          <w:r>
            <w:rPr>
              <w:rFonts w:hint="eastAsia"/>
            </w:rPr>
            <w:t>：</w:t>
          </w:r>
        </w:p>
        <w:sdt>
          <w:sdtPr>
            <w:rPr>
              <w:szCs w:val="21"/>
            </w:rPr>
            <w:alias w:val="是否适用：其他非流动金融资产其他说明[双击切换]"/>
            <w:tag w:val="_GBC_037912ebdd3b4e80b4b66cf88f8cb3e7"/>
            <w:id w:val="86572497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szCs w:val="21"/>
            </w:rPr>
          </w:pPr>
        </w:p>
      </w:sdtContent>
    </w:sdt>
    <w:p>
      <w:pPr>
        <w:pStyle w:val="4"/>
        <w:numPr>
          <w:ilvl w:val="0"/>
          <w:numId w:val="79"/>
        </w:numPr>
        <w:tabs>
          <w:tab w:val="left" w:pos="504"/>
        </w:tabs>
        <w:rPr>
          <w:rFonts w:ascii="宋体" w:hAnsi="宋体"/>
          <w:szCs w:val="21"/>
        </w:rPr>
      </w:pPr>
      <w:r>
        <w:rPr>
          <w:rFonts w:hint="eastAsia" w:ascii="宋体" w:hAnsi="宋体"/>
          <w:szCs w:val="21"/>
        </w:rPr>
        <w:t>投资性房地产</w:t>
      </w:r>
    </w:p>
    <w:p>
      <w:r>
        <w:t>投资性房地产</w:t>
      </w:r>
      <w:r>
        <w:rPr>
          <w:rFonts w:hint="eastAsia"/>
        </w:rPr>
        <w:t>计量模式</w:t>
      </w:r>
    </w:p>
    <w:sdt>
      <w:sdtPr>
        <w:rPr>
          <w:rFonts w:hint="eastAsia" w:ascii="宋体" w:hAnsi="宋体" w:eastAsia="宋体" w:cs="宋体"/>
          <w:b w:val="0"/>
          <w:bCs w:val="0"/>
          <w:kern w:val="0"/>
          <w:szCs w:val="24"/>
        </w:rPr>
        <w:alias w:val="选项模块:成本计量模式"/>
        <w:tag w:val="_SEC_2bd90f9d006148798131ef3c25314fb9"/>
        <w:id w:val="865725027"/>
        <w:lock w:val="sdtLocked"/>
        <w:placeholder>
          <w:docPart w:val="GBC22222222222222222222222222222"/>
        </w:placeholder>
      </w:sdtPr>
      <w:sdtEndPr>
        <w:rPr>
          <w:rFonts w:hint="eastAsia" w:ascii="宋体" w:hAnsi="宋体" w:eastAsia="宋体" w:cstheme="minorBidi"/>
          <w:b w:val="0"/>
          <w:bCs w:val="0"/>
          <w:kern w:val="2"/>
          <w:szCs w:val="21"/>
        </w:rPr>
      </w:sdtEndPr>
      <w:sdtContent>
        <w:p>
          <w:pPr>
            <w:pStyle w:val="5"/>
            <w:numPr>
              <w:ilvl w:val="3"/>
              <w:numId w:val="90"/>
            </w:numPr>
            <w:ind w:left="426" w:hanging="426"/>
          </w:pPr>
          <w:r>
            <w:rPr>
              <w:rFonts w:hint="eastAsia"/>
            </w:rPr>
            <w:t>采用成本计量模式的投资性房地产</w:t>
          </w:r>
        </w:p>
        <w:p>
          <w:pPr>
            <w:jc w:val="right"/>
            <w:rPr>
              <w:szCs w:val="21"/>
            </w:rPr>
          </w:pPr>
          <w:r>
            <w:rPr>
              <w:rFonts w:hint="eastAsia"/>
              <w:szCs w:val="21"/>
            </w:rPr>
            <w:t>单位：</w:t>
          </w:r>
          <w:sdt>
            <w:sdtPr>
              <w:rPr>
                <w:rFonts w:hint="eastAsia"/>
                <w:szCs w:val="21"/>
              </w:rPr>
              <w:alias w:val="单位：财务附注：投资性房地产"/>
              <w:tag w:val="_GBC_eb1db4bb3f154f52938b7c4bb5edbd80"/>
              <w:id w:val="8657249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8657249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1582"/>
            <w:gridCol w:w="1555"/>
            <w:gridCol w:w="154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6c12dd4f07e84f0eb6257919933bd416"/>
                <w:id w:val="5842408"/>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ascii="Times New Roman"/>
                        <w:szCs w:val="21"/>
                      </w:rPr>
                      <w:t>项目</w:t>
                    </w:r>
                  </w:p>
                </w:tc>
              </w:sdtContent>
            </w:sdt>
            <w:sdt>
              <w:sdtPr>
                <w:rPr>
                  <w:rFonts w:ascii="Times New Roman" w:hAnsi="Times New Roman"/>
                </w:rPr>
                <w:tag w:val="_PLD_4d654f9f882a4621a32482a463b6b80f"/>
                <w:id w:val="5842409"/>
                <w:lock w:val="sdtLocked"/>
              </w:sdtPr>
              <w:sdtEndPr>
                <w:rPr>
                  <w:rFonts w:ascii="Times New Roman" w:hAnsi="Times New Roman"/>
                </w:rPr>
              </w:sdtEndPr>
              <w:sdtConten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ascii="Times New Roman"/>
                        <w:szCs w:val="21"/>
                      </w:rPr>
                      <w:t>房屋、建筑物</w:t>
                    </w:r>
                  </w:p>
                </w:tc>
              </w:sdtContent>
            </w:sdt>
            <w:sdt>
              <w:sdtPr>
                <w:rPr>
                  <w:rFonts w:ascii="Times New Roman" w:hAnsi="Times New Roman"/>
                </w:rPr>
                <w:tag w:val="_PLD_e67580bbd978417792c1b582fb588aa3"/>
                <w:id w:val="5842410"/>
                <w:lock w:val="sdtLocked"/>
              </w:sdtPr>
              <w:sdtEndPr>
                <w:rPr>
                  <w:rFonts w:ascii="Times New Roman" w:hAnsi="Times New Roman"/>
                </w:rPr>
              </w:sdtEndPr>
              <w:sdtContent>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ascii="Times New Roman"/>
                        <w:szCs w:val="21"/>
                      </w:rPr>
                      <w:t>土地使用权</w:t>
                    </w:r>
                  </w:p>
                </w:tc>
              </w:sdtContent>
            </w:sdt>
            <w:sdt>
              <w:sdtPr>
                <w:rPr>
                  <w:rFonts w:ascii="Times New Roman" w:hAnsi="Times New Roman"/>
                </w:rPr>
                <w:tag w:val="_PLD_eb223d01b1084c2499e94e081206d3f5"/>
                <w:id w:val="5842411"/>
                <w:lock w:val="sdtLocked"/>
              </w:sdtPr>
              <w:sdtEndPr>
                <w:rPr>
                  <w:rFonts w:ascii="Times New Roman" w:hAnsi="Times New Roman"/>
                </w:rPr>
              </w:sdtEndPr>
              <w:sdtContent>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ascii="Times New Roman"/>
                        <w:szCs w:val="21"/>
                      </w:rPr>
                      <w:t>在建工程</w:t>
                    </w:r>
                  </w:p>
                </w:tc>
              </w:sdtContent>
            </w:sdt>
            <w:sdt>
              <w:sdtPr>
                <w:rPr>
                  <w:rFonts w:ascii="Times New Roman" w:hAnsi="Times New Roman"/>
                </w:rPr>
                <w:tag w:val="_PLD_fd303a2077a34c63b3d342e813f2cfd7"/>
                <w:id w:val="5842412"/>
                <w:lock w:val="sdtLocked"/>
              </w:sdtPr>
              <w:sdtEndPr>
                <w:rPr>
                  <w:rFonts w:ascii="Times New Roman" w:hAnsi="Times New Roman"/>
                </w:rPr>
              </w:sdtEndPr>
              <w:sdtContent>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szCs w:val="21"/>
                      </w:rPr>
                    </w:pPr>
                    <w:r>
                      <w:rPr>
                        <w:rFonts w:ascii="Times New Roman"/>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a195350d4b924a2ab316232cbfe918bf"/>
                <w:id w:val="5842413"/>
                <w:lock w:val="sdtLocked"/>
              </w:sdtPr>
              <w:sdtEndPr>
                <w:rPr>
                  <w:rFonts w:ascii="Times New Roman" w:hAnsi="Times New Roman"/>
                </w:rPr>
              </w:sdtEnd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szCs w:val="21"/>
                      </w:rPr>
                    </w:pPr>
                    <w:r>
                      <w:rPr>
                        <w:rFonts w:ascii="Times New Roman"/>
                        <w:szCs w:val="21"/>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b212d3f88d3842fdb359c408e0d40240"/>
                <w:id w:val="5842414"/>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hAnsi="Times New Roman"/>
                        <w:szCs w:val="21"/>
                      </w:rPr>
                      <w:t>1.</w:t>
                    </w:r>
                    <w:r>
                      <w:rPr>
                        <w:rFonts w:ascii="Times New Roman"/>
                        <w:szCs w:val="21"/>
                      </w:rPr>
                      <w:t>期初余额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23,786,799.98</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23,786,799.98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386cb5abe3bd4438872eb28253b1c4a3"/>
                <w:id w:val="5842415"/>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hAnsi="Times New Roman"/>
                        <w:szCs w:val="21"/>
                      </w:rPr>
                      <w:t>2.</w:t>
                    </w:r>
                    <w:r>
                      <w:rPr>
                        <w:rFonts w:ascii="Times New Roman"/>
                        <w:szCs w:val="21"/>
                      </w:rPr>
                      <w:t>本期增加金额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33,882,007.34</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33,882,007.34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d904a9012c45473284832f7c722b1f61"/>
                <w:id w:val="5842416"/>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szCs w:val="21"/>
                      </w:rPr>
                      <w:t>（</w:t>
                    </w:r>
                    <w:r>
                      <w:rPr>
                        <w:rFonts w:ascii="Times New Roman" w:hAnsi="Times New Roman"/>
                        <w:szCs w:val="21"/>
                      </w:rPr>
                      <w:t>1</w:t>
                    </w:r>
                    <w:r>
                      <w:rPr>
                        <w:rFonts w:ascii="Times New Roman"/>
                        <w:szCs w:val="21"/>
                      </w:rPr>
                      <w:t>）外购</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47e7503d6e964a2ca705017ad296850a"/>
                <w:id w:val="5842417"/>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szCs w:val="21"/>
                      </w:rPr>
                      <w:t>（</w:t>
                    </w:r>
                    <w:r>
                      <w:rPr>
                        <w:rFonts w:ascii="Times New Roman" w:hAnsi="Times New Roman"/>
                        <w:szCs w:val="21"/>
                      </w:rPr>
                      <w:t>2</w:t>
                    </w:r>
                    <w:r>
                      <w:rPr>
                        <w:rFonts w:ascii="Times New Roman"/>
                        <w:szCs w:val="21"/>
                      </w:rPr>
                      <w:t>）存货</w:t>
                    </w:r>
                    <w:r>
                      <w:rPr>
                        <w:rFonts w:ascii="Times New Roman" w:hAnsi="Times New Roman"/>
                        <w:szCs w:val="21"/>
                      </w:rPr>
                      <w:t>\</w:t>
                    </w:r>
                    <w:r>
                      <w:rPr>
                        <w:rFonts w:ascii="Times New Roman"/>
                        <w:szCs w:val="21"/>
                      </w:rPr>
                      <w:t>固定资产</w:t>
                    </w:r>
                    <w:r>
                      <w:rPr>
                        <w:rFonts w:ascii="Times New Roman" w:hAnsi="Times New Roman"/>
                        <w:szCs w:val="21"/>
                      </w:rPr>
                      <w:t>\</w:t>
                    </w:r>
                    <w:r>
                      <w:rPr>
                        <w:rFonts w:ascii="Times New Roman"/>
                        <w:szCs w:val="21"/>
                      </w:rPr>
                      <w:t>在建工程转入</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ascii="Times New Roman" w:hAnsi="Times New Roman"/>
                    <w:szCs w:val="21"/>
                  </w:rPr>
                  <w:t>33,882,007.34</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33,882,007.34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sdt>
              <w:sdtPr>
                <w:rPr>
                  <w:rFonts w:ascii="Times New Roman" w:hAnsi="Times New Roman"/>
                </w:rPr>
                <w:tag w:val="_PLD_d6cd591d7251420b91327c289d6d2cfc"/>
                <w:id w:val="5842418"/>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szCs w:val="21"/>
                      </w:rPr>
                      <w:t>（</w:t>
                    </w:r>
                    <w:r>
                      <w:rPr>
                        <w:rFonts w:ascii="Times New Roman" w:hAnsi="Times New Roman"/>
                        <w:szCs w:val="21"/>
                      </w:rPr>
                      <w:t>3</w:t>
                    </w:r>
                    <w:r>
                      <w:rPr>
                        <w:rFonts w:ascii="Times New Roman"/>
                        <w:szCs w:val="21"/>
                      </w:rPr>
                      <w:t>）企业合并增加</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0f0562edd98d46dc8c9d663f22d13d3c"/>
                <w:id w:val="5842419"/>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hAnsi="Times New Roman"/>
                        <w:szCs w:val="21"/>
                      </w:rPr>
                      <w:t>3.</w:t>
                    </w:r>
                    <w:r>
                      <w:rPr>
                        <w:rFonts w:ascii="Times New Roman"/>
                        <w:szCs w:val="21"/>
                      </w:rPr>
                      <w:t>本期减少金额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fb075dfbf3de4b0a99f0c3277e548c9f"/>
                <w:id w:val="5842422"/>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szCs w:val="21"/>
                      </w:rPr>
                      <w:t>（</w:t>
                    </w:r>
                    <w:r>
                      <w:rPr>
                        <w:rFonts w:ascii="Times New Roman" w:hAnsi="Times New Roman"/>
                        <w:szCs w:val="21"/>
                      </w:rPr>
                      <w:t>1</w:t>
                    </w:r>
                    <w:r>
                      <w:rPr>
                        <w:rFonts w:ascii="Times New Roman"/>
                        <w:szCs w:val="21"/>
                      </w:rPr>
                      <w:t>）处置</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8e50019205324f4f8d0101b0f84953ce"/>
                <w:id w:val="5842423"/>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szCs w:val="21"/>
                      </w:rPr>
                      <w:t>（</w:t>
                    </w:r>
                    <w:r>
                      <w:rPr>
                        <w:rFonts w:ascii="Times New Roman" w:hAnsi="Times New Roman"/>
                        <w:szCs w:val="21"/>
                      </w:rPr>
                      <w:t>2</w:t>
                    </w:r>
                    <w:r>
                      <w:rPr>
                        <w:rFonts w:ascii="Times New Roman"/>
                        <w:szCs w:val="21"/>
                      </w:rPr>
                      <w:t>）其他转出</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9a4c8be3e40844abb6fe5380ff34b6fe"/>
                <w:id w:val="5842424"/>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hAnsi="Times New Roman"/>
                        <w:szCs w:val="21"/>
                      </w:rPr>
                      <w:t>4.</w:t>
                    </w:r>
                    <w:r>
                      <w:rPr>
                        <w:rFonts w:ascii="Times New Roman"/>
                        <w:szCs w:val="21"/>
                      </w:rPr>
                      <w:t>期末余额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57,668,807.32</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ascii="Times New Roman" w:hAnsi="Times New Roman"/>
                    <w:szCs w:val="21"/>
                  </w:rPr>
                  <w:t>57,668,807.32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3940980b8e4d4252a71ae8341bbdfc46"/>
                <w:id w:val="5842425"/>
                <w:lock w:val="sdtLocked"/>
              </w:sdtPr>
              <w:sdtEndPr>
                <w:rPr>
                  <w:rFonts w:ascii="Times New Roman" w:hAnsi="Times New Roman"/>
                </w:rPr>
              </w:sdtEnd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szCs w:val="21"/>
                      </w:rPr>
                    </w:pPr>
                    <w:r>
                      <w:rPr>
                        <w:rFonts w:ascii="Times New Roman"/>
                        <w:szCs w:val="21"/>
                      </w:rPr>
                      <w:t>二、累计折旧和累计摊销</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8f2f6430c66445ed81e57e54221de403"/>
                <w:id w:val="5842426"/>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hAnsi="Times New Roman"/>
                        <w:szCs w:val="21"/>
                      </w:rPr>
                      <w:t>1.</w:t>
                    </w:r>
                    <w:r>
                      <w:rPr>
                        <w:rFonts w:ascii="Times New Roman"/>
                        <w:szCs w:val="21"/>
                      </w:rPr>
                      <w:t>期初余额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2,838,283.19</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2,838,283.19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e0545c37940c43ecac80d9c4113a319b"/>
                <w:id w:val="5842427"/>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hAnsi="Times New Roman"/>
                        <w:szCs w:val="21"/>
                      </w:rPr>
                      <w:t>2.</w:t>
                    </w:r>
                    <w:r>
                      <w:rPr>
                        <w:rFonts w:ascii="Times New Roman"/>
                        <w:szCs w:val="21"/>
                      </w:rPr>
                      <w:t>本期增加金额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6,969,592.03</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6,969,592.03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3a4bf8f7f6b94d67af81b8adef7ee2e1"/>
                <w:id w:val="5842428"/>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szCs w:val="21"/>
                      </w:rPr>
                      <w:t>（</w:t>
                    </w:r>
                    <w:r>
                      <w:rPr>
                        <w:rFonts w:ascii="Times New Roman" w:hAnsi="Times New Roman"/>
                        <w:szCs w:val="21"/>
                      </w:rPr>
                      <w:t>1</w:t>
                    </w:r>
                    <w:r>
                      <w:rPr>
                        <w:rFonts w:ascii="Times New Roman"/>
                        <w:szCs w:val="21"/>
                      </w:rPr>
                      <w:t>）计提或摊销</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512,737.71</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512,737.71</w:t>
                </w:r>
              </w:p>
            </w:tc>
          </w:tr>
          <w:sdt>
            <w:sdtPr>
              <w:rPr>
                <w:rFonts w:ascii="Times New Roman" w:hAnsi="Times New Roman" w:eastAsiaTheme="minorEastAsia" w:cstheme="minorBidi"/>
                <w:kern w:val="2"/>
                <w:szCs w:val="21"/>
              </w:rPr>
              <w:alias w:val="采用成本计量模式的投资性房地产累计折旧和累计摊销增加额明细"/>
              <w:tag w:val="_TUP_d009647642a143cab0a8c53b62adbcbb"/>
              <w:id w:val="5842429"/>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szCs w:val="21"/>
                      </w:rPr>
                      <w:t>（</w:t>
                    </w:r>
                    <w:r>
                      <w:rPr>
                        <w:rFonts w:ascii="Times New Roman" w:hAnsi="Times New Roman"/>
                        <w:szCs w:val="21"/>
                      </w:rPr>
                      <w:t>2</w:t>
                    </w:r>
                    <w:r>
                      <w:rPr>
                        <w:rFonts w:ascii="Times New Roman"/>
                        <w:szCs w:val="21"/>
                      </w:rPr>
                      <w:t>）固定资产转入</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ascii="Times New Roman" w:hAnsi="Times New Roman"/>
                        <w:szCs w:val="21"/>
                      </w:rPr>
                      <w:t>6,456,854.32</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ascii="Times New Roman" w:hAnsi="Times New Roman"/>
                        <w:szCs w:val="21"/>
                      </w:rPr>
                      <w:t>6,456,854.32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c07c8a6e63764401b0d11ec266ed0dd2"/>
                <w:id w:val="5842431"/>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hAnsi="Times New Roman"/>
                        <w:szCs w:val="21"/>
                      </w:rPr>
                      <w:t>3.</w:t>
                    </w:r>
                    <w:r>
                      <w:rPr>
                        <w:rFonts w:ascii="Times New Roman"/>
                        <w:szCs w:val="21"/>
                      </w:rPr>
                      <w:t>本期减少金额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0bbc2d9652284c1697311755840e5d8a"/>
                <w:id w:val="5842432"/>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szCs w:val="21"/>
                      </w:rPr>
                      <w:t>（</w:t>
                    </w:r>
                    <w:r>
                      <w:rPr>
                        <w:rFonts w:ascii="Times New Roman" w:hAnsi="Times New Roman"/>
                        <w:szCs w:val="21"/>
                      </w:rPr>
                      <w:t>1</w:t>
                    </w:r>
                    <w:r>
                      <w:rPr>
                        <w:rFonts w:ascii="Times New Roman"/>
                        <w:szCs w:val="21"/>
                      </w:rPr>
                      <w:t>）处置</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e51349e1477a4af6a78e8e2a8ab342aa"/>
                <w:id w:val="5842433"/>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szCs w:val="21"/>
                      </w:rPr>
                      <w:t>（</w:t>
                    </w:r>
                    <w:r>
                      <w:rPr>
                        <w:rFonts w:ascii="Times New Roman" w:hAnsi="Times New Roman"/>
                        <w:szCs w:val="21"/>
                      </w:rPr>
                      <w:t>2</w:t>
                    </w:r>
                    <w:r>
                      <w:rPr>
                        <w:rFonts w:ascii="Times New Roman"/>
                        <w:szCs w:val="21"/>
                      </w:rPr>
                      <w:t>）其他转出</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r>
          <w:sdt>
            <w:sdtPr>
              <w:rPr>
                <w:rFonts w:ascii="Times New Roman" w:hAnsi="Times New Roman" w:eastAsiaTheme="minorEastAsia" w:cstheme="minorBidi"/>
                <w:kern w:val="2"/>
                <w:szCs w:val="21"/>
              </w:rPr>
              <w:alias w:val="采用成本计量模式的投资性房地产累计折旧和累计摊销减少额明细"/>
              <w:tag w:val="_TUP_7ade40e2c296478fb272a83ac14c136a"/>
              <w:id w:val="5842435"/>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p>
                </w:tc>
                <w:tc>
                  <w:tcPr>
                    <w:tcW w:w="87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9fd1190f17b74dbd832283f71719d5d4"/>
                <w:id w:val="5842436"/>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hAnsi="Times New Roman"/>
                        <w:szCs w:val="21"/>
                      </w:rPr>
                      <w:t>4.</w:t>
                    </w:r>
                    <w:r>
                      <w:rPr>
                        <w:rFonts w:ascii="Times New Roman"/>
                        <w:szCs w:val="21"/>
                      </w:rPr>
                      <w:t>期末余额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ascii="Times New Roman" w:hAnsi="Times New Roman"/>
                    <w:szCs w:val="21"/>
                  </w:rPr>
                  <w:t>9,807,875.22</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r>
                  <w:rPr>
                    <w:rFonts w:ascii="Times New Roman" w:hAnsi="Times New Roman"/>
                    <w:szCs w:val="21"/>
                  </w:rPr>
                  <w:t>9,807,875.22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sdt>
              <w:sdtPr>
                <w:rPr>
                  <w:rFonts w:ascii="Times New Roman" w:hAnsi="Times New Roman"/>
                </w:rPr>
                <w:tag w:val="_PLD_c10b5aad27764e4b8d082d8300c71859"/>
                <w:id w:val="5842437"/>
                <w:lock w:val="sdtLocked"/>
              </w:sdtPr>
              <w:sdtEndPr>
                <w:rPr>
                  <w:rFonts w:ascii="Times New Roman" w:hAnsi="Times New Roman"/>
                </w:rPr>
              </w:sdtEnd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szCs w:val="21"/>
                      </w:rPr>
                    </w:pPr>
                    <w:r>
                      <w:rPr>
                        <w:rFonts w:ascii="Times New Roman"/>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8f2f45c059424b05986219e48b0cd898"/>
                <w:id w:val="5842438"/>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hAnsi="Times New Roman"/>
                        <w:szCs w:val="21"/>
                      </w:rPr>
                      <w:t>1.</w:t>
                    </w:r>
                    <w:r>
                      <w:rPr>
                        <w:rFonts w:ascii="Times New Roman"/>
                        <w:szCs w:val="21"/>
                      </w:rPr>
                      <w:t>期初余额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2dcae4c9ba91491c9da9438911e3e34a"/>
                <w:id w:val="5842439"/>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hAnsi="Times New Roman"/>
                        <w:szCs w:val="21"/>
                      </w:rPr>
                      <w:t>2.</w:t>
                    </w:r>
                    <w:r>
                      <w:rPr>
                        <w:rFonts w:ascii="Times New Roman"/>
                        <w:szCs w:val="21"/>
                      </w:rPr>
                      <w:t>本期增加金额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b84ed4d37a08459ab5ebfbfdcb20a02b"/>
                <w:id w:val="5842440"/>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szCs w:val="21"/>
                      </w:rPr>
                      <w:t>（</w:t>
                    </w:r>
                    <w:r>
                      <w:rPr>
                        <w:rFonts w:ascii="Times New Roman" w:hAnsi="Times New Roman"/>
                        <w:szCs w:val="21"/>
                      </w:rPr>
                      <w:t>1</w:t>
                    </w:r>
                    <w:r>
                      <w:rPr>
                        <w:rFonts w:ascii="Times New Roman"/>
                        <w:szCs w:val="21"/>
                      </w:rPr>
                      <w:t>）计提</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f4f8fce035c046299f1013221db69140"/>
                <w:id w:val="5842443"/>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hAnsi="Times New Roman"/>
                        <w:szCs w:val="21"/>
                      </w:rPr>
                      <w:t>3</w:t>
                    </w:r>
                    <w:r>
                      <w:rPr>
                        <w:rFonts w:ascii="Times New Roman"/>
                        <w:szCs w:val="21"/>
                      </w:rPr>
                      <w:t>、本期减少金额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48d2ff5531ed4caa853da6a6b12c7397"/>
                <w:id w:val="5842444"/>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szCs w:val="21"/>
                      </w:rPr>
                      <w:t>（</w:t>
                    </w:r>
                    <w:r>
                      <w:rPr>
                        <w:rFonts w:ascii="Times New Roman" w:hAnsi="Times New Roman"/>
                        <w:szCs w:val="21"/>
                      </w:rPr>
                      <w:t>1</w:t>
                    </w:r>
                    <w:r>
                      <w:rPr>
                        <w:rFonts w:ascii="Times New Roman"/>
                        <w:szCs w:val="21"/>
                      </w:rPr>
                      <w:t>）处置</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8b75b68540a749e3abad920b60f006a7"/>
                <w:id w:val="5842445"/>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szCs w:val="21"/>
                      </w:rPr>
                      <w:t>（</w:t>
                    </w:r>
                    <w:r>
                      <w:rPr>
                        <w:rFonts w:ascii="Times New Roman" w:hAnsi="Times New Roman"/>
                        <w:szCs w:val="21"/>
                      </w:rPr>
                      <w:t>2</w:t>
                    </w:r>
                    <w:r>
                      <w:rPr>
                        <w:rFonts w:ascii="Times New Roman"/>
                        <w:szCs w:val="21"/>
                      </w:rPr>
                      <w:t>）其他转出</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5f8c8e31a0984cc7bc60413822338268"/>
                <w:id w:val="5842448"/>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Times New Roman" w:hAnsi="Times New Roman"/>
                        <w:szCs w:val="21"/>
                      </w:rPr>
                    </w:pPr>
                    <w:r>
                      <w:rPr>
                        <w:rFonts w:ascii="Times New Roman" w:hAnsi="Times New Roman"/>
                        <w:szCs w:val="21"/>
                      </w:rPr>
                      <w:t>4.</w:t>
                    </w:r>
                    <w:r>
                      <w:rPr>
                        <w:rFonts w:ascii="Times New Roman"/>
                        <w:szCs w:val="21"/>
                      </w:rPr>
                      <w:t>期末余额</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imes New Roman" w:hAnsi="Times New Roman"/>
                </w:rPr>
                <w:tag w:val="_PLD_5ad25d173a164f90a33b80cf52189833"/>
                <w:id w:val="5842449"/>
                <w:lock w:val="sdtLocked"/>
              </w:sdtPr>
              <w:sdtEndPr>
                <w:rPr>
                  <w:rFonts w:ascii="Times New Roman" w:hAnsi="Times New Roman"/>
                </w:rPr>
              </w:sdtEnd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szCs w:val="21"/>
                      </w:rPr>
                    </w:pPr>
                    <w:r>
                      <w:rPr>
                        <w:rFonts w:ascii="Times New Roman"/>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imes New Roman" w:hAnsi="Times New Roman"/>
                </w:rPr>
                <w:tag w:val="_PLD_843d8c98c4fd4b4e90986173b0345cdb"/>
                <w:id w:val="5842450"/>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hAnsi="Times New Roman"/>
                        <w:szCs w:val="21"/>
                      </w:rPr>
                      <w:t>1.</w:t>
                    </w:r>
                    <w:r>
                      <w:rPr>
                        <w:rFonts w:ascii="Times New Roman"/>
                        <w:szCs w:val="21"/>
                      </w:rPr>
                      <w:t>期末账面价值</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47,860,932.10</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47,860,932.10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sdt>
              <w:sdtPr>
                <w:rPr>
                  <w:rFonts w:ascii="Times New Roman" w:hAnsi="Times New Roman"/>
                </w:rPr>
                <w:tag w:val="_PLD_c108e87bfb4a46b0bb30ba29920485f1"/>
                <w:id w:val="5842451"/>
                <w:lock w:val="sdtLocked"/>
              </w:sdtPr>
              <w:sdtEndPr>
                <w:rPr>
                  <w:rFonts w:ascii="Times New Roman" w:hAnsi="Times New Roman"/>
                </w:rPr>
              </w:sdtEndPr>
              <w:sdtContent>
                <w:tc>
                  <w:tcPr>
                    <w:tcW w:w="1543"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rFonts w:ascii="Times New Roman" w:hAnsi="Times New Roman"/>
                        <w:szCs w:val="21"/>
                      </w:rPr>
                    </w:pPr>
                    <w:r>
                      <w:rPr>
                        <w:rFonts w:ascii="Times New Roman" w:hAnsi="Times New Roman"/>
                        <w:szCs w:val="21"/>
                      </w:rPr>
                      <w:t>2.</w:t>
                    </w:r>
                    <w:r>
                      <w:rPr>
                        <w:rFonts w:ascii="Times New Roman"/>
                        <w:szCs w:val="21"/>
                      </w:rPr>
                      <w:t>期初账面价值</w:t>
                    </w:r>
                  </w:p>
                </w:tc>
              </w:sdtContent>
            </w:sd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20,948,516.79</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Cs w:val="21"/>
                  </w:rPr>
                </w:pPr>
              </w:p>
            </w:tc>
            <w:tc>
              <w:tcPr>
                <w:tcW w:w="87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20,948,516.79</w:t>
                </w:r>
              </w:p>
            </w:tc>
          </w:tr>
        </w:tbl>
        <w:p>
          <w:pPr>
            <w:pStyle w:val="5"/>
            <w:numPr>
              <w:ilvl w:val="3"/>
              <w:numId w:val="90"/>
            </w:numPr>
            <w:ind w:left="426" w:hanging="426"/>
          </w:pPr>
          <w:r>
            <w:rPr>
              <w:rFonts w:hint="eastAsia"/>
            </w:rPr>
            <w:t>未办妥产权证书的投资性房地产情况</w:t>
          </w:r>
        </w:p>
        <w:p>
          <w:pPr>
            <w:rPr>
              <w:szCs w:val="21"/>
            </w:rPr>
          </w:pPr>
          <w:sdt>
            <w:sdtPr>
              <w:alias w:val="是否适用：未办妥产权证书的投资性房地产情况[双击切换]"/>
              <w:tag w:val="_GBC_31ec2c57d73a48d2816267a8606d05e0"/>
              <w:id w:val="865725024"/>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ind w:left="-2" w:leftChars="-21" w:hanging="42" w:hangingChars="20"/>
            <w:rPr>
              <w:szCs w:val="21"/>
            </w:rPr>
          </w:pPr>
          <w:r>
            <w:rPr>
              <w:rFonts w:hint="eastAsia"/>
              <w:szCs w:val="21"/>
            </w:rPr>
            <w:t>其他说明</w:t>
          </w:r>
        </w:p>
        <w:sdt>
          <w:sdtPr>
            <w:rPr>
              <w:szCs w:val="21"/>
            </w:rPr>
            <w:alias w:val="是否适用：投资性房地产的说明[双击切换]"/>
            <w:tag w:val="_GBC_88bcbbb540544215b3e21f0126973494"/>
            <w:id w:val="865725025"/>
            <w:lock w:val="sdtLocked"/>
            <w:placeholder>
              <w:docPart w:val="GBC22222222222222222222222222222"/>
            </w:placeholder>
          </w:sdtPr>
          <w:sdtEndPr>
            <w:rPr>
              <w:szCs w:val="21"/>
            </w:rPr>
          </w:sdtEndPr>
          <w:sdtContent>
            <w:p>
              <w:pPr>
                <w:ind w:left="-2" w:leftChars="-21" w:hanging="42" w:hangingChars="20"/>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heme="minorBidi"/>
              <w:kern w:val="2"/>
              <w:szCs w:val="21"/>
            </w:rPr>
          </w:pPr>
        </w:p>
      </w:sdtContent>
    </w:sdt>
    <w:sdt>
      <w:sdtPr>
        <w:rPr>
          <w:rFonts w:hint="eastAsia" w:ascii="宋体" w:hAnsi="宋体" w:cs="宋体"/>
          <w:b w:val="0"/>
          <w:bCs w:val="0"/>
          <w:kern w:val="0"/>
          <w:szCs w:val="21"/>
        </w:rPr>
        <w:alias w:val="模块:固定资产"/>
        <w:tag w:val="_SEC_5a2e9b07ae1e469294cb2be5aaf61c28"/>
        <w:id w:val="865725037"/>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79"/>
            </w:numPr>
            <w:tabs>
              <w:tab w:val="left" w:pos="504"/>
            </w:tabs>
            <w:rPr>
              <w:rFonts w:ascii="宋体" w:hAnsi="宋体"/>
              <w:szCs w:val="21"/>
            </w:rPr>
          </w:pPr>
          <w:r>
            <w:rPr>
              <w:rFonts w:hint="eastAsia" w:ascii="宋体" w:hAnsi="宋体"/>
              <w:szCs w:val="21"/>
            </w:rPr>
            <w:t>固定资产</w:t>
          </w:r>
        </w:p>
        <w:p>
          <w:pPr>
            <w:pStyle w:val="5"/>
          </w:pPr>
          <w:bookmarkStart w:id="182" w:name="_Hlk532907583"/>
          <w:r>
            <w:rPr>
              <w:rFonts w:hint="eastAsia"/>
            </w:rPr>
            <w:t>项目列示</w:t>
          </w:r>
        </w:p>
        <w:sdt>
          <w:sdtPr>
            <w:alias w:val="是否适用：固定资产分类列示[双击切换]"/>
            <w:tag w:val="_GBC_aa56cf68790e4b9d866b3ea7d6d8073d"/>
            <w:id w:val="86572502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固定资产分类列示"/>
              <w:tag w:val="_GBC_857b5f6755c84b5aa235351580358065"/>
              <w:id w:val="8657250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8657250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1c8e68343ee4b7fa02f5422a7fad5c0"/>
                <w:id w:val="865725031"/>
                <w:lock w:val="sdtLocked"/>
              </w:sdtPr>
              <w:sdtEndPr>
                <w:rPr>
                  <w:rFonts w:ascii="Times New Roman" w:hAnsi="Times New Roman" w:cs="Times New Roman"/>
                </w:rPr>
              </w:sdtEnd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a7d9e039146b4c3ab8e71ba63a4ca55d"/>
                <w:id w:val="865725032"/>
                <w:lock w:val="sdtLocked"/>
              </w:sdtPr>
              <w:sdtEndPr>
                <w:rPr>
                  <w:rFonts w:ascii="Times New Roman" w:hAnsi="Times New Roman" w:cs="Times New Roman"/>
                </w:rPr>
              </w:sdtEndPr>
              <w:sdtContent>
                <w:tc>
                  <w:tcPr>
                    <w:tcW w:w="1582" w:type="pct"/>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a075f0130f1f4334b8370490adf71764"/>
                <w:id w:val="865725033"/>
                <w:lock w:val="sdtLocked"/>
              </w:sdtPr>
              <w:sdtEndPr>
                <w:rPr>
                  <w:rFonts w:ascii="Times New Roman" w:hAnsi="Times New Roman" w:cs="Times New Roman"/>
                </w:rPr>
              </w:sdtEndPr>
              <w:sdtContent>
                <w:tc>
                  <w:tcPr>
                    <w:tcW w:w="1590" w:type="pct"/>
                    <w:shd w:val="clear" w:color="auto" w:fill="auto"/>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d6f3f641d6e46888ea56878bbc6664e"/>
                <w:id w:val="865725034"/>
                <w:lock w:val="sdtLocked"/>
              </w:sdtPr>
              <w:sdtEndPr>
                <w:rPr>
                  <w:rFonts w:ascii="Times New Roman" w:hAnsi="Times New Roman" w:cs="Times New Roman"/>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Pr>
                        <w:rFonts w:ascii="Times New Roman" w:cs="Times New Roman"/>
                        <w:szCs w:val="21"/>
                      </w:rPr>
                      <w:t>固定资产</w:t>
                    </w:r>
                  </w:p>
                </w:tc>
              </w:sdtContent>
            </w:sdt>
            <w:tc>
              <w:tcPr>
                <w:tcW w:w="1582" w:type="pct"/>
                <w:shd w:val="clear" w:color="auto" w:fill="auto"/>
                <w:vAlign w:val="center"/>
              </w:tcPr>
              <w:p>
                <w:pPr>
                  <w:jc w:val="right"/>
                  <w:rPr>
                    <w:rFonts w:ascii="Times New Roman" w:hAnsi="Times New Roman" w:cs="Times New Roman"/>
                    <w:sz w:val="24"/>
                  </w:rPr>
                </w:pPr>
                <w:r>
                  <w:rPr>
                    <w:rFonts w:ascii="Times New Roman" w:hAnsi="Times New Roman" w:cs="Times New Roman"/>
                  </w:rPr>
                  <w:t>297,779,212.23</w:t>
                </w:r>
              </w:p>
            </w:tc>
            <w:tc>
              <w:tcPr>
                <w:tcW w:w="1590" w:type="pct"/>
                <w:shd w:val="clear" w:color="auto" w:fill="auto"/>
                <w:vAlign w:val="center"/>
              </w:tcPr>
              <w:p>
                <w:pPr>
                  <w:jc w:val="right"/>
                  <w:rPr>
                    <w:rFonts w:ascii="Times New Roman" w:hAnsi="Times New Roman" w:cs="Times New Roman"/>
                    <w:sz w:val="24"/>
                  </w:rPr>
                </w:pPr>
                <w:r>
                  <w:rPr>
                    <w:rFonts w:ascii="Times New Roman" w:hAnsi="Times New Roman" w:cs="Times New Roman"/>
                  </w:rPr>
                  <w:t>323,799,087.94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dbf007035d340138416b71156975cbb"/>
                <w:id w:val="865725035"/>
                <w:lock w:val="sdtLocked"/>
              </w:sdtPr>
              <w:sdtEndPr>
                <w:rPr>
                  <w:rFonts w:ascii="Times New Roman" w:hAnsi="Times New Roman" w:cs="Times New Roman"/>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Pr>
                        <w:rFonts w:ascii="Times New Roman" w:cs="Times New Roman"/>
                        <w:szCs w:val="21"/>
                      </w:rPr>
                      <w:t>固定资产清理</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c9866961bae4109a819284134b51737"/>
                <w:id w:val="865725036"/>
                <w:lock w:val="sdtLocked"/>
              </w:sdtPr>
              <w:sdtEndPr>
                <w:rPr>
                  <w:rFonts w:ascii="Times New Roman" w:hAnsi="Times New Roman" w:cs="Times New Roman"/>
                </w:rPr>
              </w:sdtEnd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Pr>
                        <w:rFonts w:ascii="Times New Roman" w:cs="Times New Roman"/>
                        <w:szCs w:val="21"/>
                      </w:rPr>
                      <w:t>合计</w:t>
                    </w:r>
                  </w:p>
                </w:tc>
              </w:sdtContent>
            </w:sdt>
            <w:tc>
              <w:tcPr>
                <w:tcW w:w="1582" w:type="pct"/>
                <w:shd w:val="clear" w:color="auto" w:fill="auto"/>
                <w:vAlign w:val="center"/>
              </w:tcPr>
              <w:p>
                <w:pPr>
                  <w:jc w:val="right"/>
                  <w:rPr>
                    <w:rFonts w:ascii="Times New Roman" w:hAnsi="Times New Roman" w:cs="Times New Roman"/>
                    <w:sz w:val="24"/>
                  </w:rPr>
                </w:pPr>
                <w:r>
                  <w:rPr>
                    <w:rFonts w:ascii="Times New Roman" w:hAnsi="Times New Roman" w:cs="Times New Roman"/>
                  </w:rPr>
                  <w:t>297,779,212.23</w:t>
                </w:r>
              </w:p>
            </w:tc>
            <w:tc>
              <w:tcPr>
                <w:tcW w:w="1590" w:type="pct"/>
                <w:shd w:val="clear" w:color="auto" w:fill="auto"/>
                <w:vAlign w:val="center"/>
              </w:tcPr>
              <w:p>
                <w:pPr>
                  <w:jc w:val="right"/>
                  <w:rPr>
                    <w:rFonts w:ascii="Times New Roman" w:hAnsi="Times New Roman" w:cs="Times New Roman"/>
                    <w:sz w:val="24"/>
                  </w:rPr>
                </w:pPr>
                <w:r>
                  <w:rPr>
                    <w:rFonts w:ascii="Times New Roman" w:hAnsi="Times New Roman" w:cs="Times New Roman"/>
                  </w:rPr>
                  <w:t>323,799,087.94</w:t>
                </w:r>
              </w:p>
            </w:tc>
          </w:tr>
        </w:tbl>
        <w:p>
          <w:pPr>
            <w:rPr>
              <w:b/>
            </w:rPr>
          </w:pPr>
        </w:p>
      </w:sdtContent>
    </w:sdt>
    <w:bookmarkEnd w:id="182"/>
    <w:sdt>
      <w:sdtPr>
        <w:rPr>
          <w:rFonts w:hint="eastAsia"/>
          <w:szCs w:val="21"/>
        </w:rPr>
        <w:alias w:val="模块:固定资产分类列示其他说明"/>
        <w:tag w:val="_SEC_5797700860144c4b9ca0b9b62b2dc148"/>
        <w:id w:val="865725039"/>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固定资产分类列示其他说明[双击切换]"/>
            <w:tag w:val="_GBC_242c272ba3a1435aacea1f45ade5a2e0"/>
            <w:id w:val="86572503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pStyle w:val="5"/>
        <w:ind w:left="360" w:hanging="360"/>
      </w:pPr>
      <w:r>
        <w:rPr>
          <w:rFonts w:hint="eastAsia"/>
        </w:rPr>
        <w:t>固定资产</w:t>
      </w:r>
    </w:p>
    <w:sdt>
      <w:sdtPr>
        <w:rPr>
          <w:rFonts w:hint="eastAsia" w:ascii="宋体" w:hAnsi="宋体" w:eastAsia="宋体" w:cs="宋体"/>
          <w:b w:val="0"/>
          <w:bCs w:val="0"/>
          <w:kern w:val="0"/>
          <w:szCs w:val="24"/>
        </w:rPr>
        <w:alias w:val="模块:固定资产情况"/>
        <w:tag w:val="_SEC_b17fc34a023f4384a425600555740cb6"/>
        <w:id w:val="865725147"/>
        <w:lock w:val="sdtLocked"/>
        <w:placeholder>
          <w:docPart w:val="GBC22222222222222222222222222222"/>
        </w:placeholder>
      </w:sdtPr>
      <w:sdtEndPr>
        <w:rPr>
          <w:rFonts w:hint="eastAsia" w:ascii="宋体" w:hAnsi="宋体" w:eastAsia="宋体" w:cstheme="minorBidi"/>
          <w:b w:val="0"/>
          <w:bCs w:val="0"/>
          <w:kern w:val="2"/>
          <w:szCs w:val="21"/>
        </w:rPr>
      </w:sdtEndPr>
      <w:sdtContent>
        <w:p>
          <w:pPr>
            <w:pStyle w:val="5"/>
            <w:numPr>
              <w:ilvl w:val="3"/>
              <w:numId w:val="91"/>
            </w:numPr>
            <w:ind w:left="426" w:hanging="426"/>
          </w:pPr>
          <w:r>
            <w:rPr>
              <w:rFonts w:hint="eastAsia"/>
            </w:rPr>
            <w:t>固定资产情况</w:t>
          </w:r>
        </w:p>
        <w:sdt>
          <w:sdtPr>
            <w:alias w:val="是否适用：固定资产情况[双击切换]"/>
            <w:tag w:val="_GBC_a44afb7019ae43b7a273970cf76154a3"/>
            <w:id w:val="86572504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8657250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865725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1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89"/>
            <w:gridCol w:w="1539"/>
            <w:gridCol w:w="1695"/>
            <w:gridCol w:w="1629"/>
            <w:gridCol w:w="1592"/>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0431b88b9ff14ebb90e5715c273e1c1d"/>
                <w:id w:val="865725043"/>
                <w:lock w:val="sdtLocked"/>
              </w:sdtPr>
              <w:sdtEndPr>
                <w:rPr>
                  <w:rFonts w:ascii="Times New Roman" w:hAnsi="Times New Roman" w:cs="Times New Roman"/>
                </w:rPr>
              </w:sdtEndPr>
              <w:sdtContent>
                <w:tc>
                  <w:tcPr>
                    <w:tcW w:w="740" w:type="pct"/>
                    <w:shd w:val="clear" w:color="auto" w:fill="auto"/>
                    <w:vAlign w:val="center"/>
                  </w:tcPr>
                  <w:p>
                    <w:pPr>
                      <w:jc w:val="center"/>
                      <w:rPr>
                        <w:rFonts w:ascii="Times New Roman" w:hAnsi="Times New Roman" w:cs="Times New Roman"/>
                      </w:rPr>
                    </w:pPr>
                    <w:r>
                      <w:rPr>
                        <w:rFonts w:ascii="Times New Roman" w:cs="Times New Roman"/>
                      </w:rPr>
                      <w:t>项目</w:t>
                    </w:r>
                  </w:p>
                </w:tc>
              </w:sdtContent>
            </w:sdt>
            <w:sdt>
              <w:sdtPr>
                <w:rPr>
                  <w:rFonts w:ascii="Times New Roman" w:hAnsi="Times New Roman" w:cs="Times New Roman"/>
                </w:rPr>
                <w:alias w:val="固定资产情况明细-项目名称"/>
                <w:tag w:val="_GBC_d421638fcfb34bbba0e548b4cb719a06"/>
                <w:id w:val="865725044"/>
                <w:lock w:val="sdtLocked"/>
                <w:text/>
              </w:sdtPr>
              <w:sdtEndPr>
                <w:rPr>
                  <w:rFonts w:ascii="Times New Roman" w:hAnsi="Times New Roman" w:cs="Times New Roman"/>
                </w:rPr>
              </w:sdtEndPr>
              <w:sdtContent>
                <w:tc>
                  <w:tcPr>
                    <w:tcW w:w="820" w:type="pct"/>
                    <w:shd w:val="clear" w:color="auto" w:fill="auto"/>
                    <w:vAlign w:val="center"/>
                  </w:tcPr>
                  <w:p>
                    <w:pPr>
                      <w:jc w:val="center"/>
                      <w:rPr>
                        <w:rFonts w:ascii="Times New Roman" w:hAnsi="Times New Roman" w:cs="Times New Roman"/>
                      </w:rPr>
                    </w:pPr>
                    <w:r>
                      <w:rPr>
                        <w:rFonts w:ascii="Times New Roman" w:cs="Times New Roman"/>
                      </w:rPr>
                      <w:t>房屋及建筑物</w:t>
                    </w:r>
                  </w:p>
                </w:tc>
              </w:sdtContent>
            </w:sdt>
            <w:sdt>
              <w:sdtPr>
                <w:rPr>
                  <w:rFonts w:ascii="Times New Roman" w:hAnsi="Times New Roman" w:cs="Times New Roman"/>
                </w:rPr>
                <w:alias w:val="固定资产情况明细-项目名称"/>
                <w:tag w:val="_GBC_d421638fcfb34bbba0e548b4cb719a06"/>
                <w:id w:val="865725045"/>
                <w:lock w:val="sdtLocked"/>
                <w:text/>
              </w:sdtPr>
              <w:sdtEndPr>
                <w:rPr>
                  <w:rFonts w:ascii="Times New Roman" w:hAnsi="Times New Roman" w:cs="Times New Roman"/>
                </w:rPr>
              </w:sdtEndPr>
              <w:sdtContent>
                <w:tc>
                  <w:tcPr>
                    <w:tcW w:w="903" w:type="pct"/>
                    <w:shd w:val="clear" w:color="auto" w:fill="auto"/>
                    <w:vAlign w:val="center"/>
                  </w:tcPr>
                  <w:p>
                    <w:pPr>
                      <w:jc w:val="center"/>
                      <w:rPr>
                        <w:rFonts w:ascii="Times New Roman" w:hAnsi="Times New Roman" w:cs="Times New Roman"/>
                      </w:rPr>
                    </w:pPr>
                    <w:r>
                      <w:rPr>
                        <w:rFonts w:ascii="Times New Roman" w:cs="Times New Roman"/>
                      </w:rPr>
                      <w:t>机器设备</w:t>
                    </w:r>
                  </w:p>
                </w:tc>
              </w:sdtContent>
            </w:sdt>
            <w:sdt>
              <w:sdtPr>
                <w:rPr>
                  <w:rFonts w:ascii="Times New Roman" w:hAnsi="Times New Roman" w:cs="Times New Roman"/>
                </w:rPr>
                <w:alias w:val="固定资产情况明细-项目名称"/>
                <w:tag w:val="_GBC_d421638fcfb34bbba0e548b4cb719a06"/>
                <w:id w:val="865725046"/>
                <w:lock w:val="sdtLocked"/>
                <w:text/>
              </w:sdtPr>
              <w:sdtEndPr>
                <w:rPr>
                  <w:rFonts w:ascii="Times New Roman" w:hAnsi="Times New Roman" w:cs="Times New Roman"/>
                </w:rPr>
              </w:sdtEndPr>
              <w:sdtContent>
                <w:tc>
                  <w:tcPr>
                    <w:tcW w:w="868" w:type="pct"/>
                    <w:shd w:val="clear" w:color="auto" w:fill="auto"/>
                    <w:vAlign w:val="center"/>
                  </w:tcPr>
                  <w:p>
                    <w:pPr>
                      <w:jc w:val="center"/>
                      <w:rPr>
                        <w:rFonts w:ascii="Times New Roman" w:hAnsi="Times New Roman" w:cs="Times New Roman"/>
                      </w:rPr>
                    </w:pPr>
                    <w:r>
                      <w:rPr>
                        <w:rFonts w:ascii="Times New Roman" w:cs="Times New Roman"/>
                      </w:rPr>
                      <w:t>运输工具</w:t>
                    </w:r>
                  </w:p>
                </w:tc>
              </w:sdtContent>
            </w:sdt>
            <w:sdt>
              <w:sdtPr>
                <w:rPr>
                  <w:rFonts w:ascii="Times New Roman" w:hAnsi="Times New Roman" w:cs="Times New Roman"/>
                </w:rPr>
                <w:alias w:val="固定资产情况明细-项目名称"/>
                <w:tag w:val="_GBC_d421638fcfb34bbba0e548b4cb719a06"/>
                <w:id w:val="865725047"/>
                <w:lock w:val="sdtLocked"/>
                <w:text/>
              </w:sdtPr>
              <w:sdtEndPr>
                <w:rPr>
                  <w:rFonts w:ascii="Times New Roman" w:hAnsi="Times New Roman" w:cs="Times New Roman"/>
                </w:rPr>
              </w:sdtEndPr>
              <w:sdtContent>
                <w:tc>
                  <w:tcPr>
                    <w:tcW w:w="848" w:type="pct"/>
                    <w:shd w:val="clear" w:color="auto" w:fill="auto"/>
                    <w:vAlign w:val="center"/>
                  </w:tcPr>
                  <w:p>
                    <w:pPr>
                      <w:jc w:val="center"/>
                      <w:rPr>
                        <w:rFonts w:ascii="Times New Roman" w:hAnsi="Times New Roman" w:cs="Times New Roman"/>
                      </w:rPr>
                    </w:pPr>
                    <w:r>
                      <w:rPr>
                        <w:rFonts w:ascii="Times New Roman" w:cs="Times New Roman"/>
                      </w:rPr>
                      <w:t>其他设备</w:t>
                    </w:r>
                  </w:p>
                </w:tc>
              </w:sdtContent>
            </w:sdt>
            <w:sdt>
              <w:sdtPr>
                <w:rPr>
                  <w:rFonts w:ascii="Times New Roman" w:hAnsi="Times New Roman" w:cs="Times New Roman"/>
                </w:rPr>
                <w:tag w:val="_PLD_44989fc4cd3d46cc990c4d1941405a11"/>
                <w:id w:val="865725048"/>
                <w:lock w:val="sdtLocked"/>
              </w:sdtPr>
              <w:sdtEndPr>
                <w:rPr>
                  <w:rFonts w:ascii="Times New Roman" w:hAnsi="Times New Roman" w:cs="Times New Roman"/>
                </w:rPr>
              </w:sdtEndPr>
              <w:sdtContent>
                <w:tc>
                  <w:tcPr>
                    <w:tcW w:w="821" w:type="pct"/>
                    <w:shd w:val="clear" w:color="auto" w:fill="auto"/>
                    <w:vAlign w:val="center"/>
                  </w:tcPr>
                  <w:p>
                    <w:pPr>
                      <w:jc w:val="center"/>
                      <w:rPr>
                        <w:rFonts w:ascii="Times New Roman" w:hAnsi="Times New Roman" w:cs="Times New Roman"/>
                      </w:rPr>
                    </w:pPr>
                    <w:r>
                      <w:rPr>
                        <w:rFonts w:ascii="Times New Roman" w:cs="Times New Roma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baa91289996942f0a3579319b339b24d"/>
                <w:id w:val="865725049"/>
                <w:lock w:val="sdtLocked"/>
              </w:sdtPr>
              <w:sdtEndPr>
                <w:rPr>
                  <w:rFonts w:ascii="Times New Roman" w:hAnsi="Times New Roman" w:cs="Times New Roman"/>
                </w:rPr>
              </w:sdtEndPr>
              <w:sdtContent>
                <w:tc>
                  <w:tcPr>
                    <w:tcW w:w="5000" w:type="pct"/>
                    <w:gridSpan w:val="6"/>
                    <w:shd w:val="clear" w:color="auto" w:fill="auto"/>
                  </w:tcPr>
                  <w:p>
                    <w:pPr>
                      <w:rPr>
                        <w:rFonts w:ascii="Times New Roman" w:hAnsi="Times New Roman" w:cs="Times New Roman"/>
                      </w:rPr>
                    </w:pPr>
                    <w:r>
                      <w:rPr>
                        <w:rFonts w:ascii="Times New Roman" w:cs="Times New Roman"/>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8e55a39d9b04404cba08570c8d73eda8"/>
                <w:id w:val="865725050"/>
                <w:lock w:val="sdtLocked"/>
              </w:sdtPr>
              <w:sdtEndPr>
                <w:rPr>
                  <w:rFonts w:ascii="Times New Roman" w:hAnsi="Times New Roman" w:cs="Times New Roman"/>
                </w:rPr>
              </w:sdtEndPr>
              <w:sdtContent>
                <w:tc>
                  <w:tcPr>
                    <w:tcW w:w="740" w:type="pct"/>
                    <w:shd w:val="clear" w:color="auto" w:fill="auto"/>
                    <w:vAlign w:val="center"/>
                  </w:tcPr>
                  <w:p>
                    <w:pPr>
                      <w:ind w:firstLine="420" w:firstLineChars="200"/>
                      <w:jc w:val="both"/>
                      <w:rPr>
                        <w:rFonts w:ascii="Times New Roman" w:hAnsi="Times New Roman" w:cs="Times New Roman"/>
                      </w:rPr>
                    </w:pPr>
                    <w:r>
                      <w:rPr>
                        <w:rFonts w:ascii="Times New Roman" w:hAnsi="Times New Roman" w:cs="Times New Roman"/>
                      </w:rPr>
                      <w:t>1.</w:t>
                    </w:r>
                    <w:r>
                      <w:rPr>
                        <w:rFonts w:ascii="Times New Roman" w:cs="Times New Roman"/>
                      </w:rPr>
                      <w:t>期初余额</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382,043,163.41</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308,989,391.41</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7,803,647.42</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15,906,954.04</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714,743,156.28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5d0a6e7657e6410e9c0550f674185af8"/>
                <w:id w:val="865725051"/>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2.</w:t>
                    </w:r>
                    <w:r>
                      <w:rPr>
                        <w:rFonts w:ascii="Times New Roman" w:cs="Times New Roman"/>
                      </w:rPr>
                      <w:t>本期增加金额</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7,239,338.82</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19,963,145.78</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356,162.84</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1,172,294.02</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 28,730,941.46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21acfc7c80ed4c8898e7254bc3a221c4"/>
                <w:id w:val="865725052"/>
                <w:lock w:val="sdtLocked"/>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w:t>
                    </w:r>
                    <w:r>
                      <w:rPr>
                        <w:rFonts w:ascii="Times New Roman" w:hAnsi="Times New Roman" w:cs="Times New Roman"/>
                      </w:rPr>
                      <w:t>1</w:t>
                    </w:r>
                    <w:r>
                      <w:rPr>
                        <w:rFonts w:ascii="Times New Roman" w:cs="Times New Roman"/>
                      </w:rPr>
                      <w:t>）购置</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3,402,325.67</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11,786,737.68</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356,162.84</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1,172,294.02</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16,717,520.21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c4fb45cabc464177bb10403e2ec415b1"/>
                <w:id w:val="865725053"/>
                <w:lock w:val="sdtLocked"/>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w:t>
                    </w:r>
                    <w:r>
                      <w:rPr>
                        <w:rFonts w:ascii="Times New Roman" w:hAnsi="Times New Roman" w:cs="Times New Roman"/>
                      </w:rPr>
                      <w:t>2</w:t>
                    </w:r>
                    <w:r>
                      <w:rPr>
                        <w:rFonts w:ascii="Times New Roman" w:cs="Times New Roman"/>
                      </w:rPr>
                      <w:t>）在建工程转入</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3,837,013.15</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8,176,408.10</w:t>
                </w:r>
              </w:p>
            </w:tc>
            <w:tc>
              <w:tcPr>
                <w:tcW w:w="868" w:type="pct"/>
                <w:shd w:val="clear" w:color="auto" w:fill="auto"/>
                <w:vAlign w:val="center"/>
              </w:tcPr>
              <w:p>
                <w:pPr>
                  <w:jc w:val="right"/>
                  <w:rPr>
                    <w:rFonts w:ascii="Times New Roman" w:hAnsi="Times New Roman" w:cs="Times New Roman"/>
                    <w:sz w:val="24"/>
                  </w:rPr>
                </w:pPr>
              </w:p>
            </w:tc>
            <w:tc>
              <w:tcPr>
                <w:tcW w:w="848" w:type="pct"/>
                <w:shd w:val="clear" w:color="auto" w:fill="auto"/>
                <w:vAlign w:val="center"/>
              </w:tcPr>
              <w:p>
                <w:pPr>
                  <w:jc w:val="right"/>
                  <w:rPr>
                    <w:rFonts w:ascii="Times New Roman" w:hAnsi="Times New Roman" w:cs="Times New Roman"/>
                    <w:sz w:val="24"/>
                  </w:rPr>
                </w:pP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12,013,421.25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726d6f59ad1c442a86cca9c28703f954"/>
                <w:id w:val="865725054"/>
                <w:lock w:val="sdtLocked"/>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w:t>
                    </w:r>
                    <w:r>
                      <w:rPr>
                        <w:rFonts w:ascii="Times New Roman" w:hAnsi="Times New Roman" w:cs="Times New Roman"/>
                      </w:rPr>
                      <w:t>3</w:t>
                    </w:r>
                    <w:r>
                      <w:rPr>
                        <w:rFonts w:ascii="Times New Roman" w:cs="Times New Roman"/>
                      </w:rPr>
                      <w:t>）企业合并增加</w:t>
                    </w:r>
                  </w:p>
                </w:tc>
              </w:sdtContent>
            </w:sdt>
            <w:tc>
              <w:tcPr>
                <w:tcW w:w="820" w:type="pct"/>
                <w:shd w:val="clear" w:color="auto" w:fill="auto"/>
                <w:vAlign w:val="center"/>
              </w:tcPr>
              <w:p>
                <w:pPr>
                  <w:jc w:val="right"/>
                  <w:rPr>
                    <w:rFonts w:ascii="Times New Roman" w:hAnsi="Times New Roman" w:cs="Times New Roman"/>
                  </w:rPr>
                </w:pPr>
              </w:p>
            </w:tc>
            <w:tc>
              <w:tcPr>
                <w:tcW w:w="903" w:type="pct"/>
                <w:shd w:val="clear" w:color="auto" w:fill="auto"/>
                <w:vAlign w:val="center"/>
              </w:tcPr>
              <w:p>
                <w:pPr>
                  <w:jc w:val="right"/>
                  <w:rPr>
                    <w:rFonts w:ascii="Times New Roman" w:hAnsi="Times New Roman" w:cs="Times New Roman"/>
                  </w:rPr>
                </w:pPr>
              </w:p>
            </w:tc>
            <w:tc>
              <w:tcPr>
                <w:tcW w:w="868" w:type="pct"/>
                <w:shd w:val="clear" w:color="auto" w:fill="auto"/>
                <w:vAlign w:val="center"/>
              </w:tcPr>
              <w:p>
                <w:pPr>
                  <w:jc w:val="right"/>
                  <w:rPr>
                    <w:rFonts w:ascii="Times New Roman" w:hAnsi="Times New Roman" w:cs="Times New Roman"/>
                  </w:rPr>
                </w:pPr>
              </w:p>
            </w:tc>
            <w:tc>
              <w:tcPr>
                <w:tcW w:w="848" w:type="pct"/>
                <w:shd w:val="clear" w:color="auto" w:fill="auto"/>
                <w:vAlign w:val="center"/>
              </w:tcPr>
              <w:p>
                <w:pPr>
                  <w:jc w:val="right"/>
                  <w:rPr>
                    <w:rFonts w:ascii="Times New Roman" w:hAnsi="Times New Roman" w:cs="Times New Roman"/>
                  </w:rPr>
                </w:pPr>
              </w:p>
            </w:tc>
            <w:tc>
              <w:tcPr>
                <w:tcW w:w="821" w:type="pct"/>
                <w:shd w:val="clear" w:color="auto" w:fill="auto"/>
                <w:vAlign w:val="center"/>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82105b7a23294bcc97fa2c9d341d5e29"/>
                <w:id w:val="865725067"/>
                <w:lock w:val="sdtLocked"/>
              </w:sdtPr>
              <w:sdtEndPr>
                <w:rPr>
                  <w:rFonts w:ascii="Times New Roman" w:hAnsi="Times New Roman" w:cs="Times New Roman"/>
                </w:rPr>
              </w:sdtEndPr>
              <w:sdtContent>
                <w:tc>
                  <w:tcPr>
                    <w:tcW w:w="740" w:type="pct"/>
                    <w:shd w:val="clear" w:color="auto" w:fill="auto"/>
                  </w:tcPr>
                  <w:p>
                    <w:pPr>
                      <w:ind w:firstLine="424" w:firstLineChars="202"/>
                      <w:rPr>
                        <w:rFonts w:ascii="Times New Roman" w:hAnsi="Times New Roman" w:cs="Times New Roman"/>
                      </w:rPr>
                    </w:pPr>
                    <w:r>
                      <w:rPr>
                        <w:rFonts w:ascii="Times New Roman" w:hAnsi="Times New Roman" w:cs="Times New Roman"/>
                      </w:rPr>
                      <w:t>3.</w:t>
                    </w:r>
                    <w:r>
                      <w:rPr>
                        <w:rFonts w:ascii="Times New Roman" w:cs="Times New Roman"/>
                      </w:rPr>
                      <w:t>本期减少金额</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34,022,109.55</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6,391,336.82</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246,097.00</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174,224.85</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40,833,768.22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ff1592931fc24cf7bf5faee8eae2abb5"/>
                <w:id w:val="865725068"/>
                <w:lock w:val="sdtLocked"/>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w:t>
                    </w:r>
                    <w:r>
                      <w:rPr>
                        <w:rFonts w:ascii="Times New Roman" w:hAnsi="Times New Roman" w:cs="Times New Roman"/>
                      </w:rPr>
                      <w:t>1</w:t>
                    </w:r>
                    <w:r>
                      <w:rPr>
                        <w:rFonts w:ascii="Times New Roman" w:cs="Times New Roman"/>
                      </w:rPr>
                      <w:t>）处置或报废</w:t>
                    </w:r>
                  </w:p>
                </w:tc>
              </w:sdtContent>
            </w:sdt>
            <w:tc>
              <w:tcPr>
                <w:tcW w:w="820" w:type="pct"/>
                <w:shd w:val="clear" w:color="auto" w:fill="auto"/>
                <w:vAlign w:val="center"/>
              </w:tcPr>
              <w:p>
                <w:pPr>
                  <w:ind w:right="105"/>
                  <w:jc w:val="right"/>
                  <w:rPr>
                    <w:rFonts w:ascii="Times New Roman" w:hAnsi="Times New Roman" w:cs="Times New Roman"/>
                    <w:sz w:val="24"/>
                  </w:rPr>
                </w:pPr>
                <w:r>
                  <w:rPr>
                    <w:rFonts w:ascii="Times New Roman" w:hAnsi="Times New Roman" w:cs="Times New Roman"/>
                  </w:rPr>
                  <w:t> 140,102.21</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6,391,336.82</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246,097.00</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174,224.85</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6,951,760.88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alias w:val="固定资产账面原值减少项目名称"/>
                <w:tag w:val="_GBC_bf0a28cbddd8409cb7657fa18a522437"/>
                <w:id w:val="865725069"/>
                <w:lock w:val="sdtLocked"/>
              </w:sdtPr>
              <w:sdtEndPr>
                <w:rPr>
                  <w:rFonts w:ascii="Times New Roman" w:hAnsi="Times New Roman" w:cs="Times New Roman"/>
                </w:rPr>
              </w:sdtEndPr>
              <w:sdtContent>
                <w:tc>
                  <w:tcPr>
                    <w:tcW w:w="740" w:type="pct"/>
                    <w:shd w:val="clear" w:color="auto" w:fill="auto"/>
                    <w:vAlign w:val="center"/>
                  </w:tcPr>
                  <w:p>
                    <w:pPr>
                      <w:rPr>
                        <w:rFonts w:ascii="Times New Roman" w:hAnsi="Times New Roman" w:cs="Times New Roman"/>
                      </w:rPr>
                    </w:pPr>
                    <w:r>
                      <w:rPr>
                        <w:rFonts w:ascii="Times New Roman" w:cs="Times New Roman"/>
                      </w:rPr>
                      <w:t>（</w:t>
                    </w:r>
                    <w:r>
                      <w:rPr>
                        <w:rFonts w:ascii="Times New Roman" w:hAnsi="Times New Roman" w:cs="Times New Roman"/>
                      </w:rPr>
                      <w:t>2</w:t>
                    </w:r>
                    <w:r>
                      <w:rPr>
                        <w:rFonts w:ascii="Times New Roman" w:cs="Times New Roman"/>
                      </w:rPr>
                      <w:t>）转出至投资性房地产</w:t>
                    </w:r>
                  </w:p>
                </w:tc>
              </w:sdtContent>
            </w:sdt>
            <w:sdt>
              <w:sdtPr>
                <w:rPr>
                  <w:rFonts w:ascii="Times New Roman" w:hAnsi="Times New Roman" w:cs="Times New Roman"/>
                </w:rPr>
                <w:alias w:val="固定资产账面原值减少项目金额"/>
                <w:tag w:val="_GBC_5be4d3b49a5c4a68a0d236b2da08d9af"/>
                <w:id w:val="865725070"/>
                <w:lock w:val="sdtLocked"/>
              </w:sdtPr>
              <w:sdtEndPr>
                <w:rPr>
                  <w:rFonts w:ascii="Times New Roman" w:hAnsi="Times New Roman" w:cs="Times New Roman"/>
                </w:rPr>
              </w:sdtEndPr>
              <w:sdtContent>
                <w:tc>
                  <w:tcPr>
                    <w:tcW w:w="820" w:type="pct"/>
                    <w:shd w:val="clear" w:color="auto" w:fill="auto"/>
                    <w:vAlign w:val="center"/>
                  </w:tcPr>
                  <w:p>
                    <w:pPr>
                      <w:jc w:val="right"/>
                      <w:rPr>
                        <w:rFonts w:ascii="Times New Roman" w:hAnsi="Times New Roman" w:cs="Times New Roman"/>
                      </w:rPr>
                    </w:pPr>
                    <w:r>
                      <w:rPr>
                        <w:rFonts w:ascii="Times New Roman" w:hAnsi="Times New Roman" w:cs="Times New Roman"/>
                      </w:rPr>
                      <w:t>33,882,007.34</w:t>
                    </w:r>
                  </w:p>
                </w:tc>
              </w:sdtContent>
            </w:sdt>
            <w:sdt>
              <w:sdtPr>
                <w:rPr>
                  <w:rFonts w:ascii="Times New Roman" w:hAnsi="Times New Roman" w:cs="Times New Roman"/>
                </w:rPr>
                <w:alias w:val="固定资产账面原值减少项目金额"/>
                <w:tag w:val="_GBC_5be4d3b49a5c4a68a0d236b2da08d9af"/>
                <w:id w:val="865725071"/>
                <w:lock w:val="sdtLocked"/>
                <w:showingPlcHdr/>
              </w:sdtPr>
              <w:sdtEndPr>
                <w:rPr>
                  <w:rFonts w:ascii="Times New Roman" w:hAnsi="Times New Roman" w:cs="Times New Roman"/>
                </w:rPr>
              </w:sdtEndPr>
              <w:sdtContent>
                <w:tc>
                  <w:tcPr>
                    <w:tcW w:w="903" w:type="pct"/>
                    <w:shd w:val="clear" w:color="auto" w:fill="auto"/>
                    <w:vAlign w:val="center"/>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账面原值减少项目金额"/>
                <w:tag w:val="_GBC_5be4d3b49a5c4a68a0d236b2da08d9af"/>
                <w:id w:val="865725072"/>
                <w:lock w:val="sdtLocked"/>
                <w:showingPlcHdr/>
              </w:sdtPr>
              <w:sdtEndPr>
                <w:rPr>
                  <w:rFonts w:ascii="Times New Roman" w:hAnsi="Times New Roman" w:cs="Times New Roman"/>
                </w:rPr>
              </w:sdtEndPr>
              <w:sdtContent>
                <w:tc>
                  <w:tcPr>
                    <w:tcW w:w="868" w:type="pct"/>
                    <w:shd w:val="clear" w:color="auto" w:fill="auto"/>
                    <w:vAlign w:val="center"/>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账面原值减少项目金额"/>
                <w:tag w:val="_GBC_5be4d3b49a5c4a68a0d236b2da08d9af"/>
                <w:id w:val="865725073"/>
                <w:lock w:val="sdtLocked"/>
                <w:showingPlcHdr/>
              </w:sdtPr>
              <w:sdtEndPr>
                <w:rPr>
                  <w:rFonts w:ascii="Times New Roman" w:hAnsi="Times New Roman" w:cs="Times New Roman"/>
                </w:rPr>
              </w:sdtEndPr>
              <w:sdtContent>
                <w:tc>
                  <w:tcPr>
                    <w:tcW w:w="848" w:type="pct"/>
                    <w:shd w:val="clear" w:color="auto" w:fill="auto"/>
                    <w:vAlign w:val="center"/>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账面原值减少项目合计金额"/>
                <w:tag w:val="_GBC_9b93e9d244ff4453b139d8a42865ba80"/>
                <w:id w:val="865725074"/>
                <w:lock w:val="sdtLocked"/>
              </w:sdtPr>
              <w:sdtEndPr>
                <w:rPr>
                  <w:rFonts w:ascii="Times New Roman" w:hAnsi="Times New Roman" w:cs="Times New Roman"/>
                </w:rPr>
              </w:sdtEndPr>
              <w:sdtContent>
                <w:tc>
                  <w:tcPr>
                    <w:tcW w:w="821" w:type="pct"/>
                    <w:shd w:val="clear" w:color="auto" w:fill="auto"/>
                    <w:vAlign w:val="center"/>
                  </w:tcPr>
                  <w:p>
                    <w:pPr>
                      <w:jc w:val="right"/>
                      <w:rPr>
                        <w:rFonts w:ascii="Times New Roman" w:hAnsi="Times New Roman" w:cs="Times New Roman"/>
                      </w:rPr>
                    </w:pPr>
                    <w:r>
                      <w:rPr>
                        <w:rFonts w:ascii="Times New Roman" w:hAnsi="Times New Roman" w:cs="Times New Roman"/>
                      </w:rPr>
                      <w:t>33,882,007.34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3fb9f6c6a0b842188aea461d99c9adab"/>
                <w:id w:val="865725081"/>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4.</w:t>
                    </w:r>
                    <w:r>
                      <w:rPr>
                        <w:rFonts w:ascii="Times New Roman" w:cs="Times New Roman"/>
                      </w:rPr>
                      <w:t>期末余额</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355,260,392.68</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322,561,200.37</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7,913,713.26</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16,905,023.21</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702,640,329.52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14f44e7a4341414ca27a4047f9622e44"/>
                <w:id w:val="865725082"/>
                <w:lock w:val="sdtLocked"/>
              </w:sdtPr>
              <w:sdtEndPr>
                <w:rPr>
                  <w:rFonts w:ascii="Times New Roman" w:hAnsi="Times New Roman" w:cs="Times New Roman"/>
                </w:rPr>
              </w:sdtEndPr>
              <w:sdtContent>
                <w:tc>
                  <w:tcPr>
                    <w:tcW w:w="5000" w:type="pct"/>
                    <w:gridSpan w:val="6"/>
                    <w:shd w:val="clear" w:color="auto" w:fill="auto"/>
                  </w:tcPr>
                  <w:p>
                    <w:pPr>
                      <w:rPr>
                        <w:rFonts w:ascii="Times New Roman" w:hAnsi="Times New Roman" w:cs="Times New Roman"/>
                      </w:rPr>
                    </w:pPr>
                    <w:r>
                      <w:rPr>
                        <w:rFonts w:ascii="Times New Roman" w:cs="Times New Roman"/>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bdfb76068a2a4a95ab0a3bcf1b094bf2"/>
                <w:id w:val="865725083"/>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1.</w:t>
                    </w:r>
                    <w:r>
                      <w:rPr>
                        <w:rFonts w:ascii="Times New Roman" w:cs="Times New Roman"/>
                      </w:rPr>
                      <w:t>期初余额</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131,227,766.84</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239,111,320.16</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6,157,519.94</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12,994,143.95</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389,490,750.89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ac9d6720c4e84ec2b82637a9bc7e4a54"/>
                <w:id w:val="865725084"/>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2.</w:t>
                    </w:r>
                    <w:r>
                      <w:rPr>
                        <w:rFonts w:ascii="Times New Roman" w:cs="Times New Roman"/>
                      </w:rPr>
                      <w:t>本期增加金额</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11,801,082.38</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13,898,423.85</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455,326.75</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975,889.58</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27,130,722.56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4b899f8229be463181a7e6a6c1cb2337"/>
                <w:id w:val="865725085"/>
                <w:lock w:val="sdtLocked"/>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w:t>
                    </w:r>
                    <w:r>
                      <w:rPr>
                        <w:rFonts w:ascii="Times New Roman" w:hAnsi="Times New Roman" w:cs="Times New Roman"/>
                      </w:rPr>
                      <w:t>1</w:t>
                    </w:r>
                    <w:r>
                      <w:rPr>
                        <w:rFonts w:ascii="Times New Roman" w:cs="Times New Roman"/>
                      </w:rPr>
                      <w:t>）计提</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11,801,082.38</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13,898,423.85</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455,326.75</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975,889.58</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27,130,722.56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alias w:val="固定资产累计折旧增加项目名称"/>
                <w:tag w:val="_GBC_c82e46f282074bcd8f0977f9e064b7a6"/>
                <w:id w:val="865725086"/>
                <w:lock w:val="sdtLocked"/>
                <w:showingPlcHdr/>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增加项目金额"/>
                <w:tag w:val="_GBC_d8c6bc4179c24d4497d3b866e522ee51"/>
                <w:id w:val="865725087"/>
                <w:lock w:val="sdtLocked"/>
                <w:showingPlcHdr/>
              </w:sdtPr>
              <w:sdtEndPr>
                <w:rPr>
                  <w:rFonts w:ascii="Times New Roman" w:hAnsi="Times New Roman" w:cs="Times New Roman"/>
                </w:rPr>
              </w:sdtEndPr>
              <w:sdtContent>
                <w:tc>
                  <w:tcPr>
                    <w:tcW w:w="820"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增加项目金额"/>
                <w:tag w:val="_GBC_d8c6bc4179c24d4497d3b866e522ee51"/>
                <w:id w:val="865725088"/>
                <w:lock w:val="sdtLocked"/>
                <w:showingPlcHdr/>
              </w:sdtPr>
              <w:sdtEndPr>
                <w:rPr>
                  <w:rFonts w:ascii="Times New Roman" w:hAnsi="Times New Roman" w:cs="Times New Roman"/>
                </w:rPr>
              </w:sdtEndPr>
              <w:sdtContent>
                <w:tc>
                  <w:tcPr>
                    <w:tcW w:w="903"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增加项目金额"/>
                <w:tag w:val="_GBC_d8c6bc4179c24d4497d3b866e522ee51"/>
                <w:id w:val="865725089"/>
                <w:lock w:val="sdtLocked"/>
                <w:showingPlcHdr/>
              </w:sdtPr>
              <w:sdtEndPr>
                <w:rPr>
                  <w:rFonts w:ascii="Times New Roman" w:hAnsi="Times New Roman" w:cs="Times New Roman"/>
                </w:rPr>
              </w:sdtEndPr>
              <w:sdtContent>
                <w:tc>
                  <w:tcPr>
                    <w:tcW w:w="868"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增加项目金额"/>
                <w:tag w:val="_GBC_d8c6bc4179c24d4497d3b866e522ee51"/>
                <w:id w:val="865725090"/>
                <w:lock w:val="sdtLocked"/>
                <w:showingPlcHdr/>
              </w:sdtPr>
              <w:sdtEndPr>
                <w:rPr>
                  <w:rFonts w:ascii="Times New Roman" w:hAnsi="Times New Roman" w:cs="Times New Roman"/>
                </w:rPr>
              </w:sdtEndPr>
              <w:sdtContent>
                <w:tc>
                  <w:tcPr>
                    <w:tcW w:w="848"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增加项目合计金额"/>
                <w:tag w:val="_GBC_7b368febd98d43528833b386ded680f2"/>
                <w:id w:val="865725091"/>
                <w:lock w:val="sdtLocked"/>
                <w:showingPlcHdr/>
              </w:sdtPr>
              <w:sdtEndPr>
                <w:rPr>
                  <w:rFonts w:ascii="Times New Roman" w:hAnsi="Times New Roman" w:cs="Times New Roman"/>
                </w:rPr>
              </w:sdtEndPr>
              <w:sdtContent>
                <w:tc>
                  <w:tcPr>
                    <w:tcW w:w="821" w:type="pct"/>
                    <w:shd w:val="clear" w:color="auto" w:fill="auto"/>
                  </w:tcPr>
                  <w:p>
                    <w:pPr>
                      <w:jc w:val="right"/>
                      <w:rPr>
                        <w:rFonts w:ascii="Times New Roman" w:hAnsi="Times New Roman" w:cs="Times New Roman"/>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alias w:val="固定资产累计折旧增加项目名称"/>
                <w:tag w:val="_GBC_c82e46f282074bcd8f0977f9e064b7a6"/>
                <w:id w:val="865725092"/>
                <w:lock w:val="sdtLocked"/>
                <w:showingPlcHdr/>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增加项目金额"/>
                <w:tag w:val="_GBC_d8c6bc4179c24d4497d3b866e522ee51"/>
                <w:id w:val="865725093"/>
                <w:lock w:val="sdtLocked"/>
                <w:showingPlcHdr/>
              </w:sdtPr>
              <w:sdtEndPr>
                <w:rPr>
                  <w:rFonts w:ascii="Times New Roman" w:hAnsi="Times New Roman" w:cs="Times New Roman"/>
                </w:rPr>
              </w:sdtEndPr>
              <w:sdtContent>
                <w:tc>
                  <w:tcPr>
                    <w:tcW w:w="820"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增加项目金额"/>
                <w:tag w:val="_GBC_d8c6bc4179c24d4497d3b866e522ee51"/>
                <w:id w:val="865725094"/>
                <w:lock w:val="sdtLocked"/>
                <w:showingPlcHdr/>
              </w:sdtPr>
              <w:sdtEndPr>
                <w:rPr>
                  <w:rFonts w:ascii="Times New Roman" w:hAnsi="Times New Roman" w:cs="Times New Roman"/>
                </w:rPr>
              </w:sdtEndPr>
              <w:sdtContent>
                <w:tc>
                  <w:tcPr>
                    <w:tcW w:w="903"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累计折旧增加项目金额"/>
                <w:tag w:val="_GBC_d8c6bc4179c24d4497d3b866e522ee51"/>
                <w:id w:val="865725095"/>
                <w:lock w:val="sdtLocked"/>
                <w:showingPlcHdr/>
              </w:sdtPr>
              <w:sdtEndPr>
                <w:rPr>
                  <w:rFonts w:ascii="Times New Roman" w:hAnsi="Times New Roman" w:cs="Times New Roman"/>
                </w:rPr>
              </w:sdtEndPr>
              <w:sdtContent>
                <w:tc>
                  <w:tcPr>
                    <w:tcW w:w="868"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累计折旧增加项目金额"/>
                <w:tag w:val="_GBC_d8c6bc4179c24d4497d3b866e522ee51"/>
                <w:id w:val="865725096"/>
                <w:lock w:val="sdtLocked"/>
                <w:showingPlcHdr/>
              </w:sdtPr>
              <w:sdtEndPr>
                <w:rPr>
                  <w:rFonts w:ascii="Times New Roman" w:hAnsi="Times New Roman" w:cs="Times New Roman"/>
                </w:rPr>
              </w:sdtEndPr>
              <w:sdtContent>
                <w:tc>
                  <w:tcPr>
                    <w:tcW w:w="848"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累计折旧增加项目合计金额"/>
                <w:tag w:val="_GBC_7b368febd98d43528833b386ded680f2"/>
                <w:id w:val="865725097"/>
                <w:lock w:val="sdtLocked"/>
                <w:showingPlcHdr/>
              </w:sdtPr>
              <w:sdtEndPr>
                <w:rPr>
                  <w:rFonts w:ascii="Times New Roman" w:hAnsi="Times New Roman" w:cs="Times New Roman"/>
                </w:rPr>
              </w:sdtEndPr>
              <w:sdtContent>
                <w:tc>
                  <w:tcPr>
                    <w:tcW w:w="821" w:type="pct"/>
                    <w:shd w:val="clear" w:color="auto" w:fill="auto"/>
                  </w:tcPr>
                  <w:p>
                    <w:pPr>
                      <w:jc w:val="right"/>
                      <w:rPr>
                        <w:rFonts w:ascii="Times New Roman" w:hAnsi="Times New Roman" w:cs="Times New Roman"/>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1a8a0c2973de4a7c99ed0dd69c4a85fa"/>
                <w:id w:val="865725098"/>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3.</w:t>
                    </w:r>
                    <w:r>
                      <w:rPr>
                        <w:rFonts w:ascii="Times New Roman" w:cs="Times New Roman"/>
                      </w:rPr>
                      <w:t>本期减少金额</w:t>
                    </w:r>
                  </w:p>
                </w:tc>
              </w:sdtContent>
            </w:sdt>
            <w:tc>
              <w:tcPr>
                <w:tcW w:w="820" w:type="pct"/>
                <w:shd w:val="clear" w:color="auto" w:fill="auto"/>
                <w:vAlign w:val="center"/>
              </w:tcPr>
              <w:p>
                <w:pPr>
                  <w:jc w:val="right"/>
                  <w:rPr>
                    <w:rFonts w:ascii="Times New Roman" w:hAnsi="Times New Roman" w:cs="Times New Roman"/>
                  </w:rPr>
                </w:pPr>
                <w:r>
                  <w:rPr>
                    <w:rFonts w:ascii="Times New Roman" w:hAnsi="Times New Roman" w:cs="Times New Roman"/>
                  </w:rPr>
                  <w:t>6,685,558.73</w:t>
                </w:r>
              </w:p>
            </w:tc>
            <w:tc>
              <w:tcPr>
                <w:tcW w:w="903" w:type="pct"/>
                <w:shd w:val="clear" w:color="auto" w:fill="auto"/>
                <w:vAlign w:val="center"/>
              </w:tcPr>
              <w:p>
                <w:pPr>
                  <w:jc w:val="right"/>
                  <w:rPr>
                    <w:rFonts w:ascii="Times New Roman" w:hAnsi="Times New Roman" w:cs="Times New Roman"/>
                  </w:rPr>
                </w:pPr>
                <w:r>
                  <w:rPr>
                    <w:rFonts w:ascii="Times New Roman" w:hAnsi="Times New Roman" w:cs="Times New Roman"/>
                  </w:rPr>
                  <w:t>4,962,524.96</w:t>
                </w:r>
              </w:p>
            </w:tc>
            <w:tc>
              <w:tcPr>
                <w:tcW w:w="868" w:type="pct"/>
                <w:shd w:val="clear" w:color="auto" w:fill="auto"/>
                <w:vAlign w:val="center"/>
              </w:tcPr>
              <w:p>
                <w:pPr>
                  <w:jc w:val="right"/>
                  <w:rPr>
                    <w:rFonts w:ascii="Times New Roman" w:hAnsi="Times New Roman" w:cs="Times New Roman"/>
                  </w:rPr>
                </w:pPr>
                <w:r>
                  <w:rPr>
                    <w:rFonts w:ascii="Times New Roman" w:hAnsi="Times New Roman" w:cs="Times New Roman"/>
                  </w:rPr>
                  <w:t>206,999.22</w:t>
                </w:r>
              </w:p>
            </w:tc>
            <w:tc>
              <w:tcPr>
                <w:tcW w:w="848" w:type="pct"/>
                <w:shd w:val="clear" w:color="auto" w:fill="auto"/>
                <w:vAlign w:val="center"/>
              </w:tcPr>
              <w:p>
                <w:pPr>
                  <w:jc w:val="right"/>
                  <w:rPr>
                    <w:rFonts w:ascii="Times New Roman" w:hAnsi="Times New Roman" w:cs="Times New Roman"/>
                  </w:rPr>
                </w:pPr>
                <w:r>
                  <w:rPr>
                    <w:rFonts w:ascii="Times New Roman" w:hAnsi="Times New Roman" w:cs="Times New Roman"/>
                  </w:rPr>
                  <w:t>165,343.27</w:t>
                </w:r>
              </w:p>
            </w:tc>
            <w:tc>
              <w:tcPr>
                <w:tcW w:w="821" w:type="pct"/>
                <w:shd w:val="clear" w:color="auto" w:fill="auto"/>
                <w:vAlign w:val="center"/>
              </w:tcPr>
              <w:p>
                <w:pPr>
                  <w:jc w:val="right"/>
                  <w:rPr>
                    <w:rFonts w:ascii="Times New Roman" w:hAnsi="Times New Roman" w:cs="Times New Roman"/>
                  </w:rPr>
                </w:pPr>
                <w:r>
                  <w:rPr>
                    <w:rFonts w:ascii="Times New Roman" w:hAnsi="Times New Roman" w:cs="Times New Roman"/>
                  </w:rPr>
                  <w:t>12,020,426.18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051549d56ef94d0f864893f6bcd12368"/>
                <w:id w:val="865725099"/>
                <w:lock w:val="sdtLocked"/>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w:t>
                    </w:r>
                    <w:r>
                      <w:rPr>
                        <w:rFonts w:ascii="Times New Roman" w:hAnsi="Times New Roman" w:cs="Times New Roman"/>
                      </w:rPr>
                      <w:t>1</w:t>
                    </w:r>
                    <w:r>
                      <w:rPr>
                        <w:rFonts w:ascii="Times New Roman" w:cs="Times New Roman"/>
                      </w:rPr>
                      <w:t>）处置或报废</w:t>
                    </w:r>
                  </w:p>
                </w:tc>
              </w:sdtContent>
            </w:sdt>
            <w:tc>
              <w:tcPr>
                <w:tcW w:w="820" w:type="pct"/>
                <w:shd w:val="clear" w:color="auto" w:fill="auto"/>
                <w:vAlign w:val="center"/>
              </w:tcPr>
              <w:p>
                <w:pPr>
                  <w:jc w:val="right"/>
                  <w:rPr>
                    <w:rFonts w:ascii="Times New Roman" w:hAnsi="Times New Roman" w:cs="Times New Roman"/>
                  </w:rPr>
                </w:pPr>
                <w:r>
                  <w:rPr>
                    <w:rFonts w:ascii="Times New Roman" w:hAnsi="Times New Roman" w:cs="Times New Roman"/>
                  </w:rPr>
                  <w:t>228,704.41</w:t>
                </w:r>
              </w:p>
            </w:tc>
            <w:tc>
              <w:tcPr>
                <w:tcW w:w="903" w:type="pct"/>
                <w:shd w:val="clear" w:color="auto" w:fill="auto"/>
                <w:vAlign w:val="center"/>
              </w:tcPr>
              <w:p>
                <w:pPr>
                  <w:jc w:val="right"/>
                  <w:rPr>
                    <w:rFonts w:ascii="Times New Roman" w:hAnsi="Times New Roman" w:cs="Times New Roman"/>
                  </w:rPr>
                </w:pPr>
                <w:r>
                  <w:rPr>
                    <w:rFonts w:ascii="Times New Roman" w:hAnsi="Times New Roman" w:cs="Times New Roman"/>
                  </w:rPr>
                  <w:t>4,962,524.96</w:t>
                </w:r>
              </w:p>
            </w:tc>
            <w:tc>
              <w:tcPr>
                <w:tcW w:w="868" w:type="pct"/>
                <w:shd w:val="clear" w:color="auto" w:fill="auto"/>
                <w:vAlign w:val="center"/>
              </w:tcPr>
              <w:p>
                <w:pPr>
                  <w:jc w:val="right"/>
                  <w:rPr>
                    <w:rFonts w:ascii="Times New Roman" w:hAnsi="Times New Roman" w:cs="Times New Roman"/>
                  </w:rPr>
                </w:pPr>
                <w:r>
                  <w:rPr>
                    <w:rFonts w:ascii="Times New Roman" w:hAnsi="Times New Roman" w:cs="Times New Roman"/>
                  </w:rPr>
                  <w:t>206,999.22</w:t>
                </w:r>
              </w:p>
            </w:tc>
            <w:tc>
              <w:tcPr>
                <w:tcW w:w="848" w:type="pct"/>
                <w:shd w:val="clear" w:color="auto" w:fill="auto"/>
                <w:vAlign w:val="center"/>
              </w:tcPr>
              <w:p>
                <w:pPr>
                  <w:jc w:val="right"/>
                  <w:rPr>
                    <w:rFonts w:ascii="Times New Roman" w:hAnsi="Times New Roman" w:cs="Times New Roman"/>
                  </w:rPr>
                </w:pPr>
                <w:r>
                  <w:rPr>
                    <w:rFonts w:ascii="Times New Roman" w:hAnsi="Times New Roman" w:cs="Times New Roman"/>
                  </w:rPr>
                  <w:t>165,343.27</w:t>
                </w:r>
              </w:p>
            </w:tc>
            <w:tc>
              <w:tcPr>
                <w:tcW w:w="821" w:type="pct"/>
                <w:shd w:val="clear" w:color="auto" w:fill="auto"/>
                <w:vAlign w:val="center"/>
              </w:tcPr>
              <w:p>
                <w:pPr>
                  <w:jc w:val="right"/>
                  <w:rPr>
                    <w:rFonts w:ascii="Times New Roman" w:hAnsi="Times New Roman" w:cs="Times New Roman"/>
                  </w:rPr>
                </w:pPr>
                <w:r>
                  <w:rPr>
                    <w:rFonts w:ascii="Times New Roman" w:hAnsi="Times New Roman" w:cs="Times New Roman"/>
                  </w:rPr>
                  <w:t>5,563,571.86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alias w:val="固定资产累计折旧减少项目名称"/>
                <w:tag w:val="_GBC_20eae31762484d0a9c046fa65503339a"/>
                <w:id w:val="865725100"/>
                <w:lock w:val="sdtLocked"/>
              </w:sdtPr>
              <w:sdtEndPr>
                <w:rPr>
                  <w:rFonts w:ascii="Times New Roman" w:hAnsi="Times New Roman" w:cs="Times New Roman"/>
                </w:rPr>
              </w:sdtEndPr>
              <w:sdtContent>
                <w:tc>
                  <w:tcPr>
                    <w:tcW w:w="740" w:type="pct"/>
                    <w:shd w:val="clear" w:color="auto" w:fill="auto"/>
                  </w:tcPr>
                  <w:p>
                    <w:pPr>
                      <w:rPr>
                        <w:rFonts w:ascii="Times New Roman" w:hAnsi="Times New Roman" w:cs="Times New Roman"/>
                      </w:rPr>
                    </w:pPr>
                    <w:r>
                      <w:rPr>
                        <w:rFonts w:ascii="Times New Roman" w:cs="Times New Roman"/>
                      </w:rPr>
                      <w:t>（</w:t>
                    </w:r>
                    <w:r>
                      <w:rPr>
                        <w:rFonts w:ascii="Times New Roman" w:hAnsi="Times New Roman" w:cs="Times New Roman"/>
                      </w:rPr>
                      <w:t>2</w:t>
                    </w:r>
                    <w:r>
                      <w:rPr>
                        <w:rFonts w:ascii="Times New Roman" w:cs="Times New Roman"/>
                      </w:rPr>
                      <w:t>）转出至投资性房地产</w:t>
                    </w:r>
                  </w:p>
                </w:tc>
              </w:sdtContent>
            </w:sdt>
            <w:sdt>
              <w:sdtPr>
                <w:rPr>
                  <w:rFonts w:ascii="Times New Roman" w:hAnsi="Times New Roman" w:cs="Times New Roman"/>
                </w:rPr>
                <w:alias w:val="固定资产累计折旧减少项目金额"/>
                <w:tag w:val="_GBC_50575111ca3b4086b584bb25daa7a51a"/>
                <w:id w:val="865725101"/>
                <w:lock w:val="sdtLocked"/>
              </w:sdtPr>
              <w:sdtEndPr>
                <w:rPr>
                  <w:rFonts w:ascii="Times New Roman" w:hAnsi="Times New Roman" w:cs="Times New Roman"/>
                </w:rPr>
              </w:sdtEndPr>
              <w:sdtContent>
                <w:tc>
                  <w:tcPr>
                    <w:tcW w:w="820" w:type="pct"/>
                    <w:shd w:val="clear" w:color="auto" w:fill="auto"/>
                    <w:vAlign w:val="center"/>
                  </w:tcPr>
                  <w:p>
                    <w:pPr>
                      <w:jc w:val="right"/>
                      <w:rPr>
                        <w:rFonts w:ascii="Times New Roman" w:hAnsi="Times New Roman" w:cs="Times New Roman"/>
                      </w:rPr>
                    </w:pPr>
                    <w:r>
                      <w:rPr>
                        <w:rFonts w:ascii="Times New Roman" w:hAnsi="Times New Roman" w:cs="Times New Roman"/>
                      </w:rPr>
                      <w:t>6,456,854.32</w:t>
                    </w:r>
                  </w:p>
                </w:tc>
              </w:sdtContent>
            </w:sdt>
            <w:sdt>
              <w:sdtPr>
                <w:rPr>
                  <w:rFonts w:ascii="Times New Roman" w:hAnsi="Times New Roman" w:cs="Times New Roman"/>
                </w:rPr>
                <w:alias w:val="固定资产累计折旧减少项目金额"/>
                <w:tag w:val="_GBC_50575111ca3b4086b584bb25daa7a51a"/>
                <w:id w:val="865725102"/>
                <w:lock w:val="sdtLocked"/>
                <w:showingPlcHdr/>
              </w:sdtPr>
              <w:sdtEndPr>
                <w:rPr>
                  <w:rFonts w:ascii="Times New Roman" w:hAnsi="Times New Roman" w:cs="Times New Roman"/>
                </w:rPr>
              </w:sdtEndPr>
              <w:sdtContent>
                <w:tc>
                  <w:tcPr>
                    <w:tcW w:w="903" w:type="pct"/>
                    <w:shd w:val="clear" w:color="auto" w:fill="auto"/>
                    <w:vAlign w:val="center"/>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减少项目金额"/>
                <w:tag w:val="_GBC_50575111ca3b4086b584bb25daa7a51a"/>
                <w:id w:val="865725103"/>
                <w:lock w:val="sdtLocked"/>
                <w:showingPlcHdr/>
              </w:sdtPr>
              <w:sdtEndPr>
                <w:rPr>
                  <w:rFonts w:ascii="Times New Roman" w:hAnsi="Times New Roman" w:cs="Times New Roman"/>
                </w:rPr>
              </w:sdtEndPr>
              <w:sdtContent>
                <w:tc>
                  <w:tcPr>
                    <w:tcW w:w="868" w:type="pct"/>
                    <w:shd w:val="clear" w:color="auto" w:fill="auto"/>
                    <w:vAlign w:val="center"/>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减少项目金额"/>
                <w:tag w:val="_GBC_50575111ca3b4086b584bb25daa7a51a"/>
                <w:id w:val="865725104"/>
                <w:lock w:val="sdtLocked"/>
                <w:showingPlcHdr/>
              </w:sdtPr>
              <w:sdtEndPr>
                <w:rPr>
                  <w:rFonts w:ascii="Times New Roman" w:hAnsi="Times New Roman" w:cs="Times New Roman"/>
                </w:rPr>
              </w:sdtEndPr>
              <w:sdtContent>
                <w:tc>
                  <w:tcPr>
                    <w:tcW w:w="848" w:type="pct"/>
                    <w:shd w:val="clear" w:color="auto" w:fill="auto"/>
                    <w:vAlign w:val="center"/>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减少项目合计金额"/>
                <w:tag w:val="_GBC_ba854a525e15473181c1dd92dc7af67e"/>
                <w:id w:val="865725105"/>
                <w:lock w:val="sdtLocked"/>
              </w:sdtPr>
              <w:sdtEndPr>
                <w:rPr>
                  <w:rFonts w:ascii="Times New Roman" w:hAnsi="Times New Roman" w:cs="Times New Roman"/>
                </w:rPr>
              </w:sdtEndPr>
              <w:sdtContent>
                <w:tc>
                  <w:tcPr>
                    <w:tcW w:w="821" w:type="pct"/>
                    <w:shd w:val="clear" w:color="auto" w:fill="auto"/>
                    <w:vAlign w:val="center"/>
                  </w:tcPr>
                  <w:p>
                    <w:pPr>
                      <w:jc w:val="right"/>
                      <w:rPr>
                        <w:rFonts w:ascii="Times New Roman" w:hAnsi="Times New Roman" w:cs="Times New Roman"/>
                      </w:rPr>
                    </w:pPr>
                    <w:r>
                      <w:rPr>
                        <w:rFonts w:ascii="Times New Roman" w:hAnsi="Times New Roman" w:cs="Times New Roman"/>
                      </w:rPr>
                      <w:t>6,456,854.32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alias w:val="固定资产累计折旧减少项目名称"/>
                <w:tag w:val="_GBC_20eae31762484d0a9c046fa65503339a"/>
                <w:id w:val="865725106"/>
                <w:lock w:val="sdtLocked"/>
                <w:showingPlcHdr/>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减少项目金额"/>
                <w:tag w:val="_GBC_50575111ca3b4086b584bb25daa7a51a"/>
                <w:id w:val="865725107"/>
                <w:lock w:val="sdtLocked"/>
                <w:showingPlcHdr/>
              </w:sdtPr>
              <w:sdtEndPr>
                <w:rPr>
                  <w:rFonts w:ascii="Times New Roman" w:hAnsi="Times New Roman" w:cs="Times New Roman"/>
                </w:rPr>
              </w:sdtEndPr>
              <w:sdtContent>
                <w:tc>
                  <w:tcPr>
                    <w:tcW w:w="820"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累计折旧减少项目金额"/>
                <w:tag w:val="_GBC_50575111ca3b4086b584bb25daa7a51a"/>
                <w:id w:val="865725108"/>
                <w:lock w:val="sdtLocked"/>
                <w:showingPlcHdr/>
              </w:sdtPr>
              <w:sdtEndPr>
                <w:rPr>
                  <w:rFonts w:ascii="Times New Roman" w:hAnsi="Times New Roman" w:cs="Times New Roman"/>
                </w:rPr>
              </w:sdtEndPr>
              <w:sdtContent>
                <w:tc>
                  <w:tcPr>
                    <w:tcW w:w="903"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累计折旧减少项目金额"/>
                <w:tag w:val="_GBC_50575111ca3b4086b584bb25daa7a51a"/>
                <w:id w:val="865725109"/>
                <w:lock w:val="sdtLocked"/>
                <w:showingPlcHdr/>
              </w:sdtPr>
              <w:sdtEndPr>
                <w:rPr>
                  <w:rFonts w:ascii="Times New Roman" w:hAnsi="Times New Roman" w:cs="Times New Roman"/>
                </w:rPr>
              </w:sdtEndPr>
              <w:sdtContent>
                <w:tc>
                  <w:tcPr>
                    <w:tcW w:w="868"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累计折旧减少项目金额"/>
                <w:tag w:val="_GBC_50575111ca3b4086b584bb25daa7a51a"/>
                <w:id w:val="865725110"/>
                <w:lock w:val="sdtLocked"/>
                <w:showingPlcHdr/>
              </w:sdtPr>
              <w:sdtEndPr>
                <w:rPr>
                  <w:rFonts w:ascii="Times New Roman" w:hAnsi="Times New Roman" w:cs="Times New Roman"/>
                </w:rPr>
              </w:sdtEndPr>
              <w:sdtContent>
                <w:tc>
                  <w:tcPr>
                    <w:tcW w:w="848"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累计折旧减少项目合计金额"/>
                <w:tag w:val="_GBC_ba854a525e15473181c1dd92dc7af67e"/>
                <w:id w:val="865725111"/>
                <w:lock w:val="sdtLocked"/>
                <w:showingPlcHdr/>
              </w:sdtPr>
              <w:sdtEndPr>
                <w:rPr>
                  <w:rFonts w:ascii="Times New Roman" w:hAnsi="Times New Roman" w:cs="Times New Roman"/>
                </w:rPr>
              </w:sdtEndPr>
              <w:sdtContent>
                <w:tc>
                  <w:tcPr>
                    <w:tcW w:w="821" w:type="pct"/>
                    <w:shd w:val="clear" w:color="auto" w:fill="auto"/>
                  </w:tcPr>
                  <w:p>
                    <w:pPr>
                      <w:jc w:val="right"/>
                      <w:rPr>
                        <w:rFonts w:ascii="Times New Roman" w:hAnsi="Times New Roman" w:cs="Times New Roman"/>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461cd300a56d4a1d8e530b3c2f9767bf"/>
                <w:id w:val="865725112"/>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4.</w:t>
                    </w:r>
                    <w:r>
                      <w:rPr>
                        <w:rFonts w:ascii="Times New Roman" w:cs="Times New Roman"/>
                      </w:rPr>
                      <w:t>期末余额</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136,343,290.49</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248,047,219.05</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6,405,847.47</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13,804,690.26</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404,601,047.27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b98cd9e8075a44b28b16fc9fd4c3c81f"/>
                <w:id w:val="865725113"/>
                <w:lock w:val="sdtLocked"/>
              </w:sdtPr>
              <w:sdtEndPr>
                <w:rPr>
                  <w:rFonts w:ascii="Times New Roman" w:hAnsi="Times New Roman" w:cs="Times New Roman"/>
                </w:rPr>
              </w:sdtEndPr>
              <w:sdtContent>
                <w:tc>
                  <w:tcPr>
                    <w:tcW w:w="5000" w:type="pct"/>
                    <w:gridSpan w:val="6"/>
                    <w:shd w:val="clear" w:color="auto" w:fill="auto"/>
                  </w:tcPr>
                  <w:p>
                    <w:pPr>
                      <w:rPr>
                        <w:rFonts w:ascii="Times New Roman" w:hAnsi="Times New Roman" w:cs="Times New Roman"/>
                      </w:rPr>
                    </w:pPr>
                    <w:r>
                      <w:rPr>
                        <w:rFonts w:ascii="Times New Roman" w:cs="Times New Roman"/>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56eded0ad9c34a2dabfd9ced3cc4cb08"/>
                <w:id w:val="865725114"/>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1.</w:t>
                    </w:r>
                    <w:r>
                      <w:rPr>
                        <w:rFonts w:ascii="Times New Roman" w:cs="Times New Roman"/>
                      </w:rPr>
                      <w:t>期初余额</w:t>
                    </w:r>
                  </w:p>
                </w:tc>
              </w:sdtContent>
            </w:sdt>
            <w:tc>
              <w:tcPr>
                <w:tcW w:w="820" w:type="pct"/>
                <w:shd w:val="clear" w:color="auto" w:fill="auto"/>
                <w:vAlign w:val="center"/>
              </w:tcPr>
              <w:p>
                <w:pPr>
                  <w:jc w:val="right"/>
                  <w:rPr>
                    <w:rFonts w:ascii="Times New Roman" w:hAnsi="Times New Roman" w:cs="Times New Roman"/>
                  </w:rPr>
                </w:pP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1,446,190.78</w:t>
                </w:r>
              </w:p>
            </w:tc>
            <w:tc>
              <w:tcPr>
                <w:tcW w:w="868" w:type="pct"/>
                <w:shd w:val="clear" w:color="auto" w:fill="auto"/>
                <w:vAlign w:val="center"/>
              </w:tcPr>
              <w:p>
                <w:pPr>
                  <w:jc w:val="right"/>
                  <w:rPr>
                    <w:rFonts w:ascii="Times New Roman" w:hAnsi="Times New Roman" w:cs="Times New Roman"/>
                    <w:sz w:val="24"/>
                  </w:rPr>
                </w:pP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7,126.67</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1,453,317.45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e23909e3deca4ed3b3374e1998a20d9d"/>
                <w:id w:val="865725115"/>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2.</w:t>
                    </w:r>
                    <w:r>
                      <w:rPr>
                        <w:rFonts w:ascii="Times New Roman" w:cs="Times New Roman"/>
                      </w:rPr>
                      <w:t>本期增加金额</w:t>
                    </w:r>
                  </w:p>
                </w:tc>
              </w:sdtContent>
            </w:sdt>
            <w:tc>
              <w:tcPr>
                <w:tcW w:w="820" w:type="pct"/>
                <w:shd w:val="clear" w:color="auto" w:fill="auto"/>
                <w:vAlign w:val="center"/>
              </w:tcPr>
              <w:p>
                <w:pPr>
                  <w:jc w:val="right"/>
                  <w:rPr>
                    <w:rFonts w:ascii="Times New Roman" w:hAnsi="Times New Roman" w:cs="Times New Roman"/>
                  </w:rPr>
                </w:pP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340.76</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3,984.70</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165.39</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4,490.85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e9d33a6c6b2d4aff8a6ac53a9ce1b167"/>
                <w:id w:val="865725116"/>
                <w:lock w:val="sdtLocked"/>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w:t>
                    </w:r>
                    <w:r>
                      <w:rPr>
                        <w:rFonts w:ascii="Times New Roman" w:hAnsi="Times New Roman" w:cs="Times New Roman"/>
                      </w:rPr>
                      <w:t>1</w:t>
                    </w:r>
                    <w:r>
                      <w:rPr>
                        <w:rFonts w:ascii="Times New Roman" w:cs="Times New Roman"/>
                      </w:rPr>
                      <w:t>）计提</w:t>
                    </w:r>
                  </w:p>
                </w:tc>
              </w:sdtContent>
            </w:sdt>
            <w:tc>
              <w:tcPr>
                <w:tcW w:w="820" w:type="pct"/>
                <w:shd w:val="clear" w:color="auto" w:fill="auto"/>
                <w:vAlign w:val="center"/>
              </w:tcPr>
              <w:p>
                <w:pPr>
                  <w:jc w:val="right"/>
                  <w:rPr>
                    <w:rFonts w:ascii="Times New Roman" w:hAnsi="Times New Roman" w:cs="Times New Roman"/>
                  </w:rPr>
                </w:pP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340.76</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3,984.70</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165.39</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4,490.85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alias w:val="固定资产减值准备增加项目名称"/>
                <w:tag w:val="_GBC_8226f6a389744b42bf90e51d4645b6a0"/>
                <w:id w:val="865725117"/>
                <w:lock w:val="sdtLocked"/>
                <w:showingPlcHdr/>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增加项目金额"/>
                <w:tag w:val="_GBC_2863639ab279419e99e343a45923928e"/>
                <w:id w:val="865725118"/>
                <w:lock w:val="sdtLocked"/>
                <w:showingPlcHdr/>
              </w:sdtPr>
              <w:sdtEndPr>
                <w:rPr>
                  <w:rFonts w:ascii="Times New Roman" w:hAnsi="Times New Roman" w:cs="Times New Roman"/>
                </w:rPr>
              </w:sdtEndPr>
              <w:sdtContent>
                <w:tc>
                  <w:tcPr>
                    <w:tcW w:w="820"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增加项目金额"/>
                <w:tag w:val="_GBC_2863639ab279419e99e343a45923928e"/>
                <w:id w:val="865725119"/>
                <w:lock w:val="sdtLocked"/>
                <w:showingPlcHdr/>
              </w:sdtPr>
              <w:sdtEndPr>
                <w:rPr>
                  <w:rFonts w:ascii="Times New Roman" w:hAnsi="Times New Roman" w:cs="Times New Roman"/>
                </w:rPr>
              </w:sdtEndPr>
              <w:sdtContent>
                <w:tc>
                  <w:tcPr>
                    <w:tcW w:w="903"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增加项目金额"/>
                <w:tag w:val="_GBC_2863639ab279419e99e343a45923928e"/>
                <w:id w:val="865725120"/>
                <w:lock w:val="sdtLocked"/>
                <w:showingPlcHdr/>
              </w:sdtPr>
              <w:sdtEndPr>
                <w:rPr>
                  <w:rFonts w:ascii="Times New Roman" w:hAnsi="Times New Roman" w:cs="Times New Roman"/>
                </w:rPr>
              </w:sdtEndPr>
              <w:sdtContent>
                <w:tc>
                  <w:tcPr>
                    <w:tcW w:w="868"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增加项目金额"/>
                <w:tag w:val="_GBC_2863639ab279419e99e343a45923928e"/>
                <w:id w:val="865725121"/>
                <w:lock w:val="sdtLocked"/>
                <w:showingPlcHdr/>
              </w:sdtPr>
              <w:sdtEndPr>
                <w:rPr>
                  <w:rFonts w:ascii="Times New Roman" w:hAnsi="Times New Roman" w:cs="Times New Roman"/>
                </w:rPr>
              </w:sdtEndPr>
              <w:sdtContent>
                <w:tc>
                  <w:tcPr>
                    <w:tcW w:w="848"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增加项目合计金额"/>
                <w:tag w:val="_GBC_2837b7bacbb04d6e8952bb1528820cb2"/>
                <w:id w:val="865725122"/>
                <w:lock w:val="sdtLocked"/>
                <w:showingPlcHdr/>
              </w:sdtPr>
              <w:sdtEndPr>
                <w:rPr>
                  <w:rFonts w:ascii="Times New Roman" w:hAnsi="Times New Roman" w:cs="Times New Roman"/>
                </w:rPr>
              </w:sdtEndPr>
              <w:sdtContent>
                <w:tc>
                  <w:tcPr>
                    <w:tcW w:w="821" w:type="pct"/>
                    <w:shd w:val="clear" w:color="auto" w:fill="auto"/>
                  </w:tcPr>
                  <w:p>
                    <w:pPr>
                      <w:jc w:val="right"/>
                      <w:rPr>
                        <w:rFonts w:ascii="Times New Roman" w:hAnsi="Times New Roman" w:cs="Times New Roman"/>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alias w:val="固定资产减值准备增加项目名称"/>
                <w:tag w:val="_GBC_8226f6a389744b42bf90e51d4645b6a0"/>
                <w:id w:val="865725123"/>
                <w:lock w:val="sdtLocked"/>
                <w:showingPlcHdr/>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增加项目金额"/>
                <w:tag w:val="_GBC_2863639ab279419e99e343a45923928e"/>
                <w:id w:val="865725124"/>
                <w:lock w:val="sdtLocked"/>
                <w:showingPlcHdr/>
              </w:sdtPr>
              <w:sdtEndPr>
                <w:rPr>
                  <w:rFonts w:ascii="Times New Roman" w:hAnsi="Times New Roman" w:cs="Times New Roman"/>
                </w:rPr>
              </w:sdtEndPr>
              <w:sdtContent>
                <w:tc>
                  <w:tcPr>
                    <w:tcW w:w="820"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增加项目金额"/>
                <w:tag w:val="_GBC_2863639ab279419e99e343a45923928e"/>
                <w:id w:val="865725125"/>
                <w:lock w:val="sdtLocked"/>
                <w:showingPlcHdr/>
              </w:sdtPr>
              <w:sdtEndPr>
                <w:rPr>
                  <w:rFonts w:ascii="Times New Roman" w:hAnsi="Times New Roman" w:cs="Times New Roman"/>
                </w:rPr>
              </w:sdtEndPr>
              <w:sdtContent>
                <w:tc>
                  <w:tcPr>
                    <w:tcW w:w="903"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减值准备增加项目金额"/>
                <w:tag w:val="_GBC_2863639ab279419e99e343a45923928e"/>
                <w:id w:val="865725126"/>
                <w:lock w:val="sdtLocked"/>
                <w:showingPlcHdr/>
              </w:sdtPr>
              <w:sdtEndPr>
                <w:rPr>
                  <w:rFonts w:ascii="Times New Roman" w:hAnsi="Times New Roman" w:cs="Times New Roman"/>
                </w:rPr>
              </w:sdtEndPr>
              <w:sdtContent>
                <w:tc>
                  <w:tcPr>
                    <w:tcW w:w="868"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减值准备增加项目金额"/>
                <w:tag w:val="_GBC_2863639ab279419e99e343a45923928e"/>
                <w:id w:val="865725127"/>
                <w:lock w:val="sdtLocked"/>
                <w:showingPlcHdr/>
              </w:sdtPr>
              <w:sdtEndPr>
                <w:rPr>
                  <w:rFonts w:ascii="Times New Roman" w:hAnsi="Times New Roman" w:cs="Times New Roman"/>
                </w:rPr>
              </w:sdtEndPr>
              <w:sdtContent>
                <w:tc>
                  <w:tcPr>
                    <w:tcW w:w="848"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减值准备增加项目合计金额"/>
                <w:tag w:val="_GBC_2837b7bacbb04d6e8952bb1528820cb2"/>
                <w:id w:val="865725128"/>
                <w:lock w:val="sdtLocked"/>
                <w:showingPlcHdr/>
              </w:sdtPr>
              <w:sdtEndPr>
                <w:rPr>
                  <w:rFonts w:ascii="Times New Roman" w:hAnsi="Times New Roman" w:cs="Times New Roman"/>
                </w:rPr>
              </w:sdtEndPr>
              <w:sdtContent>
                <w:tc>
                  <w:tcPr>
                    <w:tcW w:w="821" w:type="pct"/>
                    <w:shd w:val="clear" w:color="auto" w:fill="auto"/>
                  </w:tcPr>
                  <w:p>
                    <w:pPr>
                      <w:jc w:val="right"/>
                      <w:rPr>
                        <w:rFonts w:ascii="Times New Roman" w:hAnsi="Times New Roman" w:cs="Times New Roman"/>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773acace40cf4e2b82acb417897e72ef"/>
                <w:id w:val="865725129"/>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3.</w:t>
                    </w:r>
                    <w:r>
                      <w:rPr>
                        <w:rFonts w:ascii="Times New Roman" w:cs="Times New Roman"/>
                      </w:rPr>
                      <w:t>本期减少金额</w:t>
                    </w:r>
                  </w:p>
                </w:tc>
              </w:sdtContent>
            </w:sdt>
            <w:tc>
              <w:tcPr>
                <w:tcW w:w="820" w:type="pct"/>
                <w:shd w:val="clear" w:color="auto" w:fill="auto"/>
                <w:vAlign w:val="center"/>
              </w:tcPr>
              <w:p>
                <w:pPr>
                  <w:jc w:val="right"/>
                  <w:rPr>
                    <w:rFonts w:ascii="Times New Roman" w:hAnsi="Times New Roman" w:cs="Times New Roman"/>
                    <w:sz w:val="24"/>
                  </w:rPr>
                </w:pP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1,197,738.28</w:t>
                </w:r>
              </w:p>
            </w:tc>
            <w:tc>
              <w:tcPr>
                <w:tcW w:w="868" w:type="pct"/>
                <w:shd w:val="clear" w:color="auto" w:fill="auto"/>
                <w:vAlign w:val="center"/>
              </w:tcPr>
              <w:p>
                <w:pPr>
                  <w:jc w:val="right"/>
                  <w:rPr>
                    <w:rFonts w:ascii="Times New Roman" w:hAnsi="Times New Roman" w:cs="Times New Roman"/>
                    <w:sz w:val="24"/>
                  </w:rPr>
                </w:pPr>
              </w:p>
            </w:tc>
            <w:tc>
              <w:tcPr>
                <w:tcW w:w="848" w:type="pct"/>
                <w:shd w:val="clear" w:color="auto" w:fill="auto"/>
                <w:vAlign w:val="center"/>
              </w:tcPr>
              <w:p>
                <w:pPr>
                  <w:jc w:val="right"/>
                  <w:rPr>
                    <w:rFonts w:ascii="Times New Roman" w:hAnsi="Times New Roman" w:cs="Times New Roman"/>
                    <w:sz w:val="24"/>
                  </w:rPr>
                </w:pP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1,197,738.28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be1108cdf7ba464f9f4ecab9aa198103"/>
                <w:id w:val="865725130"/>
                <w:lock w:val="sdtLocked"/>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w:t>
                    </w:r>
                    <w:r>
                      <w:rPr>
                        <w:rFonts w:ascii="Times New Roman" w:hAnsi="Times New Roman" w:cs="Times New Roman"/>
                      </w:rPr>
                      <w:t>1</w:t>
                    </w:r>
                    <w:r>
                      <w:rPr>
                        <w:rFonts w:ascii="Times New Roman" w:cs="Times New Roman"/>
                      </w:rPr>
                      <w:t>）处置或报废</w:t>
                    </w:r>
                  </w:p>
                </w:tc>
              </w:sdtContent>
            </w:sdt>
            <w:tc>
              <w:tcPr>
                <w:tcW w:w="820" w:type="pct"/>
                <w:shd w:val="clear" w:color="auto" w:fill="auto"/>
                <w:vAlign w:val="center"/>
              </w:tcPr>
              <w:p>
                <w:pPr>
                  <w:jc w:val="right"/>
                  <w:rPr>
                    <w:rFonts w:ascii="Times New Roman" w:hAnsi="Times New Roman" w:cs="Times New Roman"/>
                    <w:sz w:val="24"/>
                  </w:rPr>
                </w:pP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1,197,738.28</w:t>
                </w:r>
              </w:p>
            </w:tc>
            <w:tc>
              <w:tcPr>
                <w:tcW w:w="868" w:type="pct"/>
                <w:shd w:val="clear" w:color="auto" w:fill="auto"/>
                <w:vAlign w:val="center"/>
              </w:tcPr>
              <w:p>
                <w:pPr>
                  <w:jc w:val="right"/>
                  <w:rPr>
                    <w:rFonts w:ascii="Times New Roman" w:hAnsi="Times New Roman" w:cs="Times New Roman"/>
                    <w:sz w:val="24"/>
                  </w:rPr>
                </w:pPr>
              </w:p>
            </w:tc>
            <w:tc>
              <w:tcPr>
                <w:tcW w:w="848" w:type="pct"/>
                <w:shd w:val="clear" w:color="auto" w:fill="auto"/>
                <w:vAlign w:val="center"/>
              </w:tcPr>
              <w:p>
                <w:pPr>
                  <w:jc w:val="right"/>
                  <w:rPr>
                    <w:rFonts w:ascii="Times New Roman" w:hAnsi="Times New Roman" w:cs="Times New Roman"/>
                    <w:sz w:val="24"/>
                  </w:rPr>
                </w:pP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1,197,738.28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alias w:val="固定资产减值准备减少项目名称"/>
                <w:tag w:val="_GBC_a9d732851b2944559c5edf28f57ef4c1"/>
                <w:id w:val="865725131"/>
                <w:lock w:val="sdtLocked"/>
                <w:showingPlcHdr/>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减少项目金额"/>
                <w:tag w:val="_GBC_02561d7a662446858f2fffd8e0e6e19a"/>
                <w:id w:val="865725132"/>
                <w:lock w:val="sdtLocked"/>
                <w:showingPlcHdr/>
              </w:sdtPr>
              <w:sdtEndPr>
                <w:rPr>
                  <w:rFonts w:ascii="Times New Roman" w:hAnsi="Times New Roman" w:cs="Times New Roman"/>
                </w:rPr>
              </w:sdtEndPr>
              <w:sdtContent>
                <w:tc>
                  <w:tcPr>
                    <w:tcW w:w="820"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减少项目金额"/>
                <w:tag w:val="_GBC_02561d7a662446858f2fffd8e0e6e19a"/>
                <w:id w:val="865725133"/>
                <w:lock w:val="sdtLocked"/>
                <w:showingPlcHdr/>
              </w:sdtPr>
              <w:sdtEndPr>
                <w:rPr>
                  <w:rFonts w:ascii="Times New Roman" w:hAnsi="Times New Roman" w:cs="Times New Roman"/>
                </w:rPr>
              </w:sdtEndPr>
              <w:sdtContent>
                <w:tc>
                  <w:tcPr>
                    <w:tcW w:w="903"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减少项目金额"/>
                <w:tag w:val="_GBC_02561d7a662446858f2fffd8e0e6e19a"/>
                <w:id w:val="865725134"/>
                <w:lock w:val="sdtLocked"/>
                <w:showingPlcHdr/>
              </w:sdtPr>
              <w:sdtEndPr>
                <w:rPr>
                  <w:rFonts w:ascii="Times New Roman" w:hAnsi="Times New Roman" w:cs="Times New Roman"/>
                </w:rPr>
              </w:sdtEndPr>
              <w:sdtContent>
                <w:tc>
                  <w:tcPr>
                    <w:tcW w:w="868"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减少项目金额"/>
                <w:tag w:val="_GBC_02561d7a662446858f2fffd8e0e6e19a"/>
                <w:id w:val="865725135"/>
                <w:lock w:val="sdtLocked"/>
                <w:showingPlcHdr/>
              </w:sdtPr>
              <w:sdtEndPr>
                <w:rPr>
                  <w:rFonts w:ascii="Times New Roman" w:hAnsi="Times New Roman" w:cs="Times New Roman"/>
                </w:rPr>
              </w:sdtEndPr>
              <w:sdtContent>
                <w:tc>
                  <w:tcPr>
                    <w:tcW w:w="848"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减少项目合计金额"/>
                <w:tag w:val="_GBC_42ac5bec4f3e4e30b1651a95fd3856e8"/>
                <w:id w:val="865725136"/>
                <w:lock w:val="sdtLocked"/>
                <w:showingPlcHdr/>
              </w:sdtPr>
              <w:sdtEndPr>
                <w:rPr>
                  <w:rFonts w:ascii="Times New Roman" w:hAnsi="Times New Roman" w:cs="Times New Roman"/>
                </w:rPr>
              </w:sdtEndPr>
              <w:sdtContent>
                <w:tc>
                  <w:tcPr>
                    <w:tcW w:w="821" w:type="pct"/>
                    <w:shd w:val="clear" w:color="auto" w:fill="auto"/>
                  </w:tcPr>
                  <w:p>
                    <w:pPr>
                      <w:jc w:val="right"/>
                      <w:rPr>
                        <w:rFonts w:ascii="Times New Roman" w:hAnsi="Times New Roman" w:cs="Times New Roman"/>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alias w:val="固定资产减值准备减少项目名称"/>
                <w:tag w:val="_GBC_a9d732851b2944559c5edf28f57ef4c1"/>
                <w:id w:val="865725137"/>
                <w:lock w:val="sdtLocked"/>
                <w:showingPlcHdr/>
              </w:sdtPr>
              <w:sdtEndPr>
                <w:rPr>
                  <w:rFonts w:ascii="Times New Roman" w:hAnsi="Times New Roman" w:cs="Times New Roman"/>
                </w:rPr>
              </w:sdtEndPr>
              <w:sdtContent>
                <w:tc>
                  <w:tcPr>
                    <w:tcW w:w="740" w:type="pct"/>
                    <w:shd w:val="clear" w:color="auto" w:fill="auto"/>
                  </w:tcPr>
                  <w:p>
                    <w:pPr>
                      <w:ind w:firstLine="630" w:firstLineChars="300"/>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减少项目金额"/>
                <w:tag w:val="_GBC_02561d7a662446858f2fffd8e0e6e19a"/>
                <w:id w:val="865725138"/>
                <w:lock w:val="sdtLocked"/>
                <w:showingPlcHdr/>
              </w:sdtPr>
              <w:sdtEndPr>
                <w:rPr>
                  <w:rFonts w:ascii="Times New Roman" w:hAnsi="Times New Roman" w:cs="Times New Roman"/>
                </w:rPr>
              </w:sdtEndPr>
              <w:sdtContent>
                <w:tc>
                  <w:tcPr>
                    <w:tcW w:w="820" w:type="pct"/>
                    <w:shd w:val="clear" w:color="auto" w:fill="auto"/>
                  </w:tcPr>
                  <w:p>
                    <w:pPr>
                      <w:jc w:val="right"/>
                      <w:rPr>
                        <w:rFonts w:ascii="Times New Roman" w:hAnsi="Times New Roman" w:cs="Times New Roman"/>
                      </w:rPr>
                    </w:pPr>
                    <w:r>
                      <w:rPr>
                        <w:rFonts w:ascii="Times New Roman" w:cs="Times New Roman"/>
                      </w:rPr>
                      <w:t>　</w:t>
                    </w:r>
                  </w:p>
                </w:tc>
              </w:sdtContent>
            </w:sdt>
            <w:sdt>
              <w:sdtPr>
                <w:rPr>
                  <w:rFonts w:ascii="Times New Roman" w:hAnsi="Times New Roman" w:cs="Times New Roman"/>
                </w:rPr>
                <w:alias w:val="固定资产减值准备减少项目金额"/>
                <w:tag w:val="_GBC_02561d7a662446858f2fffd8e0e6e19a"/>
                <w:id w:val="865725139"/>
                <w:lock w:val="sdtLocked"/>
                <w:showingPlcHdr/>
              </w:sdtPr>
              <w:sdtEndPr>
                <w:rPr>
                  <w:rFonts w:ascii="Times New Roman" w:hAnsi="Times New Roman" w:cs="Times New Roman"/>
                </w:rPr>
              </w:sdtEndPr>
              <w:sdtContent>
                <w:tc>
                  <w:tcPr>
                    <w:tcW w:w="903"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减值准备减少项目金额"/>
                <w:tag w:val="_GBC_02561d7a662446858f2fffd8e0e6e19a"/>
                <w:id w:val="865725140"/>
                <w:lock w:val="sdtLocked"/>
                <w:showingPlcHdr/>
              </w:sdtPr>
              <w:sdtEndPr>
                <w:rPr>
                  <w:rFonts w:ascii="Times New Roman" w:hAnsi="Times New Roman" w:cs="Times New Roman"/>
                </w:rPr>
              </w:sdtEndPr>
              <w:sdtContent>
                <w:tc>
                  <w:tcPr>
                    <w:tcW w:w="868"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减值准备减少项目金额"/>
                <w:tag w:val="_GBC_02561d7a662446858f2fffd8e0e6e19a"/>
                <w:id w:val="865725141"/>
                <w:lock w:val="sdtLocked"/>
                <w:showingPlcHdr/>
              </w:sdtPr>
              <w:sdtEndPr>
                <w:rPr>
                  <w:rFonts w:ascii="Times New Roman" w:hAnsi="Times New Roman" w:cs="Times New Roman"/>
                </w:rPr>
              </w:sdtEndPr>
              <w:sdtContent>
                <w:tc>
                  <w:tcPr>
                    <w:tcW w:w="848" w:type="pct"/>
                    <w:shd w:val="clear" w:color="auto" w:fill="auto"/>
                  </w:tcPr>
                  <w:p>
                    <w:pPr>
                      <w:jc w:val="right"/>
                      <w:rPr>
                        <w:rFonts w:ascii="Times New Roman" w:hAnsi="Times New Roman" w:cs="Times New Roman"/>
                      </w:rPr>
                    </w:pPr>
                  </w:p>
                </w:tc>
              </w:sdtContent>
            </w:sdt>
            <w:sdt>
              <w:sdtPr>
                <w:rPr>
                  <w:rFonts w:ascii="Times New Roman" w:hAnsi="Times New Roman" w:cs="Times New Roman"/>
                </w:rPr>
                <w:alias w:val="固定资产减值准备减少项目合计金额"/>
                <w:tag w:val="_GBC_42ac5bec4f3e4e30b1651a95fd3856e8"/>
                <w:id w:val="865725142"/>
                <w:lock w:val="sdtLocked"/>
                <w:showingPlcHdr/>
              </w:sdtPr>
              <w:sdtEndPr>
                <w:rPr>
                  <w:rFonts w:ascii="Times New Roman" w:hAnsi="Times New Roman" w:cs="Times New Roman"/>
                </w:rPr>
              </w:sdtEndPr>
              <w:sdtContent>
                <w:tc>
                  <w:tcPr>
                    <w:tcW w:w="821" w:type="pct"/>
                    <w:shd w:val="clear" w:color="auto" w:fill="auto"/>
                  </w:tcPr>
                  <w:p>
                    <w:pPr>
                      <w:jc w:val="right"/>
                      <w:rPr>
                        <w:rFonts w:ascii="Times New Roman" w:hAnsi="Times New Roman" w:cs="Times New Roman"/>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e5054a8d4a114197af28793eadccad9b"/>
                <w:id w:val="865725143"/>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4.</w:t>
                    </w:r>
                    <w:r>
                      <w:rPr>
                        <w:rFonts w:ascii="Times New Roman" w:cs="Times New Roman"/>
                      </w:rPr>
                      <w:t>期末余额</w:t>
                    </w:r>
                  </w:p>
                </w:tc>
              </w:sdtContent>
            </w:sdt>
            <w:tc>
              <w:tcPr>
                <w:tcW w:w="820" w:type="pct"/>
                <w:shd w:val="clear" w:color="auto" w:fill="auto"/>
                <w:vAlign w:val="center"/>
              </w:tcPr>
              <w:p>
                <w:pPr>
                  <w:jc w:val="right"/>
                  <w:rPr>
                    <w:rFonts w:ascii="Times New Roman" w:hAnsi="Times New Roman" w:cs="Times New Roman"/>
                    <w:sz w:val="24"/>
                  </w:rPr>
                </w:pP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248,793.26</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3,984.70</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7,292.06</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260,070.02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e1d51c426bd84ffbb9a1a19b00d3b374"/>
                <w:id w:val="865725144"/>
                <w:lock w:val="sdtLocked"/>
              </w:sdtPr>
              <w:sdtEndPr>
                <w:rPr>
                  <w:rFonts w:ascii="Times New Roman" w:hAnsi="Times New Roman" w:cs="Times New Roman"/>
                </w:rPr>
              </w:sdtEndPr>
              <w:sdtContent>
                <w:tc>
                  <w:tcPr>
                    <w:tcW w:w="5000" w:type="pct"/>
                    <w:gridSpan w:val="6"/>
                    <w:shd w:val="clear" w:color="auto" w:fill="auto"/>
                  </w:tcPr>
                  <w:p>
                    <w:pPr>
                      <w:rPr>
                        <w:rFonts w:ascii="Times New Roman" w:hAnsi="Times New Roman" w:cs="Times New Roman"/>
                      </w:rPr>
                    </w:pPr>
                    <w:r>
                      <w:rPr>
                        <w:rFonts w:ascii="Times New Roman" w:cs="Times New Roman"/>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438ac9fdebc24597a2bc032145166ee7"/>
                <w:id w:val="865725145"/>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1.</w:t>
                    </w:r>
                    <w:r>
                      <w:rPr>
                        <w:rFonts w:ascii="Times New Roman" w:cs="Times New Roman"/>
                      </w:rPr>
                      <w:t>期末账面价值</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218,917,102.19</w:t>
                </w:r>
              </w:p>
            </w:tc>
            <w:tc>
              <w:tcPr>
                <w:tcW w:w="903" w:type="pct"/>
                <w:shd w:val="clear" w:color="auto" w:fill="auto"/>
                <w:vAlign w:val="center"/>
              </w:tcPr>
              <w:p>
                <w:pPr>
                  <w:jc w:val="right"/>
                  <w:rPr>
                    <w:rFonts w:ascii="Times New Roman" w:hAnsi="Times New Roman" w:cs="Times New Roman"/>
                    <w:sz w:val="24"/>
                  </w:rPr>
                </w:pPr>
                <w:r>
                  <w:rPr>
                    <w:rFonts w:ascii="Times New Roman" w:hAnsi="Times New Roman" w:cs="Times New Roman"/>
                  </w:rPr>
                  <w:t>74,265,188.06</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1,503,881.09</w:t>
                </w:r>
              </w:p>
            </w:tc>
            <w:tc>
              <w:tcPr>
                <w:tcW w:w="848" w:type="pct"/>
                <w:shd w:val="clear" w:color="auto" w:fill="auto"/>
                <w:vAlign w:val="center"/>
              </w:tcPr>
              <w:p>
                <w:pPr>
                  <w:jc w:val="right"/>
                  <w:rPr>
                    <w:rFonts w:ascii="Times New Roman" w:hAnsi="Times New Roman" w:cs="Times New Roman"/>
                    <w:sz w:val="24"/>
                  </w:rPr>
                </w:pPr>
                <w:r>
                  <w:rPr>
                    <w:rFonts w:ascii="Times New Roman" w:hAnsi="Times New Roman" w:cs="Times New Roman"/>
                  </w:rPr>
                  <w:t>3,093,040.89</w:t>
                </w:r>
              </w:p>
            </w:tc>
            <w:tc>
              <w:tcPr>
                <w:tcW w:w="821" w:type="pct"/>
                <w:shd w:val="clear" w:color="auto" w:fill="auto"/>
                <w:vAlign w:val="center"/>
              </w:tcPr>
              <w:p>
                <w:pPr>
                  <w:jc w:val="right"/>
                  <w:rPr>
                    <w:rFonts w:ascii="Times New Roman" w:hAnsi="Times New Roman" w:cs="Times New Roman"/>
                    <w:sz w:val="24"/>
                  </w:rPr>
                </w:pPr>
                <w:r>
                  <w:rPr>
                    <w:rFonts w:ascii="Times New Roman" w:hAnsi="Times New Roman" w:cs="Times New Roman"/>
                  </w:rPr>
                  <w:t>297,779,212.23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a86278e1e7584f56b206aaea009ce23d"/>
                <w:id w:val="865725146"/>
                <w:lock w:val="sdtLocked"/>
              </w:sdtPr>
              <w:sdtEndPr>
                <w:rPr>
                  <w:rFonts w:ascii="Times New Roman" w:hAnsi="Times New Roman" w:cs="Times New Roman"/>
                </w:rPr>
              </w:sdtEndPr>
              <w:sdtContent>
                <w:tc>
                  <w:tcPr>
                    <w:tcW w:w="740" w:type="pct"/>
                    <w:shd w:val="clear" w:color="auto" w:fill="auto"/>
                  </w:tcPr>
                  <w:p>
                    <w:pPr>
                      <w:ind w:firstLine="420" w:firstLineChars="200"/>
                      <w:rPr>
                        <w:rFonts w:ascii="Times New Roman" w:hAnsi="Times New Roman" w:cs="Times New Roman"/>
                      </w:rPr>
                    </w:pPr>
                    <w:r>
                      <w:rPr>
                        <w:rFonts w:ascii="Times New Roman" w:hAnsi="Times New Roman" w:cs="Times New Roman"/>
                      </w:rPr>
                      <w:t>2.</w:t>
                    </w:r>
                    <w:r>
                      <w:rPr>
                        <w:rFonts w:ascii="Times New Roman" w:cs="Times New Roman"/>
                      </w:rPr>
                      <w:t>期初账面价值</w:t>
                    </w:r>
                  </w:p>
                </w:tc>
              </w:sdtContent>
            </w:sdt>
            <w:tc>
              <w:tcPr>
                <w:tcW w:w="820" w:type="pct"/>
                <w:shd w:val="clear" w:color="auto" w:fill="auto"/>
                <w:vAlign w:val="center"/>
              </w:tcPr>
              <w:p>
                <w:pPr>
                  <w:rPr>
                    <w:rFonts w:ascii="Times New Roman" w:hAnsi="Times New Roman" w:cs="Times New Roman"/>
                    <w:sz w:val="24"/>
                  </w:rPr>
                </w:pPr>
                <w:r>
                  <w:rPr>
                    <w:rFonts w:ascii="Times New Roman" w:hAnsi="Times New Roman" w:cs="Times New Roman"/>
                  </w:rPr>
                  <w:t>250,815,396.57</w:t>
                </w:r>
              </w:p>
            </w:tc>
            <w:tc>
              <w:tcPr>
                <w:tcW w:w="903" w:type="pct"/>
                <w:shd w:val="clear" w:color="auto" w:fill="auto"/>
                <w:vAlign w:val="center"/>
              </w:tcPr>
              <w:p>
                <w:pPr>
                  <w:rPr>
                    <w:rFonts w:ascii="Times New Roman" w:hAnsi="Times New Roman" w:cs="Times New Roman"/>
                    <w:sz w:val="24"/>
                  </w:rPr>
                </w:pPr>
                <w:r>
                  <w:rPr>
                    <w:rFonts w:ascii="Times New Roman" w:hAnsi="Times New Roman" w:cs="Times New Roman"/>
                  </w:rPr>
                  <w:t>68,431,880.47</w:t>
                </w:r>
              </w:p>
            </w:tc>
            <w:tc>
              <w:tcPr>
                <w:tcW w:w="868" w:type="pct"/>
                <w:shd w:val="clear" w:color="auto" w:fill="auto"/>
                <w:vAlign w:val="center"/>
              </w:tcPr>
              <w:p>
                <w:pPr>
                  <w:jc w:val="right"/>
                  <w:rPr>
                    <w:rFonts w:ascii="Times New Roman" w:hAnsi="Times New Roman" w:cs="Times New Roman"/>
                    <w:sz w:val="24"/>
                  </w:rPr>
                </w:pPr>
                <w:r>
                  <w:rPr>
                    <w:rFonts w:ascii="Times New Roman" w:hAnsi="Times New Roman" w:cs="Times New Roman"/>
                  </w:rPr>
                  <w:t>1,646,127.48</w:t>
                </w:r>
              </w:p>
            </w:tc>
            <w:tc>
              <w:tcPr>
                <w:tcW w:w="848" w:type="pct"/>
                <w:shd w:val="clear" w:color="auto" w:fill="auto"/>
                <w:vAlign w:val="center"/>
              </w:tcPr>
              <w:p>
                <w:pPr>
                  <w:rPr>
                    <w:rFonts w:ascii="Times New Roman" w:hAnsi="Times New Roman" w:cs="Times New Roman"/>
                    <w:sz w:val="24"/>
                  </w:rPr>
                </w:pPr>
                <w:r>
                  <w:rPr>
                    <w:rFonts w:ascii="Times New Roman" w:hAnsi="Times New Roman" w:cs="Times New Roman"/>
                  </w:rPr>
                  <w:t>2,905,683.42</w:t>
                </w:r>
              </w:p>
            </w:tc>
            <w:tc>
              <w:tcPr>
                <w:tcW w:w="821" w:type="pct"/>
                <w:shd w:val="clear" w:color="auto" w:fill="auto"/>
                <w:vAlign w:val="center"/>
              </w:tcPr>
              <w:p>
                <w:pPr>
                  <w:rPr>
                    <w:rFonts w:ascii="Times New Roman" w:hAnsi="Times New Roman" w:cs="Times New Roman"/>
                    <w:sz w:val="24"/>
                  </w:rPr>
                </w:pPr>
                <w:r>
                  <w:rPr>
                    <w:rFonts w:ascii="Times New Roman" w:hAnsi="Times New Roman" w:cs="Times New Roman"/>
                  </w:rPr>
                  <w:t>323,799,087.94</w:t>
                </w:r>
              </w:p>
            </w:tc>
          </w:tr>
        </w:tbl>
        <w:p>
          <w:pPr>
            <w:rPr>
              <w:szCs w:val="21"/>
            </w:rPr>
          </w:pPr>
          <w:r>
            <w:rPr>
              <w:rFonts w:cs="Times New Roman"/>
              <w:kern w:val="2"/>
              <w:sz w:val="24"/>
            </w:rPr>
            <w:t>注：固定资产抵押详见“七、合并财务报表注释32、“短期借款”和81、所有权或使用权受到限制的资产”。</w:t>
          </w:r>
        </w:p>
      </w:sdtContent>
    </w:sdt>
    <w:sdt>
      <w:sdtPr>
        <w:rPr>
          <w:rFonts w:hint="eastAsia" w:ascii="宋体" w:hAnsi="宋体" w:eastAsia="宋体" w:cs="宋体"/>
          <w:b w:val="0"/>
          <w:bCs w:val="0"/>
          <w:kern w:val="0"/>
          <w:szCs w:val="24"/>
        </w:rPr>
        <w:alias w:val="模块:暂时闲置的固定资产情况"/>
        <w:tag w:val="_SEC_784fb493affa41d8985f9e8a71213cf9"/>
        <w:id w:val="865725161"/>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91"/>
            </w:numPr>
            <w:ind w:left="426" w:hanging="426"/>
          </w:pPr>
          <w:r>
            <w:rPr>
              <w:rFonts w:hint="eastAsia"/>
            </w:rPr>
            <w:t>暂时闲置的固定资产情况</w:t>
          </w:r>
        </w:p>
        <w:sdt>
          <w:sdtPr>
            <w:alias w:val="是否适用：暂时闲置的固定资产情况[双击切换]"/>
            <w:tag w:val="_GBC_2fdfdf37e427442eb50e14c905c59fbe"/>
            <w:id w:val="86572514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8657251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8657251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8917"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483"/>
            <w:gridCol w:w="1397"/>
            <w:gridCol w:w="1442"/>
            <w:gridCol w:w="1473"/>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6d6a8e4b7ed145adb8eb3248d2339d1b"/>
                <w:id w:val="865725151"/>
                <w:lock w:val="sdtLocked"/>
              </w:sdtPr>
              <w:sdtEndPr>
                <w:rPr>
                  <w:rFonts w:ascii="Times New Roman" w:hAnsi="Times New Roman" w:cs="Times New Roman"/>
                </w:rPr>
              </w:sdtEndPr>
              <w:sdtContent>
                <w:tc>
                  <w:tcPr>
                    <w:tcW w:w="13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6a3b700ee3594fa49e62d22604b7487b"/>
                <w:id w:val="865725152"/>
                <w:lock w:val="sdtLocked"/>
              </w:sdtPr>
              <w:sdtEndPr>
                <w:rPr>
                  <w:rFonts w:ascii="Times New Roman" w:hAnsi="Times New Roman" w:cs="Times New Roman"/>
                </w:rPr>
              </w:sdtEndPr>
              <w:sdtContent>
                <w:tc>
                  <w:tcPr>
                    <w:tcW w:w="148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账面原值</w:t>
                    </w:r>
                  </w:p>
                </w:tc>
              </w:sdtContent>
            </w:sdt>
            <w:sdt>
              <w:sdtPr>
                <w:rPr>
                  <w:rFonts w:ascii="Times New Roman" w:hAnsi="Times New Roman" w:cs="Times New Roman"/>
                </w:rPr>
                <w:tag w:val="_PLD_487d391ad0db4d809e8dec919d77d088"/>
                <w:id w:val="865725153"/>
                <w:lock w:val="sdtLocked"/>
              </w:sdtPr>
              <w:sdtEndPr>
                <w:rPr>
                  <w:rFonts w:ascii="Times New Roman" w:hAnsi="Times New Roman" w:cs="Times New Roman"/>
                </w:rPr>
              </w:sdtEndPr>
              <w:sdtContent>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累计折旧</w:t>
                    </w:r>
                  </w:p>
                </w:tc>
              </w:sdtContent>
            </w:sdt>
            <w:sdt>
              <w:sdtPr>
                <w:rPr>
                  <w:rFonts w:ascii="Times New Roman" w:hAnsi="Times New Roman" w:cs="Times New Roman"/>
                </w:rPr>
                <w:tag w:val="_PLD_395f38b65a1e4bc2987bc181f3714aac"/>
                <w:id w:val="865725154"/>
                <w:lock w:val="sdtLocked"/>
              </w:sdtPr>
              <w:sdtEndPr>
                <w:rPr>
                  <w:rFonts w:ascii="Times New Roman" w:hAnsi="Times New Roman" w:cs="Times New Roman"/>
                </w:rPr>
              </w:sdtEndPr>
              <w:sdtContent>
                <w:tc>
                  <w:tcPr>
                    <w:tcW w:w="144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减值准备</w:t>
                    </w:r>
                  </w:p>
                </w:tc>
              </w:sdtContent>
            </w:sdt>
            <w:sdt>
              <w:sdtPr>
                <w:rPr>
                  <w:rFonts w:ascii="Times New Roman" w:hAnsi="Times New Roman" w:cs="Times New Roman"/>
                </w:rPr>
                <w:tag w:val="_PLD_151ce060870441baa6ac3f4c38e60b30"/>
                <w:id w:val="865725155"/>
                <w:lock w:val="sdtLocked"/>
              </w:sdtPr>
              <w:sdtEndPr>
                <w:rPr>
                  <w:rFonts w:ascii="Times New Roman" w:hAnsi="Times New Roman" w:cs="Times New Roman"/>
                </w:rPr>
              </w:sdtEndPr>
              <w:sdtContent>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账面价值</w:t>
                    </w:r>
                  </w:p>
                </w:tc>
              </w:sdtContent>
            </w:sdt>
            <w:sdt>
              <w:sdtPr>
                <w:rPr>
                  <w:rFonts w:ascii="Times New Roman" w:hAnsi="Times New Roman" w:cs="Times New Roman"/>
                </w:rPr>
                <w:tag w:val="_PLD_577f17503b2444c19b15b20c0eb7f637"/>
                <w:id w:val="865725156"/>
                <w:lock w:val="sdtLocked"/>
              </w:sdtPr>
              <w:sdtEndPr>
                <w:rPr>
                  <w:rFonts w:ascii="Times New Roman" w:hAnsi="Times New Roman" w:cs="Times New Roman"/>
                </w:rPr>
              </w:sdtEndPr>
              <w:sdtContent>
                <w:tc>
                  <w:tcPr>
                    <w:tcW w:w="18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备注</w:t>
                    </w:r>
                  </w:p>
                </w:tc>
              </w:sdtContent>
            </w:sdt>
          </w:tr>
          <w:sdt>
            <w:sdtPr>
              <w:rPr>
                <w:rFonts w:ascii="Times New Roman" w:hAnsi="Times New Roman" w:cs="Times New Roman"/>
                <w:szCs w:val="21"/>
              </w:rPr>
              <w:alias w:val="暂时闲置的固定资产明细"/>
              <w:tag w:val="_TUP_a2f3af98954946aa887ec9b44f5dee67"/>
              <w:id w:val="86572515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机器设备</w:t>
                    </w:r>
                  </w:p>
                </w:tc>
                <w:tc>
                  <w:tcPr>
                    <w:tcW w:w="148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11,358.98</w:t>
                    </w:r>
                  </w:p>
                </w:tc>
                <w:tc>
                  <w:tcPr>
                    <w:tcW w:w="139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3,838.49</w:t>
                    </w:r>
                  </w:p>
                </w:tc>
                <w:tc>
                  <w:tcPr>
                    <w:tcW w:w="14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7,520.49</w:t>
                    </w:r>
                  </w:p>
                </w:tc>
                <w:tc>
                  <w:tcPr>
                    <w:tcW w:w="14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暂时闲置的固定资产明细"/>
              <w:tag w:val="_TUP_a2f3af98954946aa887ec9b44f5dee67"/>
              <w:id w:val="86572515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运输工具</w:t>
                    </w:r>
                  </w:p>
                </w:tc>
                <w:tc>
                  <w:tcPr>
                    <w:tcW w:w="148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95,694.00</w:t>
                    </w:r>
                  </w:p>
                </w:tc>
                <w:tc>
                  <w:tcPr>
                    <w:tcW w:w="139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90,909.30</w:t>
                    </w:r>
                  </w:p>
                </w:tc>
                <w:tc>
                  <w:tcPr>
                    <w:tcW w:w="14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3,984.70</w:t>
                    </w:r>
                  </w:p>
                </w:tc>
                <w:tc>
                  <w:tcPr>
                    <w:tcW w:w="14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800.00</w:t>
                    </w:r>
                  </w:p>
                </w:tc>
                <w:tc>
                  <w:tcPr>
                    <w:tcW w:w="181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暂时闲置的固定资产明细"/>
              <w:tag w:val="_TUP_a2f3af98954946aa887ec9b44f5dee67"/>
              <w:id w:val="86572515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其他设备</w:t>
                    </w:r>
                  </w:p>
                </w:tc>
                <w:tc>
                  <w:tcPr>
                    <w:tcW w:w="148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5,512.82</w:t>
                    </w:r>
                  </w:p>
                </w:tc>
                <w:tc>
                  <w:tcPr>
                    <w:tcW w:w="139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5,347.43</w:t>
                    </w:r>
                  </w:p>
                </w:tc>
                <w:tc>
                  <w:tcPr>
                    <w:tcW w:w="14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165.39</w:t>
                    </w:r>
                  </w:p>
                </w:tc>
                <w:tc>
                  <w:tcPr>
                    <w:tcW w:w="14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81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暂时闲置的固定资产明细"/>
              <w:tag w:val="_TUP_a2f3af98954946aa887ec9b44f5dee67"/>
              <w:id w:val="86572516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合计</w:t>
                    </w:r>
                  </w:p>
                </w:tc>
                <w:tc>
                  <w:tcPr>
                    <w:tcW w:w="148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112,565.80</w:t>
                    </w:r>
                  </w:p>
                </w:tc>
                <w:tc>
                  <w:tcPr>
                    <w:tcW w:w="139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100,095.22</w:t>
                    </w:r>
                  </w:p>
                </w:tc>
                <w:tc>
                  <w:tcPr>
                    <w:tcW w:w="14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11,670.58</w:t>
                    </w:r>
                  </w:p>
                </w:tc>
                <w:tc>
                  <w:tcPr>
                    <w:tcW w:w="14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800.00</w:t>
                    </w:r>
                  </w:p>
                </w:tc>
                <w:tc>
                  <w:tcPr>
                    <w:tcW w:w="181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tbl>
        <w:p/>
        <w:p/>
      </w:sdtContent>
    </w:sdt>
    <w:sdt>
      <w:sdtPr>
        <w:rPr>
          <w:rFonts w:hint="eastAsia" w:ascii="宋体" w:hAnsi="宋体" w:eastAsia="宋体" w:cs="宋体"/>
          <w:b w:val="0"/>
          <w:bCs w:val="0"/>
          <w:kern w:val="0"/>
          <w:szCs w:val="24"/>
        </w:rPr>
        <w:alias w:val="模块:通过融资租赁租入的固定资产情况"/>
        <w:tag w:val="_SEC_c3ab5ff0dac4435c868c4dc1a729acc7"/>
        <w:id w:val="865725163"/>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91"/>
            </w:numPr>
            <w:ind w:left="426" w:hanging="426"/>
          </w:pPr>
          <w:r>
            <w:rPr>
              <w:rFonts w:hint="eastAsia"/>
            </w:rPr>
            <w:t>通过融资租赁租入的固定资产情况</w:t>
          </w:r>
        </w:p>
        <w:sdt>
          <w:sdtPr>
            <w:alias w:val="是否适用：通过融资租赁租入的固定资产情况[双击切换]"/>
            <w:tag w:val="_GBC_d9da2ba422d647b4952839f1b49e1721"/>
            <w:id w:val="86572516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通过经营租赁租出的固定资产"/>
        <w:tag w:val="_SEC_1de7436e811c4703bed7fb7f0316bba2"/>
        <w:id w:val="865725165"/>
        <w:lock w:val="sdtLocked"/>
        <w:placeholder>
          <w:docPart w:val="GBC22222222222222222222222222222"/>
        </w:placeholder>
      </w:sdtPr>
      <w:sdtEndPr>
        <w:rPr>
          <w:rFonts w:hint="default" w:ascii="宋体" w:hAnsi="宋体" w:eastAsia="宋体" w:cs="宋体"/>
          <w:b w:val="0"/>
          <w:bCs w:val="0"/>
          <w:color w:val="FF0000"/>
          <w:kern w:val="0"/>
          <w:szCs w:val="21"/>
        </w:rPr>
      </w:sdtEndPr>
      <w:sdtContent>
        <w:p>
          <w:pPr>
            <w:pStyle w:val="5"/>
            <w:numPr>
              <w:ilvl w:val="3"/>
              <w:numId w:val="91"/>
            </w:numPr>
            <w:ind w:left="426" w:hanging="426"/>
          </w:pPr>
          <w:r>
            <w:rPr>
              <w:rFonts w:hint="eastAsia"/>
            </w:rPr>
            <w:t>通过经营租赁租出的固定资产</w:t>
          </w:r>
        </w:p>
        <w:sdt>
          <w:sdtPr>
            <w:alias w:val="是否适用：通过经营租赁租出的固定资产[双击切换]"/>
            <w:tag w:val="_GBC_c2ddde62aad742b6997b43c9077b5c4b"/>
            <w:id w:val="865725164"/>
            <w:lock w:val="sdtLocked"/>
            <w:placeholder>
              <w:docPart w:val="GBC22222222222222222222222222222"/>
            </w:placeholder>
          </w:sdtPr>
          <w:sdtContent>
            <w:p>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未办妥产权证书的固定资产情况"/>
        <w:tag w:val="_SEC_c2e9651d58cd49b88e40954aae3cbf5b"/>
        <w:id w:val="865725167"/>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91"/>
            </w:numPr>
            <w:ind w:left="426" w:hanging="426"/>
          </w:pPr>
          <w:r>
            <w:rPr>
              <w:rFonts w:hint="eastAsia"/>
            </w:rPr>
            <w:t>未办妥产权证书的固定资产情况</w:t>
          </w:r>
        </w:p>
        <w:p>
          <w:sdt>
            <w:sdtPr>
              <w:alias w:val="是否适用：未办妥产权证书的固定资产情况[双击切换]"/>
              <w:tag w:val="_GBC_46625a97c34c4326af56ee4f005058fb"/>
              <w:id w:val="865725166"/>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Content>
    </w:sdt>
    <w:sdt>
      <w:sdtPr>
        <w:rPr>
          <w:rFonts w:hint="eastAsia"/>
          <w:szCs w:val="21"/>
        </w:rPr>
        <w:alias w:val="模块:固定资产说明"/>
        <w:tag w:val="_SEC_7134408257214aea8ca71da966442d44"/>
        <w:id w:val="865725169"/>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固定资产的说明[双击切换]"/>
            <w:tag w:val="_GBC_a7ec4df8fd354d7d9980e0f731a85e12"/>
            <w:id w:val="86572516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eastAsia="宋体" w:cs="宋体"/>
          <w:b w:val="0"/>
          <w:bCs w:val="0"/>
          <w:kern w:val="0"/>
          <w:szCs w:val="24"/>
        </w:rPr>
        <w:alias w:val="模块:固定资产清理"/>
        <w:tag w:val="_SEC_e623ea972f7d45dc8b0c9f9862e5b400"/>
        <w:id w:val="865725171"/>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ind w:left="360" w:hanging="360"/>
          </w:pPr>
          <w:r>
            <w:rPr>
              <w:rFonts w:hint="eastAsia"/>
            </w:rPr>
            <w:t>固定资产清理</w:t>
          </w:r>
        </w:p>
        <w:sdt>
          <w:sdtPr>
            <w:alias w:val="是否适用：固定资产清理[双击切换]"/>
            <w:tag w:val="_GBC_e3c92a1042004e36882d16145109bd0e"/>
            <w:id w:val="865725170"/>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p>
      </w:sdtContent>
    </w:sdt>
    <w:p>
      <w:pPr>
        <w:pStyle w:val="4"/>
        <w:numPr>
          <w:ilvl w:val="0"/>
          <w:numId w:val="79"/>
        </w:numPr>
        <w:tabs>
          <w:tab w:val="left" w:pos="504"/>
        </w:tabs>
        <w:rPr>
          <w:rFonts w:ascii="宋体" w:hAnsi="宋体"/>
          <w:szCs w:val="21"/>
        </w:rPr>
      </w:pPr>
      <w:r>
        <w:rPr>
          <w:rFonts w:hint="eastAsia" w:ascii="宋体" w:hAnsi="宋体"/>
          <w:szCs w:val="21"/>
        </w:rPr>
        <w:t>在建工程</w:t>
      </w:r>
      <w:bookmarkStart w:id="183" w:name="_Hlk532914352"/>
    </w:p>
    <w:sdt>
      <w:sdtPr>
        <w:rPr>
          <w:rFonts w:hint="eastAsia" w:ascii="宋体" w:hAnsi="宋体" w:eastAsia="宋体" w:cs="宋体"/>
          <w:b w:val="0"/>
          <w:bCs w:val="0"/>
          <w:kern w:val="0"/>
          <w:szCs w:val="24"/>
        </w:rPr>
        <w:alias w:val="模块:在建工程分类列示"/>
        <w:tag w:val="_SEC_1629a0ede2124140bc15f9e5c0174d2b"/>
        <w:id w:val="865725181"/>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rPr>
              <w:rFonts w:ascii="宋体" w:hAnsi="宋体"/>
              <w:szCs w:val="21"/>
            </w:rPr>
          </w:pPr>
          <w:r>
            <w:rPr>
              <w:rFonts w:hint="eastAsia"/>
            </w:rPr>
            <w:t>项目列示</w:t>
          </w:r>
        </w:p>
        <w:sdt>
          <w:sdtPr>
            <w:alias w:val="是否适用：在建工程分类列示[双击切换]"/>
            <w:tag w:val="_GBC_c1e2db0ea96a470497d3e7b3545f11ff"/>
            <w:id w:val="86572517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在建工程分类列示"/>
              <w:tag w:val="_GBC_c3fc0d9041a1447580d30c51269288ae"/>
              <w:id w:val="865725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8657251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ascii="Times New Roman" w:hAnsi="Times New Roman" w:cs="Times New Roman"/>
                </w:rPr>
                <w:tag w:val="_PLD_e3fac3cdac65475ca8ba6bb772e3b841"/>
                <w:id w:val="865725175"/>
                <w:lock w:val="sdtLocked"/>
              </w:sdtPr>
              <w:sdtEndPr>
                <w:rPr>
                  <w:rFonts w:ascii="Times New Roman" w:hAnsi="Times New Roman" w:cs="Times New Roman"/>
                </w:rPr>
              </w:sdtEndPr>
              <w:sdtContent>
                <w:tc>
                  <w:tcPr>
                    <w:tcW w:w="1764" w:type="pct"/>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4e98919cdcd84191b541b2ee895e77bf"/>
                <w:id w:val="865725176"/>
                <w:lock w:val="sdtLocked"/>
              </w:sdtPr>
              <w:sdtEndPr>
                <w:rPr>
                  <w:rFonts w:ascii="Times New Roman" w:hAnsi="Times New Roman" w:cs="Times New Roman"/>
                </w:rPr>
              </w:sdtEndPr>
              <w:sdtContent>
                <w:tc>
                  <w:tcPr>
                    <w:tcW w:w="1622" w:type="pct"/>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4ce0928269bc47149a98320193bd0b0a"/>
                <w:id w:val="865725177"/>
                <w:lock w:val="sdtLocked"/>
              </w:sdtPr>
              <w:sdtEndPr>
                <w:rPr>
                  <w:rFonts w:ascii="Times New Roman" w:hAnsi="Times New Roman" w:cs="Times New Roman"/>
                </w:rPr>
              </w:sdtEndPr>
              <w:sdtContent>
                <w:tc>
                  <w:tcPr>
                    <w:tcW w:w="1614" w:type="pct"/>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e73a357382af444daa4e32da6fd92aab"/>
                <w:id w:val="865725178"/>
                <w:lock w:val="sdtLocked"/>
              </w:sdtPr>
              <w:sdtEndPr>
                <w:rPr>
                  <w:rFonts w:ascii="Times New Roman" w:hAnsi="Times New Roman" w:cs="Times New Roman"/>
                </w:rPr>
              </w:sdtEndPr>
              <w:sdtContent>
                <w:tc>
                  <w:tcPr>
                    <w:tcW w:w="1764" w:type="pct"/>
                  </w:tcPr>
                  <w:p>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Pr>
                        <w:rFonts w:ascii="Times New Roman" w:cs="Times New Roman"/>
                        <w:szCs w:val="21"/>
                      </w:rPr>
                      <w:t>在建工程</w:t>
                    </w:r>
                  </w:p>
                </w:tc>
              </w:sdtContent>
            </w:sdt>
            <w:tc>
              <w:tcPr>
                <w:tcW w:w="1622" w:type="pct"/>
                <w:vAlign w:val="center"/>
              </w:tcPr>
              <w:p>
                <w:pPr>
                  <w:jc w:val="right"/>
                  <w:rPr>
                    <w:rFonts w:ascii="Times New Roman" w:hAnsi="Times New Roman" w:cs="Times New Roman"/>
                    <w:sz w:val="24"/>
                  </w:rPr>
                </w:pPr>
                <w:r>
                  <w:rPr>
                    <w:rFonts w:ascii="Times New Roman" w:hAnsi="Times New Roman" w:cs="Times New Roman"/>
                  </w:rPr>
                  <w:t>3,550,183.25</w:t>
                </w:r>
              </w:p>
            </w:tc>
            <w:tc>
              <w:tcPr>
                <w:tcW w:w="1614" w:type="pct"/>
                <w:vAlign w:val="center"/>
              </w:tcPr>
              <w:p>
                <w:pPr>
                  <w:jc w:val="right"/>
                  <w:rPr>
                    <w:rFonts w:ascii="Times New Roman" w:hAnsi="Times New Roman" w:cs="Times New Roman"/>
                    <w:sz w:val="24"/>
                  </w:rPr>
                </w:pPr>
                <w:r>
                  <w:rPr>
                    <w:rFonts w:ascii="Times New Roman" w:hAnsi="Times New Roman" w:cs="Times New Roman"/>
                  </w:rPr>
                  <w:t>9,598,428.18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036893ab522d4dd08358b60ceed3b7b3"/>
                <w:id w:val="865725179"/>
                <w:lock w:val="sdtLocked"/>
              </w:sdtPr>
              <w:sdtEndPr>
                <w:rPr>
                  <w:rFonts w:ascii="Times New Roman" w:hAnsi="Times New Roman" w:cs="Times New Roman"/>
                </w:rPr>
              </w:sdtEndPr>
              <w:sdtContent>
                <w:tc>
                  <w:tcPr>
                    <w:tcW w:w="1764" w:type="pct"/>
                  </w:tcPr>
                  <w:p>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Pr>
                        <w:rFonts w:ascii="Times New Roman" w:cs="Times New Roman"/>
                        <w:szCs w:val="21"/>
                      </w:rPr>
                      <w:t>工程物资</w:t>
                    </w:r>
                  </w:p>
                </w:tc>
              </w:sdtContent>
            </w:sdt>
            <w:tc>
              <w:tcPr>
                <w:tcW w:w="1622" w:type="pct"/>
                <w:vAlign w:val="center"/>
              </w:tcPr>
              <w:p>
                <w:pPr>
                  <w:ind w:right="5"/>
                  <w:jc w:val="right"/>
                  <w:rPr>
                    <w:rFonts w:ascii="Times New Roman" w:hAnsi="Times New Roman" w:cs="Times New Roman"/>
                    <w:szCs w:val="21"/>
                  </w:rPr>
                </w:pPr>
              </w:p>
            </w:tc>
            <w:tc>
              <w:tcPr>
                <w:tcW w:w="1614" w:type="pct"/>
                <w:vAlign w:val="center"/>
              </w:tcPr>
              <w:p>
                <w:pPr>
                  <w:ind w:right="5"/>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177c6ac2fa834e8b93357a8d5e2d2d5c"/>
                <w:id w:val="865725180"/>
                <w:lock w:val="sdtLocked"/>
              </w:sdtPr>
              <w:sdtEndPr>
                <w:rPr>
                  <w:rFonts w:ascii="Times New Roman" w:hAnsi="Times New Roman" w:cs="Times New Roman"/>
                </w:rPr>
              </w:sdtEndPr>
              <w:sdtContent>
                <w:tc>
                  <w:tcPr>
                    <w:tcW w:w="1764" w:type="pct"/>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合计</w:t>
                    </w:r>
                  </w:p>
                </w:tc>
              </w:sdtContent>
            </w:sdt>
            <w:tc>
              <w:tcPr>
                <w:tcW w:w="1622" w:type="pct"/>
                <w:vAlign w:val="center"/>
              </w:tcPr>
              <w:p>
                <w:pPr>
                  <w:jc w:val="right"/>
                  <w:rPr>
                    <w:rFonts w:ascii="Times New Roman" w:hAnsi="Times New Roman" w:cs="Times New Roman"/>
                    <w:sz w:val="24"/>
                  </w:rPr>
                </w:pPr>
                <w:r>
                  <w:rPr>
                    <w:rFonts w:ascii="Times New Roman" w:hAnsi="Times New Roman" w:cs="Times New Roman"/>
                  </w:rPr>
                  <w:t>3,550,183.25</w:t>
                </w:r>
              </w:p>
            </w:tc>
            <w:tc>
              <w:tcPr>
                <w:tcW w:w="1614" w:type="pct"/>
                <w:vAlign w:val="center"/>
              </w:tcPr>
              <w:p>
                <w:pPr>
                  <w:jc w:val="right"/>
                  <w:rPr>
                    <w:rFonts w:ascii="Times New Roman" w:hAnsi="Times New Roman" w:cs="Times New Roman"/>
                    <w:sz w:val="24"/>
                  </w:rPr>
                </w:pPr>
                <w:r>
                  <w:rPr>
                    <w:rFonts w:ascii="Times New Roman" w:hAnsi="Times New Roman" w:cs="Times New Roman"/>
                  </w:rPr>
                  <w:t>9,598,428.18</w:t>
                </w:r>
              </w:p>
            </w:tc>
          </w:tr>
        </w:tbl>
        <w:p/>
      </w:sdtContent>
    </w:sdt>
    <w:bookmarkEnd w:id="183"/>
    <w:sdt>
      <w:sdtPr>
        <w:rPr>
          <w:rFonts w:hint="eastAsia"/>
          <w:szCs w:val="21"/>
        </w:rPr>
        <w:alias w:val="模块:在建工程分类列示其他说明"/>
        <w:tag w:val="_SEC_082962860e3f4336bda3f7cfa776d8ee"/>
        <w:id w:val="865725183"/>
        <w:lock w:val="sdtLocked"/>
        <w:placeholder>
          <w:docPart w:val="GBC22222222222222222222222222222"/>
        </w:placeholder>
      </w:sdtPr>
      <w:sdtEndPr>
        <w:rPr>
          <w:rFonts w:hint="default"/>
          <w:szCs w:val="21"/>
        </w:rPr>
      </w:sdtEndPr>
      <w:sdtContent>
        <w:p>
          <w:pPr>
            <w:rPr>
              <w:szCs w:val="21"/>
            </w:rPr>
          </w:pPr>
          <w:bookmarkStart w:id="184" w:name="_Hlk532915382"/>
          <w:r>
            <w:rPr>
              <w:rFonts w:hint="eastAsia"/>
              <w:szCs w:val="21"/>
            </w:rPr>
            <w:t>其他说明：</w:t>
          </w:r>
        </w:p>
        <w:sdt>
          <w:sdtPr>
            <w:rPr>
              <w:szCs w:val="21"/>
            </w:rPr>
            <w:alias w:val="是否适用：在建工程分类列示其他说明[双击切换]"/>
            <w:tag w:val="_GBC_97da24841dd24220bc5206311fc28039"/>
            <w:id w:val="86572518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84"/>
    <w:p>
      <w:pPr>
        <w:rPr>
          <w:szCs w:val="21"/>
        </w:rPr>
      </w:pPr>
    </w:p>
    <w:p>
      <w:pPr>
        <w:pStyle w:val="5"/>
        <w:ind w:left="360" w:hanging="360"/>
      </w:pPr>
      <w:r>
        <w:rPr>
          <w:rFonts w:hint="eastAsia"/>
        </w:rPr>
        <w:t>在建工程</w:t>
      </w:r>
    </w:p>
    <w:sdt>
      <w:sdtPr>
        <w:rPr>
          <w:rFonts w:hint="eastAsia" w:ascii="宋体" w:hAnsi="宋体" w:eastAsia="宋体" w:cs="宋体"/>
          <w:b w:val="0"/>
          <w:bCs w:val="0"/>
          <w:kern w:val="0"/>
          <w:szCs w:val="24"/>
        </w:rPr>
        <w:alias w:val="模块:在建工程情况"/>
        <w:tag w:val="_SEC_a02b3ec882b24e089808f0414c70e5ec"/>
        <w:id w:val="865725203"/>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92"/>
            </w:numPr>
            <w:ind w:left="426" w:hanging="426"/>
          </w:pPr>
          <w:r>
            <w:rPr>
              <w:rFonts w:hint="eastAsia"/>
            </w:rPr>
            <w:t>在建工程情况</w:t>
          </w:r>
        </w:p>
        <w:sdt>
          <w:sdtPr>
            <w:alias w:val="是否适用：在建工程情况[双击切换]"/>
            <w:tag w:val="_GBC_3d1e0f4f19d8472c9f5250b0ba025185"/>
            <w:id w:val="86572518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在建工程"/>
              <w:tag w:val="_GBC_c20f70bc9d1e4476bd65c1988111664f"/>
              <w:id w:val="865725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8657251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1582"/>
            <w:gridCol w:w="760"/>
            <w:gridCol w:w="1549"/>
            <w:gridCol w:w="1477"/>
            <w:gridCol w:w="76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64c6d788b0564cf39dd83135bd94fa33"/>
                <w:id w:val="865725187"/>
                <w:lock w:val="sdtLocked"/>
              </w:sdtPr>
              <w:sdtEndPr>
                <w:rPr>
                  <w:rFonts w:ascii="Times New Roman" w:hAnsi="Times New Roman" w:cs="Times New Roman"/>
                </w:rPr>
              </w:sdtEndPr>
              <w:sdtContent>
                <w:tc>
                  <w:tcPr>
                    <w:tcW w:w="800" w:type="pct"/>
                    <w:vMerge w:val="restart"/>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0f8aeba685c643d8bbe995cb6221e768"/>
                <w:id w:val="865725188"/>
                <w:lock w:val="sdtLocked"/>
              </w:sdtPr>
              <w:sdtEndPr>
                <w:rPr>
                  <w:rFonts w:ascii="Times New Roman" w:hAnsi="Times New Roman" w:cs="Times New Roman"/>
                </w:rPr>
              </w:sdtEndPr>
              <w:sdtContent>
                <w:tc>
                  <w:tcPr>
                    <w:tcW w:w="2149" w:type="pct"/>
                    <w:gridSpan w:val="3"/>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87e3270219434e9f8494ce0079d505fd"/>
                <w:id w:val="865725189"/>
                <w:lock w:val="sdtLocked"/>
              </w:sdtPr>
              <w:sdtEndPr>
                <w:rPr>
                  <w:rFonts w:ascii="Times New Roman" w:hAnsi="Times New Roman" w:cs="Times New Roman"/>
                </w:rPr>
              </w:sdtEndPr>
              <w:sdtContent>
                <w:tc>
                  <w:tcPr>
                    <w:tcW w:w="2051" w:type="pct"/>
                    <w:gridSpan w:val="3"/>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0" w:type="pct"/>
                <w:vMerge w:val="continue"/>
                <w:vAlign w:val="center"/>
              </w:tcPr>
              <w:p>
                <w:pPr>
                  <w:tabs>
                    <w:tab w:val="left" w:pos="420"/>
                  </w:tabs>
                  <w:ind w:left="420" w:hanging="420"/>
                  <w:jc w:val="center"/>
                  <w:rPr>
                    <w:rFonts w:ascii="Times New Roman" w:hAnsi="Times New Roman" w:cs="Times New Roman"/>
                    <w:szCs w:val="21"/>
                  </w:rPr>
                </w:pPr>
              </w:p>
            </w:tc>
            <w:sdt>
              <w:sdtPr>
                <w:rPr>
                  <w:rFonts w:ascii="Times New Roman" w:hAnsi="Times New Roman" w:cs="Times New Roman"/>
                </w:rPr>
                <w:tag w:val="_PLD_38fd2fe6396a41ae994e421a6ad8573a"/>
                <w:id w:val="865725190"/>
                <w:lock w:val="sdtLocked"/>
              </w:sdtPr>
              <w:sdtEndPr>
                <w:rPr>
                  <w:rFonts w:ascii="Times New Roman" w:hAnsi="Times New Roman" w:cs="Times New Roman"/>
                </w:rPr>
              </w:sdtEndPr>
              <w:sdtContent>
                <w:tc>
                  <w:tcPr>
                    <w:tcW w:w="874" w:type="pct"/>
                    <w:vAlign w:val="center"/>
                  </w:tcPr>
                  <w:p>
                    <w:pPr>
                      <w:tabs>
                        <w:tab w:val="left" w:pos="420"/>
                      </w:tabs>
                      <w:ind w:left="420" w:hanging="420"/>
                      <w:jc w:val="center"/>
                      <w:rPr>
                        <w:rFonts w:ascii="Times New Roman" w:hAnsi="Times New Roman" w:cs="Times New Roman"/>
                        <w:szCs w:val="21"/>
                      </w:rPr>
                    </w:pPr>
                    <w:r>
                      <w:rPr>
                        <w:rFonts w:ascii="Times New Roman" w:cs="Times New Roman"/>
                        <w:szCs w:val="21"/>
                      </w:rPr>
                      <w:t>账面余额</w:t>
                    </w:r>
                  </w:p>
                </w:tc>
              </w:sdtContent>
            </w:sdt>
            <w:sdt>
              <w:sdtPr>
                <w:tag w:val="_PLD_efb5f565ae7d43338576e6ba69d207b2"/>
                <w:id w:val="865725191"/>
                <w:lock w:val="sdtLocked"/>
              </w:sdtPr>
              <w:sdtContent>
                <w:tc>
                  <w:tcPr>
                    <w:tcW w:w="420" w:type="pct"/>
                    <w:vAlign w:val="center"/>
                  </w:tcPr>
                  <w:p>
                    <w:pPr>
                      <w:pStyle w:val="27"/>
                      <w:spacing w:line="240" w:lineRule="auto"/>
                      <w:jc w:val="center"/>
                    </w:pPr>
                    <w:r>
                      <w:t>减值准备</w:t>
                    </w:r>
                  </w:p>
                </w:tc>
              </w:sdtContent>
            </w:sdt>
            <w:sdt>
              <w:sdtPr>
                <w:tag w:val="_PLD_74e2fff2faeb4e10b56ba612a8b3b4e8"/>
                <w:id w:val="865725192"/>
                <w:lock w:val="sdtLocked"/>
              </w:sdtPr>
              <w:sdtContent>
                <w:tc>
                  <w:tcPr>
                    <w:tcW w:w="856" w:type="pct"/>
                    <w:vAlign w:val="center"/>
                  </w:tcPr>
                  <w:p>
                    <w:pPr>
                      <w:pStyle w:val="27"/>
                      <w:spacing w:line="240" w:lineRule="auto"/>
                      <w:jc w:val="center"/>
                    </w:pPr>
                    <w:r>
                      <w:t>账面价值</w:t>
                    </w:r>
                  </w:p>
                </w:tc>
              </w:sdtContent>
            </w:sdt>
            <w:sdt>
              <w:sdtPr>
                <w:rPr>
                  <w:rFonts w:ascii="Times New Roman" w:hAnsi="Times New Roman" w:cs="Times New Roman"/>
                </w:rPr>
                <w:tag w:val="_PLD_320b5c6e751a40cb8f8d6cb989669680"/>
                <w:id w:val="865725193"/>
                <w:lock w:val="sdtLocked"/>
              </w:sdtPr>
              <w:sdtEndPr>
                <w:rPr>
                  <w:rFonts w:ascii="Times New Roman" w:hAnsi="Times New Roman" w:cs="Times New Roman"/>
                </w:rPr>
              </w:sdtEndPr>
              <w:sdtContent>
                <w:tc>
                  <w:tcPr>
                    <w:tcW w:w="816" w:type="pct"/>
                    <w:vAlign w:val="center"/>
                  </w:tcPr>
                  <w:p>
                    <w:pPr>
                      <w:tabs>
                        <w:tab w:val="left" w:pos="420"/>
                      </w:tabs>
                      <w:ind w:left="420" w:hanging="420"/>
                      <w:jc w:val="center"/>
                      <w:rPr>
                        <w:rFonts w:ascii="Times New Roman" w:hAnsi="Times New Roman" w:cs="Times New Roman"/>
                        <w:szCs w:val="21"/>
                      </w:rPr>
                    </w:pPr>
                    <w:r>
                      <w:rPr>
                        <w:rFonts w:ascii="Times New Roman" w:cs="Times New Roman"/>
                        <w:szCs w:val="21"/>
                      </w:rPr>
                      <w:t>账面余额</w:t>
                    </w:r>
                  </w:p>
                </w:tc>
              </w:sdtContent>
            </w:sdt>
            <w:sdt>
              <w:sdtPr>
                <w:tag w:val="_PLD_887f924a18a14763b7d38b336e4eca91"/>
                <w:id w:val="865725194"/>
                <w:lock w:val="sdtLocked"/>
              </w:sdtPr>
              <w:sdtContent>
                <w:tc>
                  <w:tcPr>
                    <w:tcW w:w="420" w:type="pct"/>
                    <w:vAlign w:val="center"/>
                  </w:tcPr>
                  <w:p>
                    <w:pPr>
                      <w:pStyle w:val="27"/>
                      <w:spacing w:line="240" w:lineRule="auto"/>
                      <w:jc w:val="center"/>
                    </w:pPr>
                    <w:r>
                      <w:t>减值准备</w:t>
                    </w:r>
                  </w:p>
                </w:tc>
              </w:sdtContent>
            </w:sdt>
            <w:sdt>
              <w:sdtPr>
                <w:tag w:val="_PLD_56d3163c60044998bf2f3d80a83c26a6"/>
                <w:id w:val="865725195"/>
                <w:lock w:val="sdtLocked"/>
              </w:sdtPr>
              <w:sdtContent>
                <w:tc>
                  <w:tcPr>
                    <w:tcW w:w="816" w:type="pct"/>
                    <w:vAlign w:val="center"/>
                  </w:tcPr>
                  <w:p>
                    <w:pPr>
                      <w:pStyle w:val="27"/>
                      <w:spacing w:line="240" w:lineRule="auto"/>
                      <w:jc w:val="center"/>
                    </w:pPr>
                    <w:r>
                      <w:t>账面价值</w:t>
                    </w:r>
                  </w:p>
                </w:tc>
              </w:sdtContent>
            </w:sdt>
          </w:tr>
          <w:sdt>
            <w:sdtPr>
              <w:rPr>
                <w:rFonts w:ascii="Times New Roman" w:hAnsi="Times New Roman" w:cs="Times New Roman"/>
                <w:szCs w:val="21"/>
              </w:rPr>
              <w:alias w:val="在建工程情况明细"/>
              <w:tag w:val="_TUP_33657c285bed467db1f9c5ec10046bbf"/>
              <w:id w:val="86572519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0" w:type="pct"/>
                  </w:tcPr>
                  <w:p>
                    <w:pPr>
                      <w:rPr>
                        <w:rFonts w:ascii="Times New Roman" w:hAnsi="Times New Roman" w:cs="Times New Roman"/>
                        <w:szCs w:val="21"/>
                      </w:rPr>
                    </w:pPr>
                    <w:r>
                      <w:rPr>
                        <w:rFonts w:ascii="Times New Roman" w:cs="Times New Roman"/>
                      </w:rPr>
                      <w:t>扬州厂大日化工程项目</w:t>
                    </w:r>
                  </w:p>
                </w:tc>
                <w:tc>
                  <w:tcPr>
                    <w:tcW w:w="874" w:type="pct"/>
                    <w:vAlign w:val="center"/>
                  </w:tcPr>
                  <w:p>
                    <w:pPr>
                      <w:ind w:right="105"/>
                      <w:jc w:val="right"/>
                      <w:rPr>
                        <w:rFonts w:ascii="Times New Roman" w:hAnsi="Times New Roman" w:cs="Times New Roman"/>
                        <w:szCs w:val="21"/>
                      </w:rPr>
                    </w:pPr>
                  </w:p>
                </w:tc>
                <w:tc>
                  <w:tcPr>
                    <w:tcW w:w="420" w:type="pct"/>
                    <w:vAlign w:val="center"/>
                  </w:tcPr>
                  <w:p>
                    <w:pPr>
                      <w:ind w:right="73"/>
                      <w:jc w:val="right"/>
                      <w:rPr>
                        <w:rFonts w:ascii="Times New Roman" w:hAnsi="Times New Roman" w:cs="Times New Roman"/>
                        <w:szCs w:val="21"/>
                      </w:rPr>
                    </w:pPr>
                  </w:p>
                </w:tc>
                <w:tc>
                  <w:tcPr>
                    <w:tcW w:w="856" w:type="pct"/>
                    <w:vAlign w:val="center"/>
                  </w:tcPr>
                  <w:p>
                    <w:pPr>
                      <w:ind w:right="73"/>
                      <w:jc w:val="right"/>
                      <w:rPr>
                        <w:rFonts w:ascii="Times New Roman" w:hAnsi="Times New Roman" w:cs="Times New Roman"/>
                        <w:szCs w:val="21"/>
                      </w:rPr>
                    </w:pPr>
                  </w:p>
                </w:tc>
                <w:tc>
                  <w:tcPr>
                    <w:tcW w:w="816" w:type="pct"/>
                    <w:vAlign w:val="center"/>
                  </w:tcPr>
                  <w:p>
                    <w:pPr>
                      <w:jc w:val="right"/>
                      <w:rPr>
                        <w:rFonts w:ascii="Times New Roman" w:hAnsi="Times New Roman" w:cs="Times New Roman"/>
                        <w:szCs w:val="21"/>
                      </w:rPr>
                    </w:pPr>
                    <w:r>
                      <w:rPr>
                        <w:rFonts w:ascii="Times New Roman" w:hAnsi="Times New Roman" w:cs="Times New Roman"/>
                      </w:rPr>
                      <w:t>6,275,120.00</w:t>
                    </w:r>
                  </w:p>
                </w:tc>
                <w:tc>
                  <w:tcPr>
                    <w:tcW w:w="420" w:type="pct"/>
                    <w:vAlign w:val="center"/>
                  </w:tcPr>
                  <w:p>
                    <w:pPr>
                      <w:jc w:val="right"/>
                      <w:rPr>
                        <w:rFonts w:ascii="Times New Roman" w:hAnsi="Times New Roman" w:cs="Times New Roman"/>
                        <w:szCs w:val="21"/>
                      </w:rPr>
                    </w:pPr>
                  </w:p>
                </w:tc>
                <w:tc>
                  <w:tcPr>
                    <w:tcW w:w="816" w:type="pct"/>
                    <w:vAlign w:val="center"/>
                  </w:tcPr>
                  <w:p>
                    <w:pPr>
                      <w:jc w:val="right"/>
                      <w:rPr>
                        <w:rFonts w:ascii="Times New Roman" w:hAnsi="Times New Roman" w:cs="Times New Roman"/>
                        <w:szCs w:val="21"/>
                      </w:rPr>
                    </w:pPr>
                    <w:r>
                      <w:rPr>
                        <w:rFonts w:ascii="Times New Roman" w:hAnsi="Times New Roman" w:cs="Times New Roman"/>
                      </w:rPr>
                      <w:t>6,275,120.00</w:t>
                    </w:r>
                  </w:p>
                </w:tc>
              </w:tr>
            </w:sdtContent>
          </w:sdt>
          <w:sdt>
            <w:sdtPr>
              <w:rPr>
                <w:rFonts w:ascii="Times New Roman" w:hAnsi="Times New Roman" w:cs="Times New Roman"/>
                <w:szCs w:val="21"/>
              </w:rPr>
              <w:alias w:val="在建工程情况明细"/>
              <w:tag w:val="_TUP_33657c285bed467db1f9c5ec10046bbf"/>
              <w:id w:val="86572519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0" w:type="pct"/>
                  </w:tcPr>
                  <w:p>
                    <w:pPr>
                      <w:rPr>
                        <w:rFonts w:ascii="Times New Roman" w:hAnsi="Times New Roman" w:cs="Times New Roman"/>
                        <w:szCs w:val="21"/>
                      </w:rPr>
                    </w:pPr>
                    <w:r>
                      <w:rPr>
                        <w:rFonts w:ascii="Times New Roman" w:cs="Times New Roman"/>
                      </w:rPr>
                      <w:t>两面针化妆品车间改造项目</w:t>
                    </w:r>
                  </w:p>
                </w:tc>
                <w:tc>
                  <w:tcPr>
                    <w:tcW w:w="874" w:type="pct"/>
                    <w:vAlign w:val="center"/>
                  </w:tcPr>
                  <w:p>
                    <w:pPr>
                      <w:ind w:right="105"/>
                      <w:jc w:val="right"/>
                      <w:rPr>
                        <w:rFonts w:ascii="Times New Roman" w:hAnsi="Times New Roman" w:cs="Times New Roman"/>
                        <w:szCs w:val="21"/>
                      </w:rPr>
                    </w:pPr>
                    <w:r>
                      <w:rPr>
                        <w:rFonts w:ascii="Times New Roman" w:hAnsi="Times New Roman" w:cs="Times New Roman"/>
                      </w:rPr>
                      <w:t>1,900,757.33</w:t>
                    </w:r>
                  </w:p>
                </w:tc>
                <w:tc>
                  <w:tcPr>
                    <w:tcW w:w="420" w:type="pct"/>
                    <w:vAlign w:val="center"/>
                  </w:tcPr>
                  <w:p>
                    <w:pPr>
                      <w:ind w:right="73"/>
                      <w:jc w:val="right"/>
                      <w:rPr>
                        <w:rFonts w:ascii="Times New Roman" w:hAnsi="Times New Roman" w:cs="Times New Roman"/>
                        <w:szCs w:val="21"/>
                      </w:rPr>
                    </w:pPr>
                  </w:p>
                </w:tc>
                <w:tc>
                  <w:tcPr>
                    <w:tcW w:w="856" w:type="pct"/>
                    <w:vAlign w:val="center"/>
                  </w:tcPr>
                  <w:p>
                    <w:pPr>
                      <w:ind w:right="73"/>
                      <w:jc w:val="right"/>
                      <w:rPr>
                        <w:rFonts w:ascii="Times New Roman" w:hAnsi="Times New Roman" w:cs="Times New Roman"/>
                        <w:szCs w:val="21"/>
                      </w:rPr>
                    </w:pPr>
                    <w:r>
                      <w:rPr>
                        <w:rFonts w:ascii="Times New Roman" w:hAnsi="Times New Roman" w:cs="Times New Roman"/>
                      </w:rPr>
                      <w:t>1,900,757.33</w:t>
                    </w:r>
                  </w:p>
                </w:tc>
                <w:tc>
                  <w:tcPr>
                    <w:tcW w:w="816" w:type="pct"/>
                    <w:vAlign w:val="center"/>
                  </w:tcPr>
                  <w:p>
                    <w:pPr>
                      <w:jc w:val="right"/>
                      <w:rPr>
                        <w:rFonts w:ascii="Times New Roman" w:hAnsi="Times New Roman" w:cs="Times New Roman"/>
                        <w:szCs w:val="21"/>
                      </w:rPr>
                    </w:pPr>
                  </w:p>
                </w:tc>
                <w:tc>
                  <w:tcPr>
                    <w:tcW w:w="420" w:type="pct"/>
                    <w:vAlign w:val="center"/>
                  </w:tcPr>
                  <w:p>
                    <w:pPr>
                      <w:jc w:val="right"/>
                      <w:rPr>
                        <w:rFonts w:ascii="Times New Roman" w:hAnsi="Times New Roman" w:cs="Times New Roman"/>
                        <w:szCs w:val="21"/>
                      </w:rPr>
                    </w:pPr>
                  </w:p>
                </w:tc>
                <w:tc>
                  <w:tcPr>
                    <w:tcW w:w="816" w:type="pct"/>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在建工程情况明细"/>
              <w:tag w:val="_TUP_33657c285bed467db1f9c5ec10046bbf"/>
              <w:id w:val="86572519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0" w:type="pct"/>
                  </w:tcPr>
                  <w:p>
                    <w:pPr>
                      <w:rPr>
                        <w:rFonts w:ascii="Times New Roman" w:hAnsi="Times New Roman" w:cs="Times New Roman"/>
                        <w:szCs w:val="21"/>
                      </w:rPr>
                    </w:pPr>
                    <w:r>
                      <w:rPr>
                        <w:rFonts w:ascii="Times New Roman" w:cs="Times New Roman"/>
                      </w:rPr>
                      <w:t>洗护车间整改净化空调设备</w:t>
                    </w:r>
                  </w:p>
                </w:tc>
                <w:tc>
                  <w:tcPr>
                    <w:tcW w:w="874" w:type="pct"/>
                    <w:vAlign w:val="center"/>
                  </w:tcPr>
                  <w:p>
                    <w:pPr>
                      <w:ind w:right="105"/>
                      <w:jc w:val="right"/>
                      <w:rPr>
                        <w:rFonts w:ascii="Times New Roman" w:hAnsi="Times New Roman" w:cs="Times New Roman"/>
                        <w:szCs w:val="21"/>
                      </w:rPr>
                    </w:pPr>
                  </w:p>
                </w:tc>
                <w:tc>
                  <w:tcPr>
                    <w:tcW w:w="420" w:type="pct"/>
                    <w:vAlign w:val="center"/>
                  </w:tcPr>
                  <w:p>
                    <w:pPr>
                      <w:ind w:right="73"/>
                      <w:jc w:val="right"/>
                      <w:rPr>
                        <w:rFonts w:ascii="Times New Roman" w:hAnsi="Times New Roman" w:cs="Times New Roman"/>
                        <w:szCs w:val="21"/>
                      </w:rPr>
                    </w:pPr>
                  </w:p>
                </w:tc>
                <w:tc>
                  <w:tcPr>
                    <w:tcW w:w="856" w:type="pct"/>
                    <w:vAlign w:val="center"/>
                  </w:tcPr>
                  <w:p>
                    <w:pPr>
                      <w:ind w:right="73"/>
                      <w:jc w:val="right"/>
                      <w:rPr>
                        <w:rFonts w:ascii="Times New Roman" w:hAnsi="Times New Roman" w:cs="Times New Roman"/>
                        <w:szCs w:val="21"/>
                      </w:rPr>
                    </w:pPr>
                  </w:p>
                </w:tc>
                <w:tc>
                  <w:tcPr>
                    <w:tcW w:w="816" w:type="pct"/>
                    <w:vAlign w:val="center"/>
                  </w:tcPr>
                  <w:p>
                    <w:pPr>
                      <w:jc w:val="right"/>
                      <w:rPr>
                        <w:rFonts w:ascii="Times New Roman" w:hAnsi="Times New Roman" w:cs="Times New Roman"/>
                        <w:szCs w:val="21"/>
                      </w:rPr>
                    </w:pPr>
                    <w:r>
                      <w:rPr>
                        <w:rFonts w:ascii="Times New Roman" w:hAnsi="Times New Roman" w:cs="Times New Roman"/>
                      </w:rPr>
                      <w:t>1,814,159.39</w:t>
                    </w:r>
                  </w:p>
                </w:tc>
                <w:tc>
                  <w:tcPr>
                    <w:tcW w:w="420" w:type="pct"/>
                    <w:vAlign w:val="center"/>
                  </w:tcPr>
                  <w:p>
                    <w:pPr>
                      <w:jc w:val="right"/>
                      <w:rPr>
                        <w:rFonts w:ascii="Times New Roman" w:hAnsi="Times New Roman" w:cs="Times New Roman"/>
                        <w:szCs w:val="21"/>
                      </w:rPr>
                    </w:pPr>
                  </w:p>
                </w:tc>
                <w:tc>
                  <w:tcPr>
                    <w:tcW w:w="816" w:type="pct"/>
                    <w:vAlign w:val="center"/>
                  </w:tcPr>
                  <w:p>
                    <w:pPr>
                      <w:jc w:val="right"/>
                      <w:rPr>
                        <w:rFonts w:ascii="Times New Roman" w:hAnsi="Times New Roman" w:cs="Times New Roman"/>
                        <w:szCs w:val="21"/>
                      </w:rPr>
                    </w:pPr>
                    <w:r>
                      <w:rPr>
                        <w:rFonts w:ascii="Times New Roman" w:hAnsi="Times New Roman" w:cs="Times New Roman"/>
                      </w:rPr>
                      <w:t>1,814,159.39</w:t>
                    </w:r>
                  </w:p>
                </w:tc>
              </w:tr>
            </w:sdtContent>
          </w:sdt>
          <w:sdt>
            <w:sdtPr>
              <w:rPr>
                <w:rFonts w:ascii="Times New Roman" w:hAnsi="Times New Roman" w:cs="Times New Roman"/>
                <w:szCs w:val="21"/>
              </w:rPr>
              <w:alias w:val="在建工程情况明细"/>
              <w:tag w:val="_TUP_33657c285bed467db1f9c5ec10046bbf"/>
              <w:id w:val="86572519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0" w:type="pct"/>
                  </w:tcPr>
                  <w:p>
                    <w:pPr>
                      <w:rPr>
                        <w:rFonts w:ascii="Times New Roman" w:hAnsi="Times New Roman" w:cs="Times New Roman"/>
                        <w:szCs w:val="21"/>
                      </w:rPr>
                    </w:pPr>
                    <w:r>
                      <w:rPr>
                        <w:rFonts w:ascii="Times New Roman" w:cs="Times New Roman"/>
                      </w:rPr>
                      <w:t>柳石厂区供电改造</w:t>
                    </w:r>
                  </w:p>
                </w:tc>
                <w:tc>
                  <w:tcPr>
                    <w:tcW w:w="874" w:type="pct"/>
                    <w:vAlign w:val="center"/>
                  </w:tcPr>
                  <w:p>
                    <w:pPr>
                      <w:ind w:right="105"/>
                      <w:jc w:val="right"/>
                      <w:rPr>
                        <w:rFonts w:ascii="Times New Roman" w:hAnsi="Times New Roman" w:cs="Times New Roman"/>
                        <w:szCs w:val="21"/>
                      </w:rPr>
                    </w:pPr>
                    <w:r>
                      <w:rPr>
                        <w:rFonts w:ascii="Times New Roman" w:hAnsi="Times New Roman" w:cs="Times New Roman"/>
                      </w:rPr>
                      <w:t>1,456,656.45</w:t>
                    </w:r>
                  </w:p>
                </w:tc>
                <w:tc>
                  <w:tcPr>
                    <w:tcW w:w="420" w:type="pct"/>
                    <w:vAlign w:val="center"/>
                  </w:tcPr>
                  <w:p>
                    <w:pPr>
                      <w:ind w:right="73"/>
                      <w:jc w:val="right"/>
                      <w:rPr>
                        <w:rFonts w:ascii="Times New Roman" w:hAnsi="Times New Roman" w:cs="Times New Roman"/>
                        <w:szCs w:val="21"/>
                      </w:rPr>
                    </w:pPr>
                  </w:p>
                </w:tc>
                <w:tc>
                  <w:tcPr>
                    <w:tcW w:w="856" w:type="pct"/>
                    <w:vAlign w:val="center"/>
                  </w:tcPr>
                  <w:p>
                    <w:pPr>
                      <w:ind w:right="73"/>
                      <w:jc w:val="right"/>
                      <w:rPr>
                        <w:rFonts w:ascii="Times New Roman" w:hAnsi="Times New Roman" w:cs="Times New Roman"/>
                        <w:szCs w:val="21"/>
                      </w:rPr>
                    </w:pPr>
                    <w:r>
                      <w:rPr>
                        <w:rFonts w:ascii="Times New Roman" w:hAnsi="Times New Roman" w:cs="Times New Roman"/>
                      </w:rPr>
                      <w:t>1,456,656.45</w:t>
                    </w:r>
                  </w:p>
                </w:tc>
                <w:tc>
                  <w:tcPr>
                    <w:tcW w:w="816" w:type="pct"/>
                    <w:vAlign w:val="center"/>
                  </w:tcPr>
                  <w:p>
                    <w:pPr>
                      <w:jc w:val="right"/>
                      <w:rPr>
                        <w:rFonts w:ascii="Times New Roman" w:hAnsi="Times New Roman" w:cs="Times New Roman"/>
                        <w:szCs w:val="21"/>
                      </w:rPr>
                    </w:pPr>
                    <w:r>
                      <w:rPr>
                        <w:rFonts w:ascii="Times New Roman" w:hAnsi="Times New Roman" w:cs="Times New Roman"/>
                      </w:rPr>
                      <w:t>1,316,379.32</w:t>
                    </w:r>
                  </w:p>
                </w:tc>
                <w:tc>
                  <w:tcPr>
                    <w:tcW w:w="420" w:type="pct"/>
                    <w:vAlign w:val="center"/>
                  </w:tcPr>
                  <w:p>
                    <w:pPr>
                      <w:jc w:val="right"/>
                      <w:rPr>
                        <w:rFonts w:ascii="Times New Roman" w:hAnsi="Times New Roman" w:cs="Times New Roman"/>
                        <w:szCs w:val="21"/>
                      </w:rPr>
                    </w:pPr>
                  </w:p>
                </w:tc>
                <w:tc>
                  <w:tcPr>
                    <w:tcW w:w="816" w:type="pct"/>
                    <w:vAlign w:val="center"/>
                  </w:tcPr>
                  <w:p>
                    <w:pPr>
                      <w:jc w:val="right"/>
                      <w:rPr>
                        <w:rFonts w:ascii="Times New Roman" w:hAnsi="Times New Roman" w:cs="Times New Roman"/>
                        <w:szCs w:val="21"/>
                      </w:rPr>
                    </w:pPr>
                    <w:r>
                      <w:rPr>
                        <w:rFonts w:ascii="Times New Roman" w:hAnsi="Times New Roman" w:cs="Times New Roman"/>
                      </w:rPr>
                      <w:t>1,316,379.32</w:t>
                    </w:r>
                  </w:p>
                </w:tc>
              </w:tr>
            </w:sdtContent>
          </w:sdt>
          <w:sdt>
            <w:sdtPr>
              <w:rPr>
                <w:rFonts w:ascii="Times New Roman" w:hAnsi="Times New Roman" w:cs="Times New Roman"/>
                <w:szCs w:val="21"/>
              </w:rPr>
              <w:alias w:val="在建工程情况明细"/>
              <w:tag w:val="_TUP_33657c285bed467db1f9c5ec10046bbf"/>
              <w:id w:val="86572520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0" w:type="pct"/>
                  </w:tcPr>
                  <w:p>
                    <w:pPr>
                      <w:rPr>
                        <w:rFonts w:ascii="Times New Roman" w:hAnsi="Times New Roman" w:cs="Times New Roman"/>
                        <w:szCs w:val="21"/>
                      </w:rPr>
                    </w:pPr>
                    <w:r>
                      <w:rPr>
                        <w:rFonts w:ascii="Times New Roman" w:cs="Times New Roman"/>
                      </w:rPr>
                      <w:t>扬州厂兰轻香皂生产线等项目</w:t>
                    </w:r>
                  </w:p>
                </w:tc>
                <w:tc>
                  <w:tcPr>
                    <w:tcW w:w="874" w:type="pct"/>
                    <w:vAlign w:val="center"/>
                  </w:tcPr>
                  <w:p>
                    <w:pPr>
                      <w:ind w:right="105"/>
                      <w:jc w:val="right"/>
                      <w:rPr>
                        <w:rFonts w:ascii="Times New Roman" w:hAnsi="Times New Roman" w:cs="Times New Roman"/>
                        <w:szCs w:val="21"/>
                      </w:rPr>
                    </w:pPr>
                    <w:r>
                      <w:rPr>
                        <w:rFonts w:ascii="Times New Roman" w:hAnsi="Times New Roman" w:cs="Times New Roman"/>
                      </w:rPr>
                      <w:t>181,993.60</w:t>
                    </w:r>
                  </w:p>
                </w:tc>
                <w:tc>
                  <w:tcPr>
                    <w:tcW w:w="420" w:type="pct"/>
                    <w:vAlign w:val="center"/>
                  </w:tcPr>
                  <w:p>
                    <w:pPr>
                      <w:ind w:right="73"/>
                      <w:jc w:val="right"/>
                      <w:rPr>
                        <w:rFonts w:ascii="Times New Roman" w:hAnsi="Times New Roman" w:cs="Times New Roman"/>
                        <w:szCs w:val="21"/>
                      </w:rPr>
                    </w:pPr>
                  </w:p>
                </w:tc>
                <w:tc>
                  <w:tcPr>
                    <w:tcW w:w="856" w:type="pct"/>
                    <w:vAlign w:val="center"/>
                  </w:tcPr>
                  <w:p>
                    <w:pPr>
                      <w:ind w:right="73"/>
                      <w:jc w:val="right"/>
                      <w:rPr>
                        <w:rFonts w:ascii="Times New Roman" w:hAnsi="Times New Roman" w:cs="Times New Roman"/>
                        <w:szCs w:val="21"/>
                      </w:rPr>
                    </w:pPr>
                    <w:r>
                      <w:rPr>
                        <w:rFonts w:ascii="Times New Roman" w:hAnsi="Times New Roman" w:cs="Times New Roman"/>
                      </w:rPr>
                      <w:t>181,993.60</w:t>
                    </w:r>
                  </w:p>
                </w:tc>
                <w:tc>
                  <w:tcPr>
                    <w:tcW w:w="816" w:type="pct"/>
                    <w:vAlign w:val="center"/>
                  </w:tcPr>
                  <w:p>
                    <w:pPr>
                      <w:jc w:val="right"/>
                      <w:rPr>
                        <w:rFonts w:ascii="Times New Roman" w:hAnsi="Times New Roman" w:cs="Times New Roman"/>
                        <w:szCs w:val="21"/>
                      </w:rPr>
                    </w:pPr>
                    <w:r>
                      <w:rPr>
                        <w:rFonts w:ascii="Times New Roman" w:hAnsi="Times New Roman" w:cs="Times New Roman"/>
                      </w:rPr>
                      <w:t>181,993.60</w:t>
                    </w:r>
                  </w:p>
                </w:tc>
                <w:tc>
                  <w:tcPr>
                    <w:tcW w:w="420" w:type="pct"/>
                    <w:vAlign w:val="center"/>
                  </w:tcPr>
                  <w:p>
                    <w:pPr>
                      <w:jc w:val="right"/>
                      <w:rPr>
                        <w:rFonts w:ascii="Times New Roman" w:hAnsi="Times New Roman" w:cs="Times New Roman"/>
                        <w:szCs w:val="21"/>
                      </w:rPr>
                    </w:pPr>
                  </w:p>
                </w:tc>
                <w:tc>
                  <w:tcPr>
                    <w:tcW w:w="816" w:type="pct"/>
                    <w:vAlign w:val="center"/>
                  </w:tcPr>
                  <w:p>
                    <w:pPr>
                      <w:jc w:val="right"/>
                      <w:rPr>
                        <w:rFonts w:ascii="Times New Roman" w:hAnsi="Times New Roman" w:cs="Times New Roman"/>
                        <w:szCs w:val="21"/>
                      </w:rPr>
                    </w:pPr>
                    <w:r>
                      <w:rPr>
                        <w:rFonts w:ascii="Times New Roman" w:hAnsi="Times New Roman" w:cs="Times New Roman"/>
                      </w:rPr>
                      <w:t>181,993.60</w:t>
                    </w:r>
                  </w:p>
                </w:tc>
              </w:tr>
            </w:sdtContent>
          </w:sdt>
          <w:sdt>
            <w:sdtPr>
              <w:rPr>
                <w:rFonts w:ascii="Times New Roman" w:hAnsi="Times New Roman" w:cs="Times New Roman"/>
                <w:szCs w:val="21"/>
              </w:rPr>
              <w:alias w:val="在建工程情况明细"/>
              <w:tag w:val="_TUP_33657c285bed467db1f9c5ec10046bbf"/>
              <w:id w:val="86572520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0" w:type="pct"/>
                  </w:tcPr>
                  <w:p>
                    <w:pPr>
                      <w:rPr>
                        <w:rFonts w:ascii="Times New Roman" w:hAnsi="Times New Roman" w:cs="Times New Roman"/>
                        <w:szCs w:val="21"/>
                      </w:rPr>
                    </w:pPr>
                    <w:r>
                      <w:rPr>
                        <w:rFonts w:ascii="Times New Roman" w:cs="Times New Roman"/>
                      </w:rPr>
                      <w:t>其他</w:t>
                    </w:r>
                  </w:p>
                </w:tc>
                <w:tc>
                  <w:tcPr>
                    <w:tcW w:w="874" w:type="pct"/>
                    <w:vAlign w:val="center"/>
                  </w:tcPr>
                  <w:p>
                    <w:pPr>
                      <w:ind w:right="105"/>
                      <w:jc w:val="right"/>
                      <w:rPr>
                        <w:rFonts w:ascii="Times New Roman" w:hAnsi="Times New Roman" w:cs="Times New Roman"/>
                        <w:szCs w:val="21"/>
                      </w:rPr>
                    </w:pPr>
                    <w:r>
                      <w:rPr>
                        <w:rFonts w:ascii="Times New Roman" w:hAnsi="Times New Roman" w:cs="Times New Roman"/>
                      </w:rPr>
                      <w:t>10,775.87</w:t>
                    </w:r>
                  </w:p>
                </w:tc>
                <w:tc>
                  <w:tcPr>
                    <w:tcW w:w="420" w:type="pct"/>
                    <w:vAlign w:val="center"/>
                  </w:tcPr>
                  <w:p>
                    <w:pPr>
                      <w:ind w:right="73"/>
                      <w:jc w:val="right"/>
                      <w:rPr>
                        <w:rFonts w:ascii="Times New Roman" w:hAnsi="Times New Roman" w:cs="Times New Roman"/>
                        <w:szCs w:val="21"/>
                      </w:rPr>
                    </w:pPr>
                  </w:p>
                </w:tc>
                <w:tc>
                  <w:tcPr>
                    <w:tcW w:w="856" w:type="pct"/>
                    <w:vAlign w:val="center"/>
                  </w:tcPr>
                  <w:p>
                    <w:pPr>
                      <w:ind w:right="73"/>
                      <w:jc w:val="right"/>
                      <w:rPr>
                        <w:rFonts w:ascii="Times New Roman" w:hAnsi="Times New Roman" w:cs="Times New Roman"/>
                        <w:szCs w:val="21"/>
                      </w:rPr>
                    </w:pPr>
                    <w:r>
                      <w:rPr>
                        <w:rFonts w:ascii="Times New Roman" w:hAnsi="Times New Roman" w:cs="Times New Roman"/>
                      </w:rPr>
                      <w:t>10,775.87</w:t>
                    </w:r>
                  </w:p>
                </w:tc>
                <w:tc>
                  <w:tcPr>
                    <w:tcW w:w="816" w:type="pct"/>
                    <w:vAlign w:val="center"/>
                  </w:tcPr>
                  <w:p>
                    <w:pPr>
                      <w:jc w:val="right"/>
                      <w:rPr>
                        <w:rFonts w:ascii="Times New Roman" w:hAnsi="Times New Roman" w:cs="Times New Roman"/>
                        <w:szCs w:val="21"/>
                      </w:rPr>
                    </w:pPr>
                    <w:r>
                      <w:rPr>
                        <w:rFonts w:ascii="Times New Roman" w:hAnsi="Times New Roman" w:cs="Times New Roman"/>
                      </w:rPr>
                      <w:t>10,775.87</w:t>
                    </w:r>
                  </w:p>
                </w:tc>
                <w:tc>
                  <w:tcPr>
                    <w:tcW w:w="420" w:type="pct"/>
                    <w:vAlign w:val="center"/>
                  </w:tcPr>
                  <w:p>
                    <w:pPr>
                      <w:jc w:val="right"/>
                      <w:rPr>
                        <w:rFonts w:ascii="Times New Roman" w:hAnsi="Times New Roman" w:cs="Times New Roman"/>
                        <w:szCs w:val="21"/>
                      </w:rPr>
                    </w:pPr>
                  </w:p>
                </w:tc>
                <w:tc>
                  <w:tcPr>
                    <w:tcW w:w="816" w:type="pct"/>
                    <w:vAlign w:val="center"/>
                  </w:tcPr>
                  <w:p>
                    <w:pPr>
                      <w:jc w:val="right"/>
                      <w:rPr>
                        <w:rFonts w:ascii="Times New Roman" w:hAnsi="Times New Roman" w:cs="Times New Roman"/>
                        <w:szCs w:val="21"/>
                      </w:rPr>
                    </w:pPr>
                    <w:r>
                      <w:rPr>
                        <w:rFonts w:ascii="Times New Roman" w:hAnsi="Times New Roman" w:cs="Times New Roman"/>
                      </w:rPr>
                      <w:t>10,775.87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2783a6d4bf3f487b8ca957822667216c"/>
                <w:id w:val="865725202"/>
                <w:lock w:val="sdtLocked"/>
              </w:sdtPr>
              <w:sdtEndPr>
                <w:rPr>
                  <w:rFonts w:ascii="Times New Roman" w:hAnsi="Times New Roman" w:cs="Times New Roman"/>
                </w:rPr>
              </w:sdtEndPr>
              <w:sdtContent>
                <w:tc>
                  <w:tcPr>
                    <w:tcW w:w="800" w:type="pct"/>
                    <w:vAlign w:val="center"/>
                  </w:tcPr>
                  <w:p>
                    <w:pPr>
                      <w:jc w:val="center"/>
                      <w:rPr>
                        <w:rFonts w:ascii="Times New Roman" w:hAnsi="Times New Roman" w:cs="Times New Roman"/>
                        <w:szCs w:val="21"/>
                      </w:rPr>
                    </w:pPr>
                    <w:r>
                      <w:rPr>
                        <w:rFonts w:ascii="Times New Roman" w:cs="Times New Roman"/>
                        <w:szCs w:val="21"/>
                      </w:rPr>
                      <w:t>合计</w:t>
                    </w:r>
                  </w:p>
                </w:tc>
              </w:sdtContent>
            </w:sdt>
            <w:tc>
              <w:tcPr>
                <w:tcW w:w="874" w:type="pct"/>
                <w:vAlign w:val="center"/>
              </w:tcPr>
              <w:p>
                <w:pPr>
                  <w:jc w:val="right"/>
                  <w:rPr>
                    <w:rFonts w:ascii="Times New Roman" w:hAnsi="Times New Roman" w:cs="Times New Roman"/>
                    <w:sz w:val="24"/>
                  </w:rPr>
                </w:pPr>
                <w:r>
                  <w:rPr>
                    <w:rFonts w:ascii="Times New Roman" w:hAnsi="Times New Roman" w:cs="Times New Roman"/>
                  </w:rPr>
                  <w:t>3,550,183.25</w:t>
                </w:r>
              </w:p>
            </w:tc>
            <w:tc>
              <w:tcPr>
                <w:tcW w:w="420" w:type="pct"/>
                <w:vAlign w:val="center"/>
              </w:tcPr>
              <w:p>
                <w:pPr>
                  <w:jc w:val="right"/>
                  <w:rPr>
                    <w:rFonts w:ascii="Times New Roman" w:hAnsi="Times New Roman" w:cs="Times New Roman"/>
                    <w:sz w:val="24"/>
                  </w:rPr>
                </w:pPr>
              </w:p>
            </w:tc>
            <w:tc>
              <w:tcPr>
                <w:tcW w:w="856" w:type="pct"/>
                <w:vAlign w:val="center"/>
              </w:tcPr>
              <w:p>
                <w:pPr>
                  <w:jc w:val="right"/>
                  <w:rPr>
                    <w:rFonts w:ascii="Times New Roman" w:hAnsi="Times New Roman" w:cs="Times New Roman"/>
                    <w:sz w:val="24"/>
                  </w:rPr>
                </w:pPr>
                <w:r>
                  <w:rPr>
                    <w:rFonts w:ascii="Times New Roman" w:hAnsi="Times New Roman" w:cs="Times New Roman"/>
                  </w:rPr>
                  <w:t>3,550,183.25</w:t>
                </w:r>
              </w:p>
            </w:tc>
            <w:tc>
              <w:tcPr>
                <w:tcW w:w="816" w:type="pct"/>
                <w:vAlign w:val="center"/>
              </w:tcPr>
              <w:p>
                <w:pPr>
                  <w:jc w:val="right"/>
                  <w:rPr>
                    <w:rFonts w:ascii="Times New Roman" w:hAnsi="Times New Roman" w:cs="Times New Roman"/>
                    <w:sz w:val="24"/>
                  </w:rPr>
                </w:pPr>
                <w:r>
                  <w:rPr>
                    <w:rFonts w:ascii="Times New Roman" w:hAnsi="Times New Roman" w:cs="Times New Roman"/>
                  </w:rPr>
                  <w:t>9,598,428.18</w:t>
                </w:r>
              </w:p>
            </w:tc>
            <w:tc>
              <w:tcPr>
                <w:tcW w:w="420" w:type="pct"/>
                <w:vAlign w:val="center"/>
              </w:tcPr>
              <w:p>
                <w:pPr>
                  <w:jc w:val="right"/>
                  <w:rPr>
                    <w:rFonts w:ascii="Times New Roman" w:hAnsi="Times New Roman" w:cs="Times New Roman"/>
                    <w:sz w:val="24"/>
                  </w:rPr>
                </w:pPr>
              </w:p>
            </w:tc>
            <w:tc>
              <w:tcPr>
                <w:tcW w:w="816" w:type="pct"/>
                <w:vAlign w:val="center"/>
              </w:tcPr>
              <w:p>
                <w:pPr>
                  <w:jc w:val="right"/>
                  <w:rPr>
                    <w:rFonts w:ascii="Times New Roman" w:hAnsi="Times New Roman" w:cs="Times New Roman"/>
                    <w:sz w:val="24"/>
                  </w:rPr>
                </w:pPr>
                <w:r>
                  <w:rPr>
                    <w:rFonts w:ascii="Times New Roman" w:hAnsi="Times New Roman" w:cs="Times New Roman"/>
                  </w:rPr>
                  <w:t>9,598,428.18</w:t>
                </w:r>
              </w:p>
            </w:tc>
          </w:tr>
        </w:tbl>
        <w:p/>
        <w:p/>
      </w:sdtContent>
    </w:sdt>
    <w:sdt>
      <w:sdtPr>
        <w:rPr>
          <w:rFonts w:hint="eastAsia" w:ascii="宋体" w:hAnsi="宋体" w:eastAsia="宋体" w:cs="宋体"/>
          <w:b w:val="0"/>
          <w:bCs w:val="0"/>
          <w:kern w:val="0"/>
          <w:szCs w:val="24"/>
        </w:rPr>
        <w:alias w:val="模块:重大在建工程项目变动情况"/>
        <w:tag w:val="_SEC_56f783d4f9274dee9510145d6c965ff7"/>
        <w:id w:val="865725225"/>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5"/>
            <w:numPr>
              <w:ilvl w:val="3"/>
              <w:numId w:val="92"/>
            </w:numPr>
            <w:ind w:left="426" w:hanging="426"/>
          </w:pPr>
          <w:r>
            <w:rPr>
              <w:rFonts w:hint="eastAsia"/>
            </w:rPr>
            <w:t>重要在建工程项目本期变动情况</w:t>
          </w:r>
        </w:p>
        <w:sdt>
          <w:sdtPr>
            <w:alias w:val="是否适用：重要在建工程项目本期变动情况[双击切换]"/>
            <w:tag w:val="_GBC_964f4529e8234c358a8541e8c4754ec8"/>
            <w:id w:val="86572520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57252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86572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851"/>
            <w:gridCol w:w="1276"/>
            <w:gridCol w:w="1278"/>
            <w:gridCol w:w="1279"/>
            <w:gridCol w:w="304"/>
            <w:gridCol w:w="1258"/>
            <w:gridCol w:w="692"/>
            <w:gridCol w:w="531"/>
            <w:gridCol w:w="237"/>
            <w:gridCol w:w="237"/>
            <w:gridCol w:w="240"/>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rPr>
                <w:tag w:val="_PLD_0072ffbc51294cefbe17dde844d0e5ed"/>
                <w:id w:val="115238632"/>
                <w:lock w:val="sdtLocked"/>
              </w:sdtPr>
              <w:sdtEndPr>
                <w:rPr>
                  <w:rFonts w:ascii="Times New Roman" w:hAnsi="Times New Roman"/>
                </w:rPr>
              </w:sdtEndPr>
              <w:sdtContent>
                <w:tc>
                  <w:tcPr>
                    <w:tcW w:w="494" w:type="pct"/>
                    <w:shd w:val="clear" w:color="auto" w:fill="auto"/>
                    <w:vAlign w:val="center"/>
                  </w:tcPr>
                  <w:p>
                    <w:pPr>
                      <w:ind w:right="105"/>
                      <w:jc w:val="center"/>
                      <w:rPr>
                        <w:rFonts w:ascii="Times New Roman" w:hAnsi="Times New Roman"/>
                        <w:szCs w:val="21"/>
                      </w:rPr>
                    </w:pPr>
                    <w:r>
                      <w:rPr>
                        <w:rFonts w:ascii="Times New Roman"/>
                        <w:szCs w:val="21"/>
                      </w:rPr>
                      <w:t>项目名称</w:t>
                    </w:r>
                  </w:p>
                </w:tc>
              </w:sdtContent>
            </w:sdt>
            <w:sdt>
              <w:sdtPr>
                <w:rPr>
                  <w:rFonts w:ascii="Times New Roman" w:hAnsi="Times New Roman"/>
                </w:rPr>
                <w:tag w:val="_PLD_6349ea6a696f4d27b00b071275a38ea5"/>
                <w:id w:val="115238633"/>
                <w:lock w:val="sdtLocked"/>
              </w:sdtPr>
              <w:sdtEndPr>
                <w:rPr>
                  <w:rFonts w:ascii="Times New Roman" w:hAnsi="Times New Roman"/>
                </w:rPr>
              </w:sdtEndPr>
              <w:sdtContent>
                <w:tc>
                  <w:tcPr>
                    <w:tcW w:w="439" w:type="pct"/>
                    <w:shd w:val="clear" w:color="auto" w:fill="auto"/>
                    <w:vAlign w:val="center"/>
                  </w:tcPr>
                  <w:p>
                    <w:pPr>
                      <w:ind w:right="105"/>
                      <w:jc w:val="center"/>
                      <w:rPr>
                        <w:rFonts w:ascii="Times New Roman" w:hAnsi="Times New Roman"/>
                        <w:szCs w:val="21"/>
                      </w:rPr>
                    </w:pPr>
                    <w:r>
                      <w:rPr>
                        <w:rFonts w:ascii="Times New Roman"/>
                        <w:szCs w:val="21"/>
                      </w:rPr>
                      <w:t>预算数</w:t>
                    </w:r>
                  </w:p>
                </w:tc>
              </w:sdtContent>
            </w:sdt>
            <w:sdt>
              <w:sdtPr>
                <w:rPr>
                  <w:rFonts w:ascii="Times New Roman" w:hAnsi="Times New Roman"/>
                </w:rPr>
                <w:tag w:val="_PLD_392420deb7e94f0a8026947a325da4f4"/>
                <w:id w:val="115238634"/>
                <w:lock w:val="sdtLocked"/>
              </w:sdtPr>
              <w:sdtEndPr>
                <w:rPr>
                  <w:rFonts w:ascii="Times New Roman" w:hAnsi="Times New Roman"/>
                </w:rPr>
              </w:sdtEndPr>
              <w:sdtContent>
                <w:tc>
                  <w:tcPr>
                    <w:tcW w:w="658" w:type="pct"/>
                    <w:shd w:val="clear" w:color="auto" w:fill="auto"/>
                    <w:vAlign w:val="center"/>
                  </w:tcPr>
                  <w:p>
                    <w:pPr>
                      <w:ind w:right="105"/>
                      <w:jc w:val="center"/>
                      <w:rPr>
                        <w:rFonts w:ascii="Times New Roman" w:hAnsi="Times New Roman"/>
                        <w:szCs w:val="21"/>
                      </w:rPr>
                    </w:pPr>
                    <w:r>
                      <w:rPr>
                        <w:rFonts w:ascii="Times New Roman"/>
                        <w:szCs w:val="21"/>
                      </w:rPr>
                      <w:t>期初</w:t>
                    </w:r>
                  </w:p>
                  <w:p>
                    <w:pPr>
                      <w:ind w:right="105"/>
                      <w:jc w:val="center"/>
                      <w:rPr>
                        <w:rFonts w:ascii="Times New Roman" w:hAnsi="Times New Roman"/>
                        <w:szCs w:val="21"/>
                      </w:rPr>
                    </w:pPr>
                    <w:r>
                      <w:rPr>
                        <w:rFonts w:ascii="Times New Roman"/>
                        <w:szCs w:val="21"/>
                      </w:rPr>
                      <w:t>余额</w:t>
                    </w:r>
                  </w:p>
                </w:tc>
              </w:sdtContent>
            </w:sdt>
            <w:sdt>
              <w:sdtPr>
                <w:rPr>
                  <w:rFonts w:ascii="Times New Roman" w:hAnsi="Times New Roman"/>
                </w:rPr>
                <w:tag w:val="_PLD_de4faed3465b4da6b8ac35d7e677431c"/>
                <w:id w:val="115238635"/>
                <w:lock w:val="sdtLocked"/>
              </w:sdtPr>
              <w:sdtEndPr>
                <w:rPr>
                  <w:rFonts w:ascii="Times New Roman" w:hAnsi="Times New Roman"/>
                </w:rPr>
              </w:sdtEndPr>
              <w:sdtContent>
                <w:tc>
                  <w:tcPr>
                    <w:tcW w:w="659" w:type="pct"/>
                    <w:shd w:val="clear" w:color="auto" w:fill="auto"/>
                    <w:vAlign w:val="center"/>
                  </w:tcPr>
                  <w:p>
                    <w:pPr>
                      <w:ind w:right="105"/>
                      <w:jc w:val="center"/>
                      <w:rPr>
                        <w:rFonts w:ascii="Times New Roman" w:hAnsi="Times New Roman"/>
                        <w:szCs w:val="21"/>
                      </w:rPr>
                    </w:pPr>
                    <w:r>
                      <w:rPr>
                        <w:rFonts w:ascii="Times New Roman"/>
                        <w:szCs w:val="21"/>
                      </w:rPr>
                      <w:t>本期增加金额</w:t>
                    </w:r>
                  </w:p>
                </w:tc>
              </w:sdtContent>
            </w:sdt>
            <w:sdt>
              <w:sdtPr>
                <w:rPr>
                  <w:rFonts w:ascii="Times New Roman" w:hAnsi="Times New Roman"/>
                </w:rPr>
                <w:tag w:val="_PLD_51ce4224316b4f4b99a8fb0c8e4500a5"/>
                <w:id w:val="115238636"/>
                <w:lock w:val="sdtLocked"/>
              </w:sdtPr>
              <w:sdtEndPr>
                <w:rPr>
                  <w:rFonts w:ascii="Times New Roman" w:hAnsi="Times New Roman"/>
                </w:rPr>
              </w:sdtEndPr>
              <w:sdtContent>
                <w:tc>
                  <w:tcPr>
                    <w:tcW w:w="660" w:type="pct"/>
                    <w:shd w:val="clear" w:color="auto" w:fill="auto"/>
                    <w:vAlign w:val="center"/>
                  </w:tcPr>
                  <w:p>
                    <w:pPr>
                      <w:ind w:right="73"/>
                      <w:jc w:val="center"/>
                      <w:rPr>
                        <w:rFonts w:ascii="Times New Roman" w:hAnsi="Times New Roman"/>
                        <w:szCs w:val="21"/>
                      </w:rPr>
                    </w:pPr>
                    <w:r>
                      <w:rPr>
                        <w:rFonts w:ascii="Times New Roman"/>
                        <w:szCs w:val="21"/>
                      </w:rPr>
                      <w:t>本期转入固定资产金额</w:t>
                    </w:r>
                  </w:p>
                </w:tc>
              </w:sdtContent>
            </w:sdt>
            <w:sdt>
              <w:sdtPr>
                <w:rPr>
                  <w:rFonts w:ascii="Times New Roman" w:hAnsi="Times New Roman"/>
                </w:rPr>
                <w:tag w:val="_PLD_d80ffbe10b944f57a31723041ffbcbdf"/>
                <w:id w:val="115238637"/>
                <w:lock w:val="sdtLocked"/>
              </w:sdtPr>
              <w:sdtEndPr>
                <w:rPr>
                  <w:rFonts w:ascii="Times New Roman" w:hAnsi="Times New Roman"/>
                </w:rPr>
              </w:sdtEndPr>
              <w:sdtContent>
                <w:tc>
                  <w:tcPr>
                    <w:tcW w:w="157" w:type="pct"/>
                    <w:shd w:val="clear" w:color="auto" w:fill="auto"/>
                    <w:vAlign w:val="center"/>
                  </w:tcPr>
                  <w:p>
                    <w:pPr>
                      <w:ind w:right="73"/>
                      <w:jc w:val="center"/>
                      <w:rPr>
                        <w:rFonts w:ascii="Times New Roman" w:hAnsi="Times New Roman"/>
                        <w:szCs w:val="21"/>
                      </w:rPr>
                    </w:pPr>
                    <w:r>
                      <w:rPr>
                        <w:rFonts w:ascii="Times New Roman"/>
                        <w:szCs w:val="21"/>
                      </w:rPr>
                      <w:t>本期其他减少金额</w:t>
                    </w:r>
                  </w:p>
                </w:tc>
              </w:sdtContent>
            </w:sdt>
            <w:sdt>
              <w:sdtPr>
                <w:rPr>
                  <w:rFonts w:ascii="Times New Roman" w:hAnsi="Times New Roman"/>
                </w:rPr>
                <w:tag w:val="_PLD_c8b617c64ad64a03834695d9bc0b8d2f"/>
                <w:id w:val="115238638"/>
                <w:lock w:val="sdtLocked"/>
              </w:sdtPr>
              <w:sdtEndPr>
                <w:rPr>
                  <w:rFonts w:ascii="Times New Roman" w:hAnsi="Times New Roman"/>
                </w:rPr>
              </w:sdtEndPr>
              <w:sdtContent>
                <w:tc>
                  <w:tcPr>
                    <w:tcW w:w="649" w:type="pct"/>
                    <w:vAlign w:val="center"/>
                  </w:tcPr>
                  <w:p>
                    <w:pPr>
                      <w:jc w:val="center"/>
                      <w:rPr>
                        <w:rFonts w:ascii="Times New Roman" w:hAnsi="Times New Roman"/>
                        <w:szCs w:val="21"/>
                      </w:rPr>
                    </w:pPr>
                    <w:r>
                      <w:rPr>
                        <w:rFonts w:ascii="Times New Roman"/>
                        <w:szCs w:val="21"/>
                      </w:rPr>
                      <w:t>期末</w:t>
                    </w:r>
                  </w:p>
                  <w:p>
                    <w:pPr>
                      <w:jc w:val="center"/>
                      <w:rPr>
                        <w:rFonts w:ascii="Times New Roman" w:hAnsi="Times New Roman"/>
                        <w:szCs w:val="21"/>
                      </w:rPr>
                    </w:pPr>
                    <w:r>
                      <w:rPr>
                        <w:rFonts w:ascii="Times New Roman"/>
                        <w:szCs w:val="21"/>
                      </w:rPr>
                      <w:t>余额</w:t>
                    </w:r>
                  </w:p>
                </w:tc>
              </w:sdtContent>
            </w:sdt>
            <w:sdt>
              <w:sdtPr>
                <w:rPr>
                  <w:rFonts w:ascii="Times New Roman" w:hAnsi="Times New Roman"/>
                </w:rPr>
                <w:tag w:val="_PLD_738551d97ef741f093f852402c423e47"/>
                <w:id w:val="115238639"/>
                <w:lock w:val="sdtLocked"/>
              </w:sdtPr>
              <w:sdtEndPr>
                <w:rPr>
                  <w:rFonts w:ascii="Times New Roman" w:hAnsi="Times New Roman"/>
                </w:rPr>
              </w:sdtEndPr>
              <w:sdtContent>
                <w:tc>
                  <w:tcPr>
                    <w:tcW w:w="357" w:type="pct"/>
                    <w:shd w:val="clear" w:color="auto" w:fill="auto"/>
                    <w:vAlign w:val="center"/>
                  </w:tcPr>
                  <w:p>
                    <w:pPr>
                      <w:jc w:val="center"/>
                      <w:rPr>
                        <w:rFonts w:ascii="Times New Roman" w:hAnsi="Times New Roman"/>
                        <w:szCs w:val="21"/>
                      </w:rPr>
                    </w:pPr>
                    <w:r>
                      <w:rPr>
                        <w:rFonts w:ascii="Times New Roman"/>
                        <w:szCs w:val="21"/>
                      </w:rPr>
                      <w:t>工程累计投入占预算比例</w:t>
                    </w:r>
                    <w:r>
                      <w:rPr>
                        <w:rFonts w:ascii="Times New Roman" w:hAnsi="Times New Roman"/>
                        <w:szCs w:val="21"/>
                      </w:rPr>
                      <w:t>(%)</w:t>
                    </w:r>
                  </w:p>
                </w:tc>
              </w:sdtContent>
            </w:sdt>
            <w:sdt>
              <w:sdtPr>
                <w:rPr>
                  <w:rFonts w:ascii="Times New Roman" w:hAnsi="Times New Roman"/>
                </w:rPr>
                <w:tag w:val="_PLD_0f7f749f98e74f33ae9032c17002d136"/>
                <w:id w:val="115238640"/>
                <w:lock w:val="sdtLocked"/>
              </w:sdtPr>
              <w:sdtEndPr>
                <w:rPr>
                  <w:rFonts w:ascii="Times New Roman" w:hAnsi="Times New Roman"/>
                </w:rPr>
              </w:sdtEndPr>
              <w:sdtContent>
                <w:tc>
                  <w:tcPr>
                    <w:tcW w:w="274" w:type="pct"/>
                    <w:shd w:val="clear" w:color="auto" w:fill="auto"/>
                    <w:vAlign w:val="center"/>
                  </w:tcPr>
                  <w:p>
                    <w:pPr>
                      <w:jc w:val="center"/>
                      <w:rPr>
                        <w:rFonts w:ascii="Times New Roman" w:hAnsi="Times New Roman"/>
                        <w:szCs w:val="21"/>
                      </w:rPr>
                    </w:pPr>
                    <w:r>
                      <w:rPr>
                        <w:rFonts w:ascii="Times New Roman"/>
                        <w:szCs w:val="21"/>
                      </w:rPr>
                      <w:t>工程进度</w:t>
                    </w:r>
                  </w:p>
                </w:tc>
              </w:sdtContent>
            </w:sdt>
            <w:sdt>
              <w:sdtPr>
                <w:rPr>
                  <w:rFonts w:ascii="Times New Roman" w:hAnsi="Times New Roman"/>
                </w:rPr>
                <w:tag w:val="_PLD_0b58d44121d2475586a13d1ce8eaed0a"/>
                <w:id w:val="115238641"/>
                <w:lock w:val="sdtLocked"/>
              </w:sdtPr>
              <w:sdtEndPr>
                <w:rPr>
                  <w:rFonts w:ascii="Times New Roman" w:hAnsi="Times New Roman"/>
                </w:rPr>
              </w:sdtEndPr>
              <w:sdtContent>
                <w:tc>
                  <w:tcPr>
                    <w:tcW w:w="122" w:type="pct"/>
                    <w:shd w:val="clear" w:color="auto" w:fill="auto"/>
                    <w:vAlign w:val="center"/>
                  </w:tcPr>
                  <w:p>
                    <w:pPr>
                      <w:jc w:val="center"/>
                      <w:rPr>
                        <w:rFonts w:ascii="Times New Roman" w:hAnsi="Times New Roman"/>
                        <w:szCs w:val="21"/>
                      </w:rPr>
                    </w:pPr>
                    <w:r>
                      <w:rPr>
                        <w:rFonts w:ascii="Times New Roman"/>
                        <w:szCs w:val="21"/>
                      </w:rPr>
                      <w:t>利息资本化累计金额</w:t>
                    </w:r>
                  </w:p>
                </w:tc>
              </w:sdtContent>
            </w:sdt>
            <w:sdt>
              <w:sdtPr>
                <w:rPr>
                  <w:rFonts w:ascii="Times New Roman" w:hAnsi="Times New Roman"/>
                </w:rPr>
                <w:tag w:val="_PLD_2250f692e957437687c2cafcae1d7f81"/>
                <w:id w:val="115238642"/>
                <w:lock w:val="sdtLocked"/>
              </w:sdtPr>
              <w:sdtEndPr>
                <w:rPr>
                  <w:rFonts w:ascii="Times New Roman" w:hAnsi="Times New Roman"/>
                </w:rPr>
              </w:sdtEndPr>
              <w:sdtContent>
                <w:tc>
                  <w:tcPr>
                    <w:tcW w:w="122" w:type="pct"/>
                    <w:shd w:val="clear" w:color="auto" w:fill="auto"/>
                    <w:vAlign w:val="center"/>
                  </w:tcPr>
                  <w:p>
                    <w:pPr>
                      <w:jc w:val="center"/>
                      <w:rPr>
                        <w:rFonts w:ascii="Times New Roman" w:hAnsi="Times New Roman"/>
                        <w:szCs w:val="21"/>
                      </w:rPr>
                    </w:pPr>
                    <w:r>
                      <w:rPr>
                        <w:rFonts w:ascii="Times New Roman"/>
                        <w:szCs w:val="21"/>
                      </w:rPr>
                      <w:t>其中：本期利息资本化金额</w:t>
                    </w:r>
                  </w:p>
                </w:tc>
              </w:sdtContent>
            </w:sdt>
            <w:sdt>
              <w:sdtPr>
                <w:rPr>
                  <w:rFonts w:ascii="Times New Roman" w:hAnsi="Times New Roman"/>
                </w:rPr>
                <w:tag w:val="_PLD_7a9834f354d948e19f071bbf4b5baafe"/>
                <w:id w:val="115238643"/>
                <w:lock w:val="sdtLocked"/>
              </w:sdtPr>
              <w:sdtEndPr>
                <w:rPr>
                  <w:rFonts w:ascii="Times New Roman" w:hAnsi="Times New Roman"/>
                </w:rPr>
              </w:sdtEndPr>
              <w:sdtContent>
                <w:tc>
                  <w:tcPr>
                    <w:tcW w:w="124" w:type="pct"/>
                    <w:shd w:val="clear" w:color="auto" w:fill="auto"/>
                    <w:vAlign w:val="center"/>
                  </w:tcPr>
                  <w:p>
                    <w:pPr>
                      <w:jc w:val="center"/>
                      <w:rPr>
                        <w:rFonts w:ascii="Times New Roman" w:hAnsi="Times New Roman"/>
                        <w:szCs w:val="21"/>
                      </w:rPr>
                    </w:pPr>
                    <w:r>
                      <w:rPr>
                        <w:rFonts w:ascii="Times New Roman"/>
                        <w:szCs w:val="21"/>
                      </w:rPr>
                      <w:t>本期利息资本化率</w:t>
                    </w:r>
                    <w:r>
                      <w:rPr>
                        <w:rFonts w:ascii="Times New Roman" w:hAnsi="Times New Roman"/>
                        <w:szCs w:val="21"/>
                      </w:rPr>
                      <w:t>(%)</w:t>
                    </w:r>
                  </w:p>
                </w:tc>
              </w:sdtContent>
            </w:sdt>
            <w:sdt>
              <w:sdtPr>
                <w:rPr>
                  <w:rFonts w:ascii="Times New Roman" w:hAnsi="Times New Roman"/>
                </w:rPr>
                <w:tag w:val="_PLD_6015e39597424a7ea59d45da3ff56e99"/>
                <w:id w:val="115238644"/>
                <w:lock w:val="sdtLocked"/>
              </w:sdtPr>
              <w:sdtEndPr>
                <w:rPr>
                  <w:rFonts w:ascii="Times New Roman" w:hAnsi="Times New Roman"/>
                </w:rPr>
              </w:sdtEndPr>
              <w:sdtContent>
                <w:tc>
                  <w:tcPr>
                    <w:tcW w:w="285" w:type="pct"/>
                    <w:shd w:val="clear" w:color="auto" w:fill="auto"/>
                    <w:vAlign w:val="center"/>
                  </w:tcPr>
                  <w:p>
                    <w:pPr>
                      <w:jc w:val="center"/>
                      <w:rPr>
                        <w:rFonts w:ascii="Times New Roman" w:hAnsi="Times New Roman"/>
                        <w:szCs w:val="21"/>
                      </w:rPr>
                    </w:pPr>
                    <w:r>
                      <w:rPr>
                        <w:rFonts w:ascii="Times New Roman"/>
                        <w:szCs w:val="21"/>
                      </w:rPr>
                      <w:t>资金来源</w:t>
                    </w:r>
                  </w:p>
                </w:tc>
              </w:sdtContent>
            </w:sdt>
          </w:tr>
          <w:sdt>
            <w:sdtPr>
              <w:rPr>
                <w:rFonts w:ascii="Times New Roman" w:hAnsi="Times New Roman" w:eastAsiaTheme="minorEastAsia" w:cstheme="minorBidi"/>
                <w:kern w:val="2"/>
                <w:szCs w:val="21"/>
              </w:rPr>
              <w:alias w:val="在建工程明细"/>
              <w:tag w:val="_TUP_ddeb799b6fdf45e2b195807d1913c3bb"/>
              <w:id w:val="115238645"/>
              <w:lock w:val="sdtLocked"/>
            </w:sdtPr>
            <w:sdtEndPr>
              <w:rPr>
                <w:rFonts w:ascii="Times New Roman" w:hAnsi="Times New Roman"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4" w:type="pct"/>
                    <w:shd w:val="clear" w:color="auto" w:fill="auto"/>
                  </w:tcPr>
                  <w:p>
                    <w:pPr>
                      <w:ind w:right="105"/>
                      <w:rPr>
                        <w:rFonts w:ascii="Times New Roman" w:hAnsi="Times New Roman"/>
                        <w:szCs w:val="21"/>
                      </w:rPr>
                    </w:pPr>
                    <w:r>
                      <w:rPr>
                        <w:rFonts w:ascii="Times New Roman"/>
                      </w:rPr>
                      <w:t>扬州厂大日化工程项目</w:t>
                    </w:r>
                  </w:p>
                </w:tc>
                <w:tc>
                  <w:tcPr>
                    <w:tcW w:w="439" w:type="pct"/>
                    <w:shd w:val="clear" w:color="auto" w:fill="auto"/>
                    <w:vAlign w:val="center"/>
                  </w:tcPr>
                  <w:p>
                    <w:pPr>
                      <w:jc w:val="right"/>
                      <w:rPr>
                        <w:rFonts w:ascii="Times New Roman" w:hAnsi="Times New Roman"/>
                        <w:sz w:val="18"/>
                        <w:szCs w:val="18"/>
                      </w:rPr>
                    </w:pPr>
                    <w:r>
                      <w:rPr>
                        <w:rFonts w:ascii="Times New Roman" w:hAnsi="Times New Roman"/>
                        <w:sz w:val="18"/>
                        <w:szCs w:val="18"/>
                      </w:rPr>
                      <w:t>14,000,000.00</w:t>
                    </w:r>
                  </w:p>
                </w:tc>
                <w:tc>
                  <w:tcPr>
                    <w:tcW w:w="658" w:type="pct"/>
                    <w:shd w:val="clear" w:color="auto" w:fill="auto"/>
                    <w:vAlign w:val="center"/>
                  </w:tcPr>
                  <w:p>
                    <w:pPr>
                      <w:jc w:val="right"/>
                      <w:rPr>
                        <w:rFonts w:ascii="Times New Roman" w:hAnsi="Times New Roman"/>
                        <w:sz w:val="18"/>
                        <w:szCs w:val="18"/>
                      </w:rPr>
                    </w:pPr>
                    <w:r>
                      <w:rPr>
                        <w:rFonts w:ascii="Times New Roman" w:hAnsi="Times New Roman"/>
                        <w:sz w:val="18"/>
                        <w:szCs w:val="18"/>
                      </w:rPr>
                      <w:t>6,275,120.00</w:t>
                    </w:r>
                  </w:p>
                </w:tc>
                <w:tc>
                  <w:tcPr>
                    <w:tcW w:w="659" w:type="pct"/>
                    <w:shd w:val="clear" w:color="auto" w:fill="auto"/>
                    <w:vAlign w:val="center"/>
                  </w:tcPr>
                  <w:p>
                    <w:pPr>
                      <w:jc w:val="right"/>
                      <w:rPr>
                        <w:rFonts w:ascii="Times New Roman" w:hAnsi="Times New Roman"/>
                        <w:sz w:val="18"/>
                        <w:szCs w:val="18"/>
                      </w:rPr>
                    </w:pPr>
                  </w:p>
                </w:tc>
                <w:tc>
                  <w:tcPr>
                    <w:tcW w:w="660" w:type="pct"/>
                    <w:shd w:val="clear" w:color="auto" w:fill="auto"/>
                    <w:vAlign w:val="center"/>
                  </w:tcPr>
                  <w:p>
                    <w:pPr>
                      <w:jc w:val="right"/>
                      <w:rPr>
                        <w:rFonts w:ascii="Times New Roman" w:hAnsi="Times New Roman"/>
                        <w:sz w:val="18"/>
                        <w:szCs w:val="18"/>
                      </w:rPr>
                    </w:pPr>
                    <w:r>
                      <w:rPr>
                        <w:rFonts w:ascii="Times New Roman" w:hAnsi="Times New Roman"/>
                        <w:sz w:val="18"/>
                        <w:szCs w:val="18"/>
                      </w:rPr>
                      <w:t>6,275,120.00</w:t>
                    </w:r>
                  </w:p>
                </w:tc>
                <w:tc>
                  <w:tcPr>
                    <w:tcW w:w="157" w:type="pct"/>
                    <w:shd w:val="clear" w:color="auto" w:fill="auto"/>
                    <w:vAlign w:val="center"/>
                  </w:tcPr>
                  <w:p>
                    <w:pPr>
                      <w:jc w:val="right"/>
                      <w:rPr>
                        <w:rFonts w:ascii="Times New Roman" w:hAnsi="Times New Roman"/>
                        <w:sz w:val="18"/>
                        <w:szCs w:val="18"/>
                      </w:rPr>
                    </w:pPr>
                  </w:p>
                </w:tc>
                <w:tc>
                  <w:tcPr>
                    <w:tcW w:w="649" w:type="pct"/>
                    <w:vAlign w:val="center"/>
                  </w:tcPr>
                  <w:p>
                    <w:pPr>
                      <w:jc w:val="right"/>
                      <w:rPr>
                        <w:rFonts w:ascii="Times New Roman" w:hAnsi="Times New Roman"/>
                        <w:sz w:val="18"/>
                        <w:szCs w:val="18"/>
                      </w:rPr>
                    </w:pPr>
                  </w:p>
                </w:tc>
                <w:tc>
                  <w:tcPr>
                    <w:tcW w:w="357" w:type="pct"/>
                    <w:shd w:val="clear" w:color="auto" w:fill="auto"/>
                    <w:vAlign w:val="center"/>
                  </w:tcPr>
                  <w:p>
                    <w:pPr>
                      <w:jc w:val="right"/>
                      <w:rPr>
                        <w:rFonts w:ascii="Times New Roman" w:hAnsi="Times New Roman"/>
                        <w:sz w:val="18"/>
                        <w:szCs w:val="18"/>
                      </w:rPr>
                    </w:pPr>
                    <w:r>
                      <w:rPr>
                        <w:rFonts w:ascii="Times New Roman" w:hAnsi="Times New Roman"/>
                        <w:sz w:val="18"/>
                        <w:szCs w:val="18"/>
                      </w:rPr>
                      <w:t>44.82</w:t>
                    </w:r>
                  </w:p>
                </w:tc>
                <w:tc>
                  <w:tcPr>
                    <w:tcW w:w="274" w:type="pct"/>
                    <w:shd w:val="clear" w:color="auto" w:fill="auto"/>
                    <w:vAlign w:val="center"/>
                  </w:tcPr>
                  <w:p>
                    <w:pPr>
                      <w:jc w:val="right"/>
                      <w:rPr>
                        <w:rFonts w:ascii="Times New Roman" w:hAnsi="Times New Roman"/>
                        <w:sz w:val="18"/>
                        <w:szCs w:val="18"/>
                      </w:rPr>
                    </w:pPr>
                    <w:r>
                      <w:rPr>
                        <w:rFonts w:ascii="Times New Roman" w:hAnsi="Times New Roman"/>
                        <w:sz w:val="18"/>
                        <w:szCs w:val="18"/>
                      </w:rPr>
                      <w:t>100</w:t>
                    </w:r>
                  </w:p>
                </w:tc>
                <w:tc>
                  <w:tcPr>
                    <w:tcW w:w="122" w:type="pct"/>
                    <w:shd w:val="clear" w:color="auto" w:fill="auto"/>
                    <w:vAlign w:val="center"/>
                  </w:tcPr>
                  <w:p>
                    <w:pPr>
                      <w:jc w:val="right"/>
                      <w:rPr>
                        <w:rFonts w:ascii="Times New Roman" w:hAnsi="Times New Roman"/>
                        <w:sz w:val="18"/>
                        <w:szCs w:val="18"/>
                      </w:rPr>
                    </w:pPr>
                  </w:p>
                </w:tc>
                <w:tc>
                  <w:tcPr>
                    <w:tcW w:w="122" w:type="pct"/>
                    <w:shd w:val="clear" w:color="auto" w:fill="auto"/>
                    <w:vAlign w:val="center"/>
                  </w:tcPr>
                  <w:p>
                    <w:pPr>
                      <w:jc w:val="right"/>
                      <w:rPr>
                        <w:rFonts w:ascii="Times New Roman" w:hAnsi="Times New Roman"/>
                        <w:sz w:val="18"/>
                        <w:szCs w:val="18"/>
                      </w:rPr>
                    </w:pPr>
                  </w:p>
                </w:tc>
                <w:tc>
                  <w:tcPr>
                    <w:tcW w:w="124" w:type="pct"/>
                    <w:shd w:val="clear" w:color="auto" w:fill="auto"/>
                    <w:vAlign w:val="center"/>
                  </w:tcPr>
                  <w:p>
                    <w:pPr>
                      <w:jc w:val="right"/>
                      <w:rPr>
                        <w:rFonts w:ascii="Times New Roman" w:hAnsi="Times New Roman"/>
                        <w:sz w:val="18"/>
                        <w:szCs w:val="18"/>
                      </w:rPr>
                    </w:pPr>
                  </w:p>
                </w:tc>
                <w:tc>
                  <w:tcPr>
                    <w:tcW w:w="285" w:type="pct"/>
                    <w:shd w:val="clear" w:color="auto" w:fill="auto"/>
                    <w:vAlign w:val="center"/>
                  </w:tcPr>
                  <w:p>
                    <w:pPr>
                      <w:jc w:val="right"/>
                      <w:rPr>
                        <w:rFonts w:ascii="Times New Roman" w:hAnsi="Times New Roman"/>
                        <w:sz w:val="18"/>
                        <w:szCs w:val="18"/>
                      </w:rPr>
                    </w:pPr>
                    <w:r>
                      <w:rPr>
                        <w:rFonts w:ascii="Times New Roman"/>
                        <w:sz w:val="18"/>
                        <w:szCs w:val="18"/>
                      </w:rPr>
                      <w:t>自有资金</w:t>
                    </w:r>
                  </w:p>
                </w:tc>
              </w:tr>
            </w:sdtContent>
          </w:sdt>
          <w:sdt>
            <w:sdtPr>
              <w:rPr>
                <w:rFonts w:ascii="Times New Roman" w:hAnsi="Times New Roman" w:eastAsiaTheme="minorEastAsia" w:cstheme="minorBidi"/>
                <w:kern w:val="2"/>
                <w:szCs w:val="21"/>
              </w:rPr>
              <w:alias w:val="在建工程明细"/>
              <w:tag w:val="_TUP_ddeb799b6fdf45e2b195807d1913c3bb"/>
              <w:id w:val="115238646"/>
              <w:lock w:val="sdtLocked"/>
            </w:sdtPr>
            <w:sdtEndPr>
              <w:rPr>
                <w:rFonts w:ascii="Times New Roman" w:hAnsi="Times New Roman"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4" w:type="pct"/>
                    <w:shd w:val="clear" w:color="auto" w:fill="auto"/>
                  </w:tcPr>
                  <w:p>
                    <w:pPr>
                      <w:ind w:right="105"/>
                      <w:rPr>
                        <w:rFonts w:ascii="Times New Roman" w:hAnsi="Times New Roman"/>
                        <w:szCs w:val="21"/>
                      </w:rPr>
                    </w:pPr>
                    <w:r>
                      <w:rPr>
                        <w:rFonts w:ascii="Times New Roman"/>
                      </w:rPr>
                      <w:t>两面针化妆品车间改造项目</w:t>
                    </w:r>
                  </w:p>
                </w:tc>
                <w:tc>
                  <w:tcPr>
                    <w:tcW w:w="439" w:type="pct"/>
                    <w:shd w:val="clear" w:color="auto" w:fill="auto"/>
                    <w:vAlign w:val="center"/>
                  </w:tcPr>
                  <w:p>
                    <w:pPr>
                      <w:jc w:val="right"/>
                      <w:rPr>
                        <w:rFonts w:ascii="Times New Roman" w:hAnsi="Times New Roman"/>
                        <w:sz w:val="18"/>
                        <w:szCs w:val="18"/>
                      </w:rPr>
                    </w:pPr>
                    <w:r>
                      <w:rPr>
                        <w:rFonts w:ascii="Times New Roman" w:hAnsi="Times New Roman"/>
                        <w:sz w:val="18"/>
                        <w:szCs w:val="18"/>
                      </w:rPr>
                      <w:t>2,370,000.00</w:t>
                    </w:r>
                  </w:p>
                </w:tc>
                <w:tc>
                  <w:tcPr>
                    <w:tcW w:w="658" w:type="pct"/>
                    <w:shd w:val="clear" w:color="auto" w:fill="auto"/>
                    <w:vAlign w:val="center"/>
                  </w:tcPr>
                  <w:p>
                    <w:pPr>
                      <w:jc w:val="right"/>
                      <w:rPr>
                        <w:rFonts w:ascii="Times New Roman" w:hAnsi="Times New Roman"/>
                        <w:sz w:val="18"/>
                        <w:szCs w:val="18"/>
                      </w:rPr>
                    </w:pPr>
                  </w:p>
                </w:tc>
                <w:tc>
                  <w:tcPr>
                    <w:tcW w:w="659" w:type="pct"/>
                    <w:shd w:val="clear" w:color="auto" w:fill="auto"/>
                    <w:vAlign w:val="center"/>
                  </w:tcPr>
                  <w:p>
                    <w:pPr>
                      <w:jc w:val="right"/>
                      <w:rPr>
                        <w:rFonts w:ascii="Times New Roman" w:hAnsi="Times New Roman"/>
                        <w:sz w:val="18"/>
                        <w:szCs w:val="18"/>
                      </w:rPr>
                    </w:pPr>
                    <w:r>
                      <w:rPr>
                        <w:rFonts w:ascii="Times New Roman" w:hAnsi="Times New Roman"/>
                        <w:sz w:val="18"/>
                        <w:szCs w:val="18"/>
                      </w:rPr>
                      <w:t>1,900,757.33</w:t>
                    </w:r>
                  </w:p>
                </w:tc>
                <w:tc>
                  <w:tcPr>
                    <w:tcW w:w="660" w:type="pct"/>
                    <w:shd w:val="clear" w:color="auto" w:fill="auto"/>
                    <w:vAlign w:val="center"/>
                  </w:tcPr>
                  <w:p>
                    <w:pPr>
                      <w:jc w:val="right"/>
                      <w:rPr>
                        <w:rFonts w:ascii="Times New Roman" w:hAnsi="Times New Roman"/>
                        <w:sz w:val="18"/>
                        <w:szCs w:val="18"/>
                      </w:rPr>
                    </w:pPr>
                  </w:p>
                </w:tc>
                <w:tc>
                  <w:tcPr>
                    <w:tcW w:w="157" w:type="pct"/>
                    <w:shd w:val="clear" w:color="auto" w:fill="auto"/>
                    <w:vAlign w:val="center"/>
                  </w:tcPr>
                  <w:p>
                    <w:pPr>
                      <w:jc w:val="right"/>
                      <w:rPr>
                        <w:rFonts w:ascii="Times New Roman" w:hAnsi="Times New Roman"/>
                        <w:sz w:val="18"/>
                        <w:szCs w:val="18"/>
                      </w:rPr>
                    </w:pPr>
                  </w:p>
                </w:tc>
                <w:tc>
                  <w:tcPr>
                    <w:tcW w:w="649" w:type="pct"/>
                    <w:vAlign w:val="center"/>
                  </w:tcPr>
                  <w:p>
                    <w:pPr>
                      <w:jc w:val="right"/>
                      <w:rPr>
                        <w:rFonts w:ascii="Times New Roman" w:hAnsi="Times New Roman"/>
                        <w:sz w:val="18"/>
                        <w:szCs w:val="18"/>
                      </w:rPr>
                    </w:pPr>
                    <w:r>
                      <w:rPr>
                        <w:rFonts w:ascii="Times New Roman" w:hAnsi="Times New Roman"/>
                        <w:sz w:val="18"/>
                        <w:szCs w:val="18"/>
                      </w:rPr>
                      <w:t>1,900,757.33</w:t>
                    </w:r>
                  </w:p>
                </w:tc>
                <w:tc>
                  <w:tcPr>
                    <w:tcW w:w="357" w:type="pct"/>
                    <w:shd w:val="clear" w:color="auto" w:fill="auto"/>
                    <w:vAlign w:val="center"/>
                  </w:tcPr>
                  <w:p>
                    <w:pPr>
                      <w:jc w:val="right"/>
                      <w:rPr>
                        <w:rFonts w:ascii="Times New Roman" w:hAnsi="Times New Roman"/>
                        <w:sz w:val="18"/>
                        <w:szCs w:val="18"/>
                      </w:rPr>
                    </w:pPr>
                    <w:r>
                      <w:rPr>
                        <w:rFonts w:ascii="Times New Roman" w:hAnsi="Times New Roman"/>
                        <w:sz w:val="18"/>
                        <w:szCs w:val="18"/>
                      </w:rPr>
                      <w:t>80.20</w:t>
                    </w:r>
                  </w:p>
                </w:tc>
                <w:tc>
                  <w:tcPr>
                    <w:tcW w:w="274" w:type="pct"/>
                    <w:shd w:val="clear" w:color="auto" w:fill="auto"/>
                    <w:vAlign w:val="center"/>
                  </w:tcPr>
                  <w:p>
                    <w:pPr>
                      <w:jc w:val="right"/>
                      <w:rPr>
                        <w:rFonts w:ascii="Times New Roman" w:hAnsi="Times New Roman"/>
                        <w:sz w:val="18"/>
                        <w:szCs w:val="18"/>
                      </w:rPr>
                    </w:pPr>
                    <w:r>
                      <w:rPr>
                        <w:rFonts w:ascii="Times New Roman" w:hAnsi="Times New Roman"/>
                        <w:sz w:val="18"/>
                        <w:szCs w:val="18"/>
                      </w:rPr>
                      <w:t>85</w:t>
                    </w:r>
                  </w:p>
                </w:tc>
                <w:tc>
                  <w:tcPr>
                    <w:tcW w:w="122" w:type="pct"/>
                    <w:shd w:val="clear" w:color="auto" w:fill="auto"/>
                    <w:vAlign w:val="center"/>
                  </w:tcPr>
                  <w:p>
                    <w:pPr>
                      <w:jc w:val="right"/>
                      <w:rPr>
                        <w:rFonts w:ascii="Times New Roman" w:hAnsi="Times New Roman"/>
                        <w:sz w:val="18"/>
                        <w:szCs w:val="18"/>
                      </w:rPr>
                    </w:pPr>
                  </w:p>
                </w:tc>
                <w:tc>
                  <w:tcPr>
                    <w:tcW w:w="122" w:type="pct"/>
                    <w:shd w:val="clear" w:color="auto" w:fill="auto"/>
                    <w:vAlign w:val="center"/>
                  </w:tcPr>
                  <w:p>
                    <w:pPr>
                      <w:jc w:val="right"/>
                      <w:rPr>
                        <w:rFonts w:ascii="Times New Roman" w:hAnsi="Times New Roman"/>
                        <w:sz w:val="18"/>
                        <w:szCs w:val="18"/>
                      </w:rPr>
                    </w:pPr>
                  </w:p>
                </w:tc>
                <w:tc>
                  <w:tcPr>
                    <w:tcW w:w="124" w:type="pct"/>
                    <w:shd w:val="clear" w:color="auto" w:fill="auto"/>
                    <w:vAlign w:val="center"/>
                  </w:tcPr>
                  <w:p>
                    <w:pPr>
                      <w:jc w:val="right"/>
                      <w:rPr>
                        <w:rFonts w:ascii="Times New Roman" w:hAnsi="Times New Roman"/>
                        <w:sz w:val="18"/>
                        <w:szCs w:val="18"/>
                      </w:rPr>
                    </w:pPr>
                  </w:p>
                </w:tc>
                <w:tc>
                  <w:tcPr>
                    <w:tcW w:w="285" w:type="pct"/>
                    <w:shd w:val="clear" w:color="auto" w:fill="auto"/>
                    <w:vAlign w:val="center"/>
                  </w:tcPr>
                  <w:p>
                    <w:pPr>
                      <w:jc w:val="right"/>
                      <w:rPr>
                        <w:rFonts w:ascii="Times New Roman" w:hAnsi="Times New Roman"/>
                        <w:sz w:val="18"/>
                        <w:szCs w:val="18"/>
                      </w:rPr>
                    </w:pPr>
                    <w:r>
                      <w:rPr>
                        <w:rFonts w:ascii="Times New Roman"/>
                        <w:sz w:val="18"/>
                        <w:szCs w:val="18"/>
                      </w:rPr>
                      <w:t>自有资金</w:t>
                    </w:r>
                  </w:p>
                </w:tc>
              </w:tr>
            </w:sdtContent>
          </w:sdt>
          <w:sdt>
            <w:sdtPr>
              <w:rPr>
                <w:rFonts w:ascii="Times New Roman" w:hAnsi="Times New Roman" w:eastAsiaTheme="minorEastAsia" w:cstheme="minorBidi"/>
                <w:kern w:val="2"/>
                <w:szCs w:val="21"/>
              </w:rPr>
              <w:alias w:val="在建工程明细"/>
              <w:tag w:val="_TUP_ddeb799b6fdf45e2b195807d1913c3bb"/>
              <w:id w:val="115238647"/>
              <w:lock w:val="sdtLocked"/>
            </w:sdtPr>
            <w:sdtEndPr>
              <w:rPr>
                <w:rFonts w:ascii="Times New Roman" w:hAnsi="Times New Roman"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4" w:type="pct"/>
                    <w:shd w:val="clear" w:color="auto" w:fill="auto"/>
                  </w:tcPr>
                  <w:p>
                    <w:pPr>
                      <w:ind w:right="105"/>
                      <w:rPr>
                        <w:rFonts w:ascii="Times New Roman" w:hAnsi="Times New Roman"/>
                        <w:szCs w:val="21"/>
                      </w:rPr>
                    </w:pPr>
                    <w:r>
                      <w:rPr>
                        <w:rFonts w:ascii="Times New Roman"/>
                      </w:rPr>
                      <w:t>洗护车间整改净化空调设备</w:t>
                    </w:r>
                  </w:p>
                </w:tc>
                <w:tc>
                  <w:tcPr>
                    <w:tcW w:w="439" w:type="pct"/>
                    <w:shd w:val="clear" w:color="auto" w:fill="auto"/>
                    <w:vAlign w:val="center"/>
                  </w:tcPr>
                  <w:p>
                    <w:pPr>
                      <w:jc w:val="right"/>
                      <w:rPr>
                        <w:rFonts w:ascii="Times New Roman" w:hAnsi="Times New Roman"/>
                        <w:sz w:val="18"/>
                        <w:szCs w:val="18"/>
                      </w:rPr>
                    </w:pPr>
                    <w:r>
                      <w:rPr>
                        <w:rFonts w:ascii="Times New Roman" w:hAnsi="Times New Roman"/>
                        <w:sz w:val="18"/>
                        <w:szCs w:val="18"/>
                      </w:rPr>
                      <w:t>2,050,000.00</w:t>
                    </w:r>
                  </w:p>
                </w:tc>
                <w:tc>
                  <w:tcPr>
                    <w:tcW w:w="658" w:type="pct"/>
                    <w:shd w:val="clear" w:color="auto" w:fill="auto"/>
                    <w:vAlign w:val="center"/>
                  </w:tcPr>
                  <w:p>
                    <w:pPr>
                      <w:jc w:val="right"/>
                      <w:rPr>
                        <w:rFonts w:ascii="Times New Roman" w:hAnsi="Times New Roman"/>
                        <w:sz w:val="18"/>
                        <w:szCs w:val="18"/>
                      </w:rPr>
                    </w:pPr>
                    <w:r>
                      <w:rPr>
                        <w:rFonts w:ascii="Times New Roman" w:hAnsi="Times New Roman"/>
                        <w:sz w:val="18"/>
                        <w:szCs w:val="18"/>
                      </w:rPr>
                      <w:t>1,814,159.39</w:t>
                    </w:r>
                  </w:p>
                </w:tc>
                <w:tc>
                  <w:tcPr>
                    <w:tcW w:w="659" w:type="pct"/>
                    <w:shd w:val="clear" w:color="auto" w:fill="auto"/>
                    <w:vAlign w:val="center"/>
                  </w:tcPr>
                  <w:p>
                    <w:pPr>
                      <w:jc w:val="right"/>
                      <w:rPr>
                        <w:rFonts w:ascii="Times New Roman" w:hAnsi="Times New Roman"/>
                        <w:sz w:val="18"/>
                        <w:szCs w:val="18"/>
                      </w:rPr>
                    </w:pPr>
                    <w:r>
                      <w:rPr>
                        <w:rFonts w:ascii="Times New Roman" w:hAnsi="Times New Roman"/>
                        <w:sz w:val="18"/>
                        <w:szCs w:val="18"/>
                      </w:rPr>
                      <w:t>87,128.71</w:t>
                    </w:r>
                  </w:p>
                </w:tc>
                <w:tc>
                  <w:tcPr>
                    <w:tcW w:w="660" w:type="pct"/>
                    <w:shd w:val="clear" w:color="auto" w:fill="auto"/>
                    <w:vAlign w:val="center"/>
                  </w:tcPr>
                  <w:p>
                    <w:pPr>
                      <w:jc w:val="right"/>
                      <w:rPr>
                        <w:rFonts w:ascii="Times New Roman" w:hAnsi="Times New Roman"/>
                        <w:sz w:val="18"/>
                        <w:szCs w:val="18"/>
                      </w:rPr>
                    </w:pPr>
                    <w:r>
                      <w:rPr>
                        <w:rFonts w:ascii="Times New Roman" w:hAnsi="Times New Roman"/>
                        <w:sz w:val="18"/>
                        <w:szCs w:val="18"/>
                      </w:rPr>
                      <w:t>1,901,288.10</w:t>
                    </w:r>
                  </w:p>
                </w:tc>
                <w:tc>
                  <w:tcPr>
                    <w:tcW w:w="157" w:type="pct"/>
                    <w:shd w:val="clear" w:color="auto" w:fill="auto"/>
                    <w:vAlign w:val="center"/>
                  </w:tcPr>
                  <w:p>
                    <w:pPr>
                      <w:jc w:val="right"/>
                      <w:rPr>
                        <w:rFonts w:ascii="Times New Roman" w:hAnsi="Times New Roman"/>
                        <w:sz w:val="18"/>
                        <w:szCs w:val="18"/>
                      </w:rPr>
                    </w:pPr>
                  </w:p>
                </w:tc>
                <w:tc>
                  <w:tcPr>
                    <w:tcW w:w="649" w:type="pct"/>
                    <w:vAlign w:val="center"/>
                  </w:tcPr>
                  <w:p>
                    <w:pPr>
                      <w:jc w:val="right"/>
                      <w:rPr>
                        <w:rFonts w:ascii="Times New Roman" w:hAnsi="Times New Roman"/>
                        <w:sz w:val="18"/>
                        <w:szCs w:val="18"/>
                      </w:rPr>
                    </w:pPr>
                  </w:p>
                </w:tc>
                <w:tc>
                  <w:tcPr>
                    <w:tcW w:w="357" w:type="pct"/>
                    <w:shd w:val="clear" w:color="auto" w:fill="auto"/>
                    <w:vAlign w:val="center"/>
                  </w:tcPr>
                  <w:p>
                    <w:pPr>
                      <w:jc w:val="right"/>
                      <w:rPr>
                        <w:rFonts w:ascii="Times New Roman" w:hAnsi="Times New Roman"/>
                        <w:sz w:val="18"/>
                        <w:szCs w:val="18"/>
                      </w:rPr>
                    </w:pPr>
                    <w:r>
                      <w:rPr>
                        <w:rFonts w:ascii="Times New Roman" w:hAnsi="Times New Roman"/>
                        <w:sz w:val="18"/>
                        <w:szCs w:val="18"/>
                      </w:rPr>
                      <w:t>92.75</w:t>
                    </w:r>
                  </w:p>
                </w:tc>
                <w:tc>
                  <w:tcPr>
                    <w:tcW w:w="274" w:type="pct"/>
                    <w:shd w:val="clear" w:color="auto" w:fill="auto"/>
                    <w:vAlign w:val="center"/>
                  </w:tcPr>
                  <w:p>
                    <w:pPr>
                      <w:jc w:val="right"/>
                      <w:rPr>
                        <w:rFonts w:ascii="Times New Roman" w:hAnsi="Times New Roman"/>
                        <w:sz w:val="18"/>
                        <w:szCs w:val="18"/>
                      </w:rPr>
                    </w:pPr>
                    <w:r>
                      <w:rPr>
                        <w:rFonts w:ascii="Times New Roman" w:hAnsi="Times New Roman"/>
                        <w:sz w:val="18"/>
                        <w:szCs w:val="18"/>
                      </w:rPr>
                      <w:t>100</w:t>
                    </w:r>
                  </w:p>
                </w:tc>
                <w:tc>
                  <w:tcPr>
                    <w:tcW w:w="122" w:type="pct"/>
                    <w:shd w:val="clear" w:color="auto" w:fill="auto"/>
                    <w:vAlign w:val="center"/>
                  </w:tcPr>
                  <w:p>
                    <w:pPr>
                      <w:jc w:val="right"/>
                      <w:rPr>
                        <w:rFonts w:ascii="Times New Roman" w:hAnsi="Times New Roman"/>
                        <w:sz w:val="18"/>
                        <w:szCs w:val="18"/>
                      </w:rPr>
                    </w:pPr>
                  </w:p>
                </w:tc>
                <w:tc>
                  <w:tcPr>
                    <w:tcW w:w="122" w:type="pct"/>
                    <w:shd w:val="clear" w:color="auto" w:fill="auto"/>
                    <w:vAlign w:val="center"/>
                  </w:tcPr>
                  <w:p>
                    <w:pPr>
                      <w:jc w:val="right"/>
                      <w:rPr>
                        <w:rFonts w:ascii="Times New Roman" w:hAnsi="Times New Roman"/>
                        <w:sz w:val="18"/>
                        <w:szCs w:val="18"/>
                      </w:rPr>
                    </w:pPr>
                  </w:p>
                </w:tc>
                <w:tc>
                  <w:tcPr>
                    <w:tcW w:w="124" w:type="pct"/>
                    <w:shd w:val="clear" w:color="auto" w:fill="auto"/>
                    <w:vAlign w:val="center"/>
                  </w:tcPr>
                  <w:p>
                    <w:pPr>
                      <w:jc w:val="right"/>
                      <w:rPr>
                        <w:rFonts w:ascii="Times New Roman" w:hAnsi="Times New Roman"/>
                        <w:sz w:val="18"/>
                        <w:szCs w:val="18"/>
                      </w:rPr>
                    </w:pPr>
                  </w:p>
                </w:tc>
                <w:tc>
                  <w:tcPr>
                    <w:tcW w:w="285" w:type="pct"/>
                    <w:shd w:val="clear" w:color="auto" w:fill="auto"/>
                    <w:vAlign w:val="center"/>
                  </w:tcPr>
                  <w:p>
                    <w:pPr>
                      <w:jc w:val="right"/>
                      <w:rPr>
                        <w:rFonts w:ascii="Times New Roman" w:hAnsi="Times New Roman"/>
                        <w:sz w:val="18"/>
                        <w:szCs w:val="18"/>
                      </w:rPr>
                    </w:pPr>
                    <w:r>
                      <w:rPr>
                        <w:rFonts w:ascii="Times New Roman"/>
                        <w:sz w:val="18"/>
                        <w:szCs w:val="18"/>
                      </w:rPr>
                      <w:t>自有资金</w:t>
                    </w:r>
                  </w:p>
                </w:tc>
              </w:tr>
            </w:sdtContent>
          </w:sdt>
          <w:sdt>
            <w:sdtPr>
              <w:rPr>
                <w:rFonts w:ascii="Times New Roman" w:hAnsi="Times New Roman" w:eastAsiaTheme="minorEastAsia" w:cstheme="minorBidi"/>
                <w:kern w:val="2"/>
                <w:szCs w:val="21"/>
              </w:rPr>
              <w:alias w:val="在建工程明细"/>
              <w:tag w:val="_TUP_ddeb799b6fdf45e2b195807d1913c3bb"/>
              <w:id w:val="115238648"/>
              <w:lock w:val="sdtLocked"/>
            </w:sdtPr>
            <w:sdtEndPr>
              <w:rPr>
                <w:rFonts w:ascii="Times New Roman" w:hAnsi="Times New Roman"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4" w:type="pct"/>
                    <w:shd w:val="clear" w:color="auto" w:fill="auto"/>
                  </w:tcPr>
                  <w:p>
                    <w:pPr>
                      <w:ind w:right="105"/>
                      <w:rPr>
                        <w:rFonts w:ascii="Times New Roman" w:hAnsi="Times New Roman"/>
                        <w:szCs w:val="21"/>
                      </w:rPr>
                    </w:pPr>
                    <w:r>
                      <w:rPr>
                        <w:rFonts w:ascii="Times New Roman"/>
                      </w:rPr>
                      <w:t>柳石厂区供电改造</w:t>
                    </w:r>
                  </w:p>
                </w:tc>
                <w:tc>
                  <w:tcPr>
                    <w:tcW w:w="439" w:type="pct"/>
                    <w:shd w:val="clear" w:color="auto" w:fill="auto"/>
                    <w:vAlign w:val="center"/>
                  </w:tcPr>
                  <w:p>
                    <w:pPr>
                      <w:jc w:val="right"/>
                      <w:rPr>
                        <w:rFonts w:ascii="Times New Roman" w:hAnsi="Times New Roman"/>
                        <w:sz w:val="18"/>
                        <w:szCs w:val="18"/>
                      </w:rPr>
                    </w:pPr>
                    <w:r>
                      <w:rPr>
                        <w:rFonts w:ascii="Times New Roman" w:hAnsi="Times New Roman"/>
                        <w:sz w:val="18"/>
                        <w:szCs w:val="18"/>
                      </w:rPr>
                      <w:t>1,631,000.00</w:t>
                    </w:r>
                  </w:p>
                </w:tc>
                <w:tc>
                  <w:tcPr>
                    <w:tcW w:w="658" w:type="pct"/>
                    <w:shd w:val="clear" w:color="auto" w:fill="auto"/>
                    <w:vAlign w:val="center"/>
                  </w:tcPr>
                  <w:p>
                    <w:pPr>
                      <w:jc w:val="right"/>
                      <w:rPr>
                        <w:rFonts w:ascii="Times New Roman" w:hAnsi="Times New Roman"/>
                        <w:sz w:val="18"/>
                        <w:szCs w:val="18"/>
                      </w:rPr>
                    </w:pPr>
                    <w:r>
                      <w:rPr>
                        <w:rFonts w:ascii="Times New Roman" w:hAnsi="Times New Roman"/>
                        <w:sz w:val="18"/>
                        <w:szCs w:val="18"/>
                      </w:rPr>
                      <w:t>1,316,379.32</w:t>
                    </w:r>
                  </w:p>
                </w:tc>
                <w:tc>
                  <w:tcPr>
                    <w:tcW w:w="659" w:type="pct"/>
                    <w:shd w:val="clear" w:color="auto" w:fill="auto"/>
                    <w:vAlign w:val="center"/>
                  </w:tcPr>
                  <w:p>
                    <w:pPr>
                      <w:jc w:val="right"/>
                      <w:rPr>
                        <w:rFonts w:ascii="Times New Roman" w:hAnsi="Times New Roman"/>
                        <w:sz w:val="18"/>
                        <w:szCs w:val="18"/>
                      </w:rPr>
                    </w:pPr>
                    <w:r>
                      <w:rPr>
                        <w:rFonts w:ascii="Times New Roman" w:hAnsi="Times New Roman"/>
                        <w:sz w:val="18"/>
                        <w:szCs w:val="18"/>
                      </w:rPr>
                      <w:t>140,277.13</w:t>
                    </w:r>
                  </w:p>
                </w:tc>
                <w:tc>
                  <w:tcPr>
                    <w:tcW w:w="660" w:type="pct"/>
                    <w:shd w:val="clear" w:color="auto" w:fill="auto"/>
                    <w:vAlign w:val="center"/>
                  </w:tcPr>
                  <w:p>
                    <w:pPr>
                      <w:jc w:val="right"/>
                      <w:rPr>
                        <w:rFonts w:ascii="Times New Roman" w:hAnsi="Times New Roman"/>
                        <w:sz w:val="18"/>
                        <w:szCs w:val="18"/>
                      </w:rPr>
                    </w:pPr>
                  </w:p>
                </w:tc>
                <w:tc>
                  <w:tcPr>
                    <w:tcW w:w="157" w:type="pct"/>
                    <w:shd w:val="clear" w:color="auto" w:fill="auto"/>
                    <w:vAlign w:val="center"/>
                  </w:tcPr>
                  <w:p>
                    <w:pPr>
                      <w:jc w:val="right"/>
                      <w:rPr>
                        <w:rFonts w:ascii="Times New Roman" w:hAnsi="Times New Roman"/>
                        <w:sz w:val="18"/>
                        <w:szCs w:val="18"/>
                      </w:rPr>
                    </w:pPr>
                  </w:p>
                </w:tc>
                <w:tc>
                  <w:tcPr>
                    <w:tcW w:w="649" w:type="pct"/>
                    <w:vAlign w:val="center"/>
                  </w:tcPr>
                  <w:p>
                    <w:pPr>
                      <w:jc w:val="right"/>
                      <w:rPr>
                        <w:rFonts w:ascii="Times New Roman" w:hAnsi="Times New Roman"/>
                        <w:sz w:val="18"/>
                        <w:szCs w:val="18"/>
                      </w:rPr>
                    </w:pPr>
                    <w:r>
                      <w:rPr>
                        <w:rFonts w:ascii="Times New Roman" w:hAnsi="Times New Roman"/>
                        <w:sz w:val="18"/>
                        <w:szCs w:val="18"/>
                      </w:rPr>
                      <w:t>1,456,656.45</w:t>
                    </w:r>
                  </w:p>
                </w:tc>
                <w:tc>
                  <w:tcPr>
                    <w:tcW w:w="357" w:type="pct"/>
                    <w:shd w:val="clear" w:color="auto" w:fill="auto"/>
                    <w:vAlign w:val="center"/>
                  </w:tcPr>
                  <w:p>
                    <w:pPr>
                      <w:jc w:val="right"/>
                      <w:rPr>
                        <w:rFonts w:ascii="Times New Roman" w:hAnsi="Times New Roman"/>
                        <w:sz w:val="18"/>
                        <w:szCs w:val="18"/>
                      </w:rPr>
                    </w:pPr>
                    <w:r>
                      <w:rPr>
                        <w:rFonts w:ascii="Times New Roman" w:hAnsi="Times New Roman"/>
                        <w:sz w:val="18"/>
                        <w:szCs w:val="18"/>
                      </w:rPr>
                      <w:t>89.31</w:t>
                    </w:r>
                  </w:p>
                </w:tc>
                <w:tc>
                  <w:tcPr>
                    <w:tcW w:w="274" w:type="pct"/>
                    <w:shd w:val="clear" w:color="auto" w:fill="auto"/>
                    <w:vAlign w:val="center"/>
                  </w:tcPr>
                  <w:p>
                    <w:pPr>
                      <w:jc w:val="right"/>
                      <w:rPr>
                        <w:rFonts w:ascii="Times New Roman" w:hAnsi="Times New Roman"/>
                        <w:sz w:val="18"/>
                        <w:szCs w:val="18"/>
                      </w:rPr>
                    </w:pPr>
                    <w:r>
                      <w:rPr>
                        <w:rFonts w:ascii="Times New Roman" w:hAnsi="Times New Roman"/>
                        <w:sz w:val="18"/>
                        <w:szCs w:val="18"/>
                      </w:rPr>
                      <w:t>95</w:t>
                    </w:r>
                  </w:p>
                </w:tc>
                <w:tc>
                  <w:tcPr>
                    <w:tcW w:w="122" w:type="pct"/>
                    <w:shd w:val="clear" w:color="auto" w:fill="auto"/>
                    <w:vAlign w:val="center"/>
                  </w:tcPr>
                  <w:p>
                    <w:pPr>
                      <w:jc w:val="right"/>
                      <w:rPr>
                        <w:rFonts w:ascii="Times New Roman" w:hAnsi="Times New Roman"/>
                        <w:sz w:val="18"/>
                        <w:szCs w:val="18"/>
                      </w:rPr>
                    </w:pPr>
                  </w:p>
                </w:tc>
                <w:tc>
                  <w:tcPr>
                    <w:tcW w:w="122" w:type="pct"/>
                    <w:shd w:val="clear" w:color="auto" w:fill="auto"/>
                    <w:vAlign w:val="center"/>
                  </w:tcPr>
                  <w:p>
                    <w:pPr>
                      <w:jc w:val="right"/>
                      <w:rPr>
                        <w:rFonts w:ascii="Times New Roman" w:hAnsi="Times New Roman"/>
                        <w:sz w:val="18"/>
                        <w:szCs w:val="18"/>
                      </w:rPr>
                    </w:pPr>
                  </w:p>
                </w:tc>
                <w:tc>
                  <w:tcPr>
                    <w:tcW w:w="124" w:type="pct"/>
                    <w:shd w:val="clear" w:color="auto" w:fill="auto"/>
                    <w:vAlign w:val="center"/>
                  </w:tcPr>
                  <w:p>
                    <w:pPr>
                      <w:jc w:val="right"/>
                      <w:rPr>
                        <w:rFonts w:ascii="Times New Roman" w:hAnsi="Times New Roman"/>
                        <w:sz w:val="18"/>
                        <w:szCs w:val="18"/>
                      </w:rPr>
                    </w:pPr>
                  </w:p>
                </w:tc>
                <w:tc>
                  <w:tcPr>
                    <w:tcW w:w="285" w:type="pct"/>
                    <w:shd w:val="clear" w:color="auto" w:fill="auto"/>
                    <w:vAlign w:val="center"/>
                  </w:tcPr>
                  <w:p>
                    <w:pPr>
                      <w:jc w:val="right"/>
                      <w:rPr>
                        <w:rFonts w:ascii="Times New Roman" w:hAnsi="Times New Roman"/>
                        <w:sz w:val="18"/>
                        <w:szCs w:val="18"/>
                      </w:rPr>
                    </w:pPr>
                    <w:r>
                      <w:rPr>
                        <w:rFonts w:ascii="Times New Roman"/>
                        <w:sz w:val="18"/>
                        <w:szCs w:val="18"/>
                      </w:rPr>
                      <w:t>自有资金</w:t>
                    </w:r>
                  </w:p>
                </w:tc>
              </w:tr>
            </w:sdtContent>
          </w:sdt>
          <w:sdt>
            <w:sdtPr>
              <w:rPr>
                <w:rFonts w:ascii="Times New Roman" w:hAnsi="Times New Roman" w:eastAsiaTheme="minorEastAsia" w:cstheme="minorBidi"/>
                <w:kern w:val="2"/>
                <w:szCs w:val="21"/>
              </w:rPr>
              <w:alias w:val="在建工程明细"/>
              <w:tag w:val="_TUP_ddeb799b6fdf45e2b195807d1913c3bb"/>
              <w:id w:val="115238649"/>
              <w:lock w:val="sdtLocked"/>
            </w:sdtPr>
            <w:sdtEndPr>
              <w:rPr>
                <w:rFonts w:ascii="Times New Roman" w:hAnsi="宋体"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4" w:type="pct"/>
                    <w:shd w:val="clear" w:color="auto" w:fill="auto"/>
                  </w:tcPr>
                  <w:p>
                    <w:pPr>
                      <w:ind w:right="105"/>
                      <w:rPr>
                        <w:rFonts w:ascii="Times New Roman" w:hAnsi="Times New Roman"/>
                        <w:szCs w:val="21"/>
                      </w:rPr>
                    </w:pPr>
                    <w:r>
                      <w:t>柳石厂区污水处理改造工程</w:t>
                    </w:r>
                  </w:p>
                </w:tc>
                <w:tc>
                  <w:tcPr>
                    <w:tcW w:w="439" w:type="pct"/>
                    <w:shd w:val="clear" w:color="auto" w:fill="auto"/>
                    <w:vAlign w:val="center"/>
                  </w:tcPr>
                  <w:p>
                    <w:pPr>
                      <w:jc w:val="right"/>
                      <w:rPr>
                        <w:rFonts w:ascii="Times New Roman" w:hAnsi="Times New Roman"/>
                        <w:sz w:val="18"/>
                        <w:szCs w:val="18"/>
                      </w:rPr>
                    </w:pPr>
                    <w:r>
                      <w:rPr>
                        <w:rFonts w:ascii="Times New Roman" w:hAnsi="Times New Roman"/>
                        <w:sz w:val="18"/>
                        <w:szCs w:val="18"/>
                      </w:rPr>
                      <w:t>5</w:t>
                    </w:r>
                    <w:r>
                      <w:rPr>
                        <w:rFonts w:hint="eastAsia" w:ascii="Times New Roman" w:hAnsi="Times New Roman"/>
                        <w:sz w:val="18"/>
                        <w:szCs w:val="18"/>
                      </w:rPr>
                      <w:t>,</w:t>
                    </w:r>
                    <w:r>
                      <w:rPr>
                        <w:rFonts w:ascii="Times New Roman" w:hAnsi="Times New Roman"/>
                        <w:sz w:val="18"/>
                        <w:szCs w:val="18"/>
                      </w:rPr>
                      <w:t>3</w:t>
                    </w:r>
                    <w:r>
                      <w:rPr>
                        <w:rFonts w:hint="eastAsia" w:ascii="Times New Roman" w:hAnsi="Times New Roman"/>
                        <w:sz w:val="18"/>
                        <w:szCs w:val="18"/>
                      </w:rPr>
                      <w:t>00,000</w:t>
                    </w:r>
                    <w:r>
                      <w:rPr>
                        <w:rFonts w:ascii="Times New Roman" w:hAnsi="Times New Roman"/>
                        <w:sz w:val="18"/>
                        <w:szCs w:val="18"/>
                      </w:rPr>
                      <w:t>.00</w:t>
                    </w:r>
                  </w:p>
                </w:tc>
                <w:tc>
                  <w:tcPr>
                    <w:tcW w:w="658" w:type="pct"/>
                    <w:shd w:val="clear" w:color="auto" w:fill="auto"/>
                    <w:vAlign w:val="center"/>
                  </w:tcPr>
                  <w:p>
                    <w:pPr>
                      <w:jc w:val="right"/>
                      <w:rPr>
                        <w:rFonts w:ascii="Times New Roman" w:hAnsi="Times New Roman"/>
                        <w:sz w:val="18"/>
                        <w:szCs w:val="18"/>
                      </w:rPr>
                    </w:pPr>
                  </w:p>
                </w:tc>
                <w:tc>
                  <w:tcPr>
                    <w:tcW w:w="659" w:type="pct"/>
                    <w:shd w:val="clear" w:color="auto" w:fill="auto"/>
                    <w:vAlign w:val="center"/>
                  </w:tcPr>
                  <w:p>
                    <w:pPr>
                      <w:jc w:val="right"/>
                      <w:rPr>
                        <w:rFonts w:ascii="Times New Roman" w:hAnsi="Times New Roman" w:cs="Times New Roman"/>
                        <w:sz w:val="20"/>
                        <w:szCs w:val="20"/>
                      </w:rPr>
                    </w:pPr>
                    <w:r>
                      <w:rPr>
                        <w:rFonts w:ascii="Times New Roman" w:hAnsi="Times New Roman" w:cs="Times New Roman"/>
                        <w:sz w:val="20"/>
                        <w:szCs w:val="20"/>
                      </w:rPr>
                      <w:t>3,837,013.15</w:t>
                    </w:r>
                  </w:p>
                </w:tc>
                <w:tc>
                  <w:tcPr>
                    <w:tcW w:w="660" w:type="pct"/>
                    <w:shd w:val="clear" w:color="auto" w:fill="auto"/>
                    <w:vAlign w:val="center"/>
                  </w:tcPr>
                  <w:p>
                    <w:pPr>
                      <w:jc w:val="right"/>
                      <w:rPr>
                        <w:rFonts w:ascii="Times New Roman" w:hAnsi="Times New Roman" w:cs="Times New Roman"/>
                        <w:sz w:val="20"/>
                        <w:szCs w:val="20"/>
                      </w:rPr>
                    </w:pPr>
                    <w:r>
                      <w:rPr>
                        <w:rFonts w:ascii="Times New Roman" w:hAnsi="Times New Roman" w:cs="Times New Roman"/>
                        <w:sz w:val="20"/>
                        <w:szCs w:val="20"/>
                      </w:rPr>
                      <w:t>3,837,013.15</w:t>
                    </w:r>
                  </w:p>
                </w:tc>
                <w:tc>
                  <w:tcPr>
                    <w:tcW w:w="157" w:type="pct"/>
                    <w:shd w:val="clear" w:color="auto" w:fill="auto"/>
                    <w:vAlign w:val="center"/>
                  </w:tcPr>
                  <w:p>
                    <w:pPr>
                      <w:jc w:val="right"/>
                      <w:rPr>
                        <w:rFonts w:ascii="Times New Roman" w:hAnsi="Times New Roman"/>
                        <w:sz w:val="18"/>
                        <w:szCs w:val="18"/>
                      </w:rPr>
                    </w:pPr>
                  </w:p>
                </w:tc>
                <w:tc>
                  <w:tcPr>
                    <w:tcW w:w="649" w:type="pct"/>
                    <w:vAlign w:val="center"/>
                  </w:tcPr>
                  <w:p>
                    <w:pPr>
                      <w:jc w:val="right"/>
                      <w:rPr>
                        <w:rFonts w:ascii="Times New Roman" w:hAnsi="Times New Roman"/>
                        <w:sz w:val="18"/>
                        <w:szCs w:val="18"/>
                      </w:rPr>
                    </w:pPr>
                  </w:p>
                </w:tc>
                <w:tc>
                  <w:tcPr>
                    <w:tcW w:w="357" w:type="pct"/>
                    <w:shd w:val="clear" w:color="auto" w:fill="auto"/>
                    <w:vAlign w:val="center"/>
                  </w:tcPr>
                  <w:p>
                    <w:pPr>
                      <w:rPr>
                        <w:rFonts w:ascii="Times New Roman" w:hAnsi="Times New Roman" w:cs="Times New Roman"/>
                        <w:sz w:val="20"/>
                        <w:szCs w:val="20"/>
                      </w:rPr>
                    </w:pPr>
                    <w:r>
                      <w:rPr>
                        <w:rFonts w:ascii="Times New Roman" w:hAnsi="Times New Roman" w:cs="Times New Roman"/>
                        <w:sz w:val="20"/>
                        <w:szCs w:val="20"/>
                      </w:rPr>
                      <w:t>72.40</w:t>
                    </w:r>
                  </w:p>
                </w:tc>
                <w:tc>
                  <w:tcPr>
                    <w:tcW w:w="274" w:type="pct"/>
                    <w:shd w:val="clear" w:color="auto" w:fill="auto"/>
                    <w:vAlign w:val="center"/>
                  </w:tcPr>
                  <w:p>
                    <w:pPr>
                      <w:rPr>
                        <w:rFonts w:ascii="Times New Roman" w:hAnsi="Times New Roman" w:cs="Times New Roman"/>
                        <w:sz w:val="20"/>
                        <w:szCs w:val="20"/>
                      </w:rPr>
                    </w:pPr>
                    <w:r>
                      <w:rPr>
                        <w:rFonts w:ascii="Times New Roman" w:hAnsi="Times New Roman" w:cs="Times New Roman"/>
                        <w:sz w:val="20"/>
                        <w:szCs w:val="20"/>
                      </w:rPr>
                      <w:t>100</w:t>
                    </w:r>
                  </w:p>
                </w:tc>
                <w:tc>
                  <w:tcPr>
                    <w:tcW w:w="122" w:type="pct"/>
                    <w:shd w:val="clear" w:color="auto" w:fill="auto"/>
                    <w:vAlign w:val="center"/>
                  </w:tcPr>
                  <w:p>
                    <w:pPr>
                      <w:jc w:val="right"/>
                      <w:rPr>
                        <w:rFonts w:ascii="Times New Roman" w:hAnsi="Times New Roman"/>
                        <w:sz w:val="18"/>
                        <w:szCs w:val="18"/>
                      </w:rPr>
                    </w:pPr>
                  </w:p>
                </w:tc>
                <w:tc>
                  <w:tcPr>
                    <w:tcW w:w="122" w:type="pct"/>
                    <w:shd w:val="clear" w:color="auto" w:fill="auto"/>
                    <w:vAlign w:val="center"/>
                  </w:tcPr>
                  <w:p>
                    <w:pPr>
                      <w:jc w:val="right"/>
                      <w:rPr>
                        <w:rFonts w:ascii="Times New Roman" w:hAnsi="Times New Roman"/>
                        <w:sz w:val="18"/>
                        <w:szCs w:val="18"/>
                      </w:rPr>
                    </w:pPr>
                  </w:p>
                </w:tc>
                <w:tc>
                  <w:tcPr>
                    <w:tcW w:w="124" w:type="pct"/>
                    <w:shd w:val="clear" w:color="auto" w:fill="auto"/>
                    <w:vAlign w:val="center"/>
                  </w:tcPr>
                  <w:p>
                    <w:pPr>
                      <w:jc w:val="right"/>
                      <w:rPr>
                        <w:rFonts w:ascii="Times New Roman" w:hAnsi="Times New Roman"/>
                        <w:sz w:val="18"/>
                        <w:szCs w:val="18"/>
                      </w:rPr>
                    </w:pPr>
                  </w:p>
                </w:tc>
                <w:tc>
                  <w:tcPr>
                    <w:tcW w:w="285" w:type="pct"/>
                    <w:shd w:val="clear" w:color="auto" w:fill="auto"/>
                    <w:vAlign w:val="center"/>
                  </w:tcPr>
                  <w:p>
                    <w:pPr>
                      <w:jc w:val="right"/>
                      <w:rPr>
                        <w:rFonts w:ascii="Times New Roman"/>
                        <w:sz w:val="18"/>
                        <w:szCs w:val="18"/>
                      </w:rPr>
                    </w:pPr>
                    <w:r>
                      <w:rPr>
                        <w:rFonts w:hint="eastAsia" w:ascii="Times New Roman"/>
                        <w:sz w:val="18"/>
                        <w:szCs w:val="18"/>
                      </w:rPr>
                      <w:t>自有资金</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rPr>
                <w:tag w:val="_PLD_2216f6ec60d6481d870ef3195ec544aa"/>
                <w:id w:val="115238650"/>
                <w:lock w:val="sdtLocked"/>
              </w:sdtPr>
              <w:sdtEndPr>
                <w:rPr>
                  <w:rFonts w:ascii="Times New Roman" w:hAnsi="Times New Roman"/>
                </w:rPr>
              </w:sdtEndPr>
              <w:sdtContent>
                <w:tc>
                  <w:tcPr>
                    <w:tcW w:w="494" w:type="pct"/>
                    <w:shd w:val="clear" w:color="auto" w:fill="auto"/>
                    <w:vAlign w:val="center"/>
                  </w:tcPr>
                  <w:p>
                    <w:pPr>
                      <w:ind w:right="105"/>
                      <w:jc w:val="center"/>
                      <w:rPr>
                        <w:rFonts w:ascii="Times New Roman" w:hAnsi="Times New Roman"/>
                        <w:szCs w:val="21"/>
                      </w:rPr>
                    </w:pPr>
                    <w:r>
                      <w:rPr>
                        <w:rFonts w:ascii="Times New Roman"/>
                        <w:szCs w:val="21"/>
                      </w:rPr>
                      <w:t>合计</w:t>
                    </w:r>
                  </w:p>
                </w:tc>
              </w:sdtContent>
            </w:sdt>
            <w:tc>
              <w:tcPr>
                <w:tcW w:w="439" w:type="pct"/>
                <w:shd w:val="clear" w:color="auto" w:fill="auto"/>
                <w:vAlign w:val="center"/>
              </w:tcPr>
              <w:p>
                <w:pPr>
                  <w:jc w:val="right"/>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5,351,000.00</w:t>
                </w:r>
              </w:p>
            </w:tc>
            <w:tc>
              <w:tcPr>
                <w:tcW w:w="658" w:type="pct"/>
                <w:shd w:val="clear" w:color="auto" w:fill="auto"/>
                <w:vAlign w:val="center"/>
              </w:tcPr>
              <w:p>
                <w:pPr>
                  <w:jc w:val="right"/>
                  <w:rPr>
                    <w:rFonts w:ascii="Times New Roman" w:hAnsi="Times New Roman"/>
                    <w:sz w:val="18"/>
                    <w:szCs w:val="18"/>
                  </w:rPr>
                </w:pPr>
                <w:r>
                  <w:rPr>
                    <w:rFonts w:ascii="Times New Roman" w:hAnsi="Times New Roman"/>
                    <w:sz w:val="18"/>
                    <w:szCs w:val="18"/>
                  </w:rPr>
                  <w:t>9,405,658.71</w:t>
                </w:r>
              </w:p>
            </w:tc>
            <w:tc>
              <w:tcPr>
                <w:tcW w:w="659" w:type="pct"/>
                <w:shd w:val="clear" w:color="auto" w:fill="auto"/>
                <w:vAlign w:val="center"/>
              </w:tcPr>
              <w:p>
                <w:pPr>
                  <w:rPr>
                    <w:rFonts w:ascii="Times New Roman" w:hAnsi="Times New Roman" w:cs="Times New Roman"/>
                    <w:sz w:val="20"/>
                    <w:szCs w:val="20"/>
                  </w:rPr>
                </w:pPr>
                <w:r>
                  <w:rPr>
                    <w:rFonts w:ascii="Times New Roman" w:hAnsi="Times New Roman" w:cs="Times New Roman"/>
                    <w:sz w:val="20"/>
                    <w:szCs w:val="20"/>
                  </w:rPr>
                  <w:t>5,965,176.32</w:t>
                </w:r>
              </w:p>
            </w:tc>
            <w:tc>
              <w:tcPr>
                <w:tcW w:w="660" w:type="pct"/>
                <w:shd w:val="clear" w:color="auto" w:fill="auto"/>
                <w:vAlign w:val="center"/>
              </w:tcPr>
              <w:p>
                <w:pPr>
                  <w:rPr>
                    <w:rFonts w:ascii="Times New Roman" w:hAnsi="Times New Roman" w:cs="Times New Roman"/>
                    <w:sz w:val="20"/>
                    <w:szCs w:val="20"/>
                  </w:rPr>
                </w:pPr>
                <w:r>
                  <w:rPr>
                    <w:rFonts w:ascii="Times New Roman" w:hAnsi="Times New Roman" w:cs="Times New Roman"/>
                    <w:sz w:val="20"/>
                    <w:szCs w:val="20"/>
                  </w:rPr>
                  <w:t>12,013,421.25</w:t>
                </w:r>
              </w:p>
            </w:tc>
            <w:tc>
              <w:tcPr>
                <w:tcW w:w="157" w:type="pct"/>
                <w:shd w:val="clear" w:color="auto" w:fill="auto"/>
                <w:vAlign w:val="center"/>
              </w:tcPr>
              <w:p>
                <w:pPr>
                  <w:jc w:val="right"/>
                  <w:rPr>
                    <w:rFonts w:ascii="Times New Roman" w:hAnsi="Times New Roman"/>
                    <w:sz w:val="18"/>
                    <w:szCs w:val="18"/>
                  </w:rPr>
                </w:pPr>
              </w:p>
            </w:tc>
            <w:tc>
              <w:tcPr>
                <w:tcW w:w="649" w:type="pct"/>
                <w:vAlign w:val="center"/>
              </w:tcPr>
              <w:p>
                <w:pPr>
                  <w:jc w:val="right"/>
                  <w:rPr>
                    <w:rFonts w:ascii="Times New Roman" w:hAnsi="Times New Roman"/>
                    <w:sz w:val="18"/>
                    <w:szCs w:val="18"/>
                  </w:rPr>
                </w:pPr>
                <w:r>
                  <w:rPr>
                    <w:rFonts w:ascii="Times New Roman" w:hAnsi="Times New Roman"/>
                    <w:sz w:val="18"/>
                    <w:szCs w:val="18"/>
                  </w:rPr>
                  <w:t>3,357,413.78</w:t>
                </w:r>
              </w:p>
            </w:tc>
            <w:tc>
              <w:tcPr>
                <w:tcW w:w="357" w:type="pct"/>
                <w:shd w:val="clear" w:color="auto" w:fill="auto"/>
                <w:vAlign w:val="center"/>
              </w:tcPr>
              <w:p>
                <w:pPr>
                  <w:ind w:right="174"/>
                  <w:jc w:val="right"/>
                  <w:rPr>
                    <w:rFonts w:ascii="Times New Roman" w:hAnsi="Times New Roman"/>
                    <w:sz w:val="18"/>
                    <w:szCs w:val="18"/>
                  </w:rPr>
                </w:pPr>
                <w:r>
                  <w:rPr>
                    <w:rFonts w:ascii="Times New Roman" w:hAnsi="Times New Roman"/>
                    <w:sz w:val="18"/>
                    <w:szCs w:val="18"/>
                  </w:rPr>
                  <w:t>/</w:t>
                </w:r>
              </w:p>
            </w:tc>
            <w:tc>
              <w:tcPr>
                <w:tcW w:w="274" w:type="pct"/>
                <w:shd w:val="clear" w:color="auto" w:fill="auto"/>
                <w:vAlign w:val="center"/>
              </w:tcPr>
              <w:p>
                <w:pPr>
                  <w:ind w:right="174"/>
                  <w:jc w:val="right"/>
                  <w:rPr>
                    <w:rFonts w:ascii="Times New Roman" w:hAnsi="Times New Roman"/>
                    <w:sz w:val="18"/>
                    <w:szCs w:val="18"/>
                  </w:rPr>
                </w:pPr>
                <w:r>
                  <w:rPr>
                    <w:rFonts w:ascii="Times New Roman" w:hAnsi="Times New Roman"/>
                    <w:sz w:val="18"/>
                    <w:szCs w:val="18"/>
                  </w:rPr>
                  <w:t>/</w:t>
                </w:r>
              </w:p>
            </w:tc>
            <w:tc>
              <w:tcPr>
                <w:tcW w:w="122" w:type="pct"/>
                <w:shd w:val="clear" w:color="auto" w:fill="auto"/>
                <w:vAlign w:val="center"/>
              </w:tcPr>
              <w:p>
                <w:pPr>
                  <w:jc w:val="right"/>
                  <w:rPr>
                    <w:rFonts w:ascii="Times New Roman" w:hAnsi="Times New Roman"/>
                    <w:sz w:val="18"/>
                    <w:szCs w:val="18"/>
                  </w:rPr>
                </w:pPr>
              </w:p>
            </w:tc>
            <w:tc>
              <w:tcPr>
                <w:tcW w:w="122" w:type="pct"/>
                <w:shd w:val="clear" w:color="auto" w:fill="auto"/>
                <w:vAlign w:val="center"/>
              </w:tcPr>
              <w:p>
                <w:pPr>
                  <w:jc w:val="right"/>
                  <w:rPr>
                    <w:rFonts w:ascii="Times New Roman" w:hAnsi="Times New Roman"/>
                    <w:sz w:val="18"/>
                    <w:szCs w:val="18"/>
                  </w:rPr>
                </w:pPr>
              </w:p>
            </w:tc>
            <w:tc>
              <w:tcPr>
                <w:tcW w:w="124" w:type="pct"/>
                <w:shd w:val="clear" w:color="auto" w:fill="auto"/>
                <w:vAlign w:val="center"/>
              </w:tcPr>
              <w:p>
                <w:pPr>
                  <w:ind w:right="174"/>
                  <w:jc w:val="right"/>
                  <w:rPr>
                    <w:rFonts w:ascii="Times New Roman" w:hAnsi="Times New Roman"/>
                    <w:sz w:val="18"/>
                    <w:szCs w:val="18"/>
                  </w:rPr>
                </w:pPr>
                <w:r>
                  <w:rPr>
                    <w:rFonts w:ascii="Times New Roman" w:hAnsi="Times New Roman"/>
                    <w:sz w:val="18"/>
                    <w:szCs w:val="18"/>
                  </w:rPr>
                  <w:t>/</w:t>
                </w:r>
              </w:p>
            </w:tc>
            <w:tc>
              <w:tcPr>
                <w:tcW w:w="285" w:type="pct"/>
                <w:shd w:val="clear" w:color="auto" w:fill="auto"/>
                <w:vAlign w:val="center"/>
              </w:tcPr>
              <w:p>
                <w:pPr>
                  <w:ind w:right="174"/>
                  <w:jc w:val="right"/>
                  <w:rPr>
                    <w:rFonts w:ascii="Times New Roman" w:hAnsi="Times New Roman"/>
                    <w:sz w:val="18"/>
                    <w:szCs w:val="18"/>
                  </w:rPr>
                </w:pPr>
                <w:r>
                  <w:rPr>
                    <w:rFonts w:ascii="Times New Roman" w:hAnsi="Times New Roman"/>
                    <w:sz w:val="18"/>
                    <w:szCs w:val="18"/>
                  </w:rPr>
                  <w:t>/</w:t>
                </w:r>
              </w:p>
            </w:tc>
          </w:tr>
        </w:tbl>
        <w:p/>
        <w:p>
          <w:pPr>
            <w:snapToGrid w:val="0"/>
            <w:spacing w:line="240" w:lineRule="atLeast"/>
            <w:rPr>
              <w:szCs w:val="21"/>
            </w:rPr>
          </w:pPr>
        </w:p>
      </w:sdtContent>
    </w:sdt>
    <w:sdt>
      <w:sdtPr>
        <w:rPr>
          <w:rFonts w:hint="eastAsia" w:ascii="宋体" w:hAnsi="宋体" w:eastAsia="宋体" w:cs="宋体"/>
          <w:b w:val="0"/>
          <w:bCs w:val="0"/>
          <w:kern w:val="0"/>
          <w:szCs w:val="24"/>
        </w:rPr>
        <w:alias w:val="模块:在建工程减值准备"/>
        <w:tag w:val="_SEC_0ebc618dc5604e8db1776ea7ed9e27ad"/>
        <w:id w:val="865725227"/>
        <w:lock w:val="sdtLocked"/>
        <w:placeholder>
          <w:docPart w:val="GBC22222222222222222222222222222"/>
        </w:placeholder>
      </w:sdtPr>
      <w:sdtEndPr>
        <w:rPr>
          <w:rFonts w:hint="eastAsia" w:eastAsia="宋体" w:asciiTheme="minorHAnsi" w:hAnsiTheme="minorHAnsi" w:cstheme="minorBidi"/>
          <w:b w:val="0"/>
          <w:bCs w:val="0"/>
          <w:kern w:val="2"/>
          <w:szCs w:val="22"/>
        </w:rPr>
      </w:sdtEndPr>
      <w:sdtContent>
        <w:p>
          <w:pPr>
            <w:pStyle w:val="5"/>
            <w:numPr>
              <w:ilvl w:val="3"/>
              <w:numId w:val="92"/>
            </w:numPr>
            <w:ind w:left="426" w:hanging="426"/>
          </w:pPr>
          <w:r>
            <w:rPr>
              <w:rFonts w:hint="eastAsia"/>
            </w:rPr>
            <w:t>本期计提在建工程减值准备情况</w:t>
          </w:r>
        </w:p>
        <w:sdt>
          <w:sdtPr>
            <w:alias w:val="是否适用：本期计提在建工程减值准备情况[双击切换]"/>
            <w:tag w:val="_GBC_f0a78e682a314d34a7b55dd88c219307"/>
            <w:id w:val="86572522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865725229"/>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在建工程的说明[双击切换]"/>
            <w:tag w:val="_GBC_e6220a45d928426882f5c3ad23ff2098"/>
            <w:id w:val="865725228"/>
            <w:lock w:val="sdtLocked"/>
            <w:placeholder>
              <w:docPart w:val="GBC22222222222222222222222222222"/>
            </w:placeholder>
          </w:sdtPr>
          <w:sdtEndPr>
            <w:rPr>
              <w:szCs w:val="21"/>
            </w:rPr>
          </w:sdtEndPr>
          <w:sdtContent>
            <w:p>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eastAsia="宋体" w:cstheme="minorBidi"/>
          <w:b w:val="0"/>
          <w:bCs w:val="0"/>
          <w:kern w:val="0"/>
          <w:szCs w:val="24"/>
        </w:rPr>
        <w:alias w:val="模块:工程物资"/>
        <w:tag w:val="_SEC_57646d76c9b54fbc8b0c285f81791103"/>
        <w:id w:val="865725231"/>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5"/>
            <w:ind w:left="360" w:hanging="360"/>
          </w:pPr>
          <w:bookmarkStart w:id="185" w:name="_Hlk532903321"/>
          <w:r>
            <w:rPr>
              <w:rFonts w:hint="eastAsia"/>
            </w:rPr>
            <w:t>工程物资</w:t>
          </w:r>
        </w:p>
        <w:p>
          <w:pPr>
            <w:pStyle w:val="5"/>
            <w:numPr>
              <w:ilvl w:val="3"/>
              <w:numId w:val="92"/>
            </w:numPr>
            <w:ind w:left="426" w:hanging="426"/>
          </w:pPr>
          <w:r>
            <w:rPr>
              <w:rFonts w:hint="eastAsia"/>
            </w:rPr>
            <w:t>工程物资情况</w:t>
          </w:r>
        </w:p>
        <w:sdt>
          <w:sdtPr>
            <w:alias w:val="是否适用：工程物资[双击切换]"/>
            <w:tag w:val="_GBC_91916c11fa864423a1c0e6a4024fdda5"/>
            <w:id w:val="865725230"/>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rFonts w:cstheme="minorBidi"/>
              <w:szCs w:val="21"/>
            </w:rPr>
          </w:pPr>
        </w:p>
      </w:sdtContent>
    </w:sdt>
    <w:bookmarkEnd w:id="185"/>
    <w:p>
      <w:pPr>
        <w:pStyle w:val="4"/>
        <w:numPr>
          <w:ilvl w:val="0"/>
          <w:numId w:val="79"/>
        </w:numPr>
        <w:tabs>
          <w:tab w:val="left" w:pos="504"/>
        </w:tabs>
        <w:rPr>
          <w:rFonts w:ascii="宋体" w:hAnsi="宋体"/>
          <w:szCs w:val="21"/>
        </w:rPr>
      </w:pPr>
      <w:r>
        <w:rPr>
          <w:rFonts w:hint="eastAsia" w:ascii="宋体" w:hAnsi="宋体"/>
          <w:szCs w:val="21"/>
        </w:rPr>
        <w:t>生产性生物资产</w:t>
      </w:r>
    </w:p>
    <w:sdt>
      <w:sdtPr>
        <w:rPr>
          <w:rFonts w:hint="eastAsia" w:ascii="宋体" w:hAnsi="宋体" w:eastAsia="宋体" w:cstheme="minorBidi"/>
          <w:b w:val="0"/>
          <w:bCs w:val="0"/>
          <w:kern w:val="0"/>
          <w:szCs w:val="24"/>
        </w:rPr>
        <w:alias w:val="模块:采用成成本计量模式的生产性生物资产"/>
        <w:tag w:val="_SEC_90a77fb9192246418dabc2bc031e38c0"/>
        <w:id w:val="865725233"/>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5"/>
            <w:numPr>
              <w:ilvl w:val="3"/>
              <w:numId w:val="93"/>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86572523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eastAsia="宋体" w:cstheme="minorBidi"/>
          <w:b w:val="0"/>
          <w:bCs w:val="0"/>
          <w:kern w:val="0"/>
          <w:szCs w:val="24"/>
        </w:rPr>
        <w:alias w:val="模块:采用公允价值计量模式的生产性生物资产"/>
        <w:tag w:val="_SEC_30033325948d42e88d046d357344a3ff"/>
        <w:id w:val="865725235"/>
        <w:lock w:val="sdtLocked"/>
        <w:placeholder>
          <w:docPart w:val="GBC22222222222222222222222222222"/>
        </w:placeholder>
      </w:sdtPr>
      <w:sdtEndPr>
        <w:rPr>
          <w:rFonts w:hint="eastAsia" w:eastAsia="宋体" w:asciiTheme="minorHAnsi" w:hAnsiTheme="minorHAnsi" w:cstheme="minorBidi"/>
          <w:b w:val="0"/>
          <w:bCs w:val="0"/>
          <w:kern w:val="0"/>
          <w:szCs w:val="22"/>
        </w:rPr>
      </w:sdtEndPr>
      <w:sdtContent>
        <w:p>
          <w:pPr>
            <w:pStyle w:val="5"/>
            <w:numPr>
              <w:ilvl w:val="3"/>
              <w:numId w:val="93"/>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865725234"/>
            <w:lock w:val="sdtLocked"/>
            <w:placeholder>
              <w:docPart w:val="GBC22222222222222222222222222222"/>
            </w:placeholder>
          </w:sdtPr>
          <w:sdtEndPr>
            <w:rPr>
              <w:szCs w:val="21"/>
            </w:rPr>
          </w:sdtEndPr>
          <w:sdtContent>
            <w:p>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865725237"/>
        <w:lock w:val="sdtLocked"/>
        <w:placeholder>
          <w:docPart w:val="GBC22222222222222222222222222222"/>
        </w:placeholder>
      </w:sdtPr>
      <w:sdtEndPr>
        <w:rPr>
          <w:rFonts w:hint="default"/>
          <w:szCs w:val="21"/>
        </w:rPr>
      </w:sdtEndPr>
      <w:sdtContent>
        <w:p>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865725236"/>
            <w:lock w:val="sdtLocked"/>
            <w:placeholder>
              <w:docPart w:val="GBC22222222222222222222222222222"/>
            </w:placeholder>
          </w:sdtPr>
          <w:sdtEndPr>
            <w:rPr>
              <w:szCs w:val="21"/>
            </w:rPr>
          </w:sdtEndPr>
          <w:sdtContent>
            <w:p>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油气资产"/>
        <w:tag w:val="_SEC_1c42b01146a94d2891a3a0557341368e"/>
        <w:id w:val="865725239"/>
        <w:lock w:val="sdtLocked"/>
        <w:placeholder>
          <w:docPart w:val="GBC22222222222222222222222222222"/>
        </w:placeholder>
      </w:sdtPr>
      <w:sdtEndPr>
        <w:rPr>
          <w:rFonts w:hint="default" w:ascii="宋体" w:hAnsi="宋体" w:cstheme="minorBidi"/>
          <w:b w:val="0"/>
          <w:bCs w:val="0"/>
          <w:kern w:val="2"/>
          <w:szCs w:val="21"/>
        </w:rPr>
      </w:sdtEndPr>
      <w:sdtContent>
        <w:p>
          <w:pPr>
            <w:pStyle w:val="4"/>
            <w:numPr>
              <w:ilvl w:val="0"/>
              <w:numId w:val="79"/>
            </w:numPr>
            <w:tabs>
              <w:tab w:val="left" w:pos="504"/>
            </w:tabs>
            <w:rPr>
              <w:rFonts w:ascii="宋体" w:hAnsi="宋体"/>
              <w:szCs w:val="21"/>
            </w:rPr>
          </w:pPr>
          <w:r>
            <w:rPr>
              <w:rFonts w:hint="eastAsia" w:ascii="宋体" w:hAnsi="宋体"/>
              <w:szCs w:val="21"/>
            </w:rPr>
            <w:t>油气资产</w:t>
          </w:r>
        </w:p>
        <w:sdt>
          <w:sdtPr>
            <w:alias w:val="是否适用：油气资产[双击切换]"/>
            <w:tag w:val="_GBC_a587239cd6ac4d96b99f6fe496e97c34"/>
            <w:id w:val="86572523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rPr>
              <w:szCs w:val="21"/>
            </w:rPr>
          </w:pPr>
        </w:p>
      </w:sdtContent>
    </w:sdt>
    <w:p>
      <w:pPr>
        <w:rPr>
          <w:szCs w:val="21"/>
        </w:rPr>
      </w:pPr>
    </w:p>
    <w:sdt>
      <w:sdtPr>
        <w:rPr>
          <w:rFonts w:hint="eastAsia" w:ascii="宋体" w:hAnsi="宋体" w:cs="宋体"/>
          <w:b w:val="0"/>
          <w:bCs w:val="0"/>
          <w:kern w:val="0"/>
          <w:szCs w:val="21"/>
        </w:rPr>
        <w:alias w:val="模块:使用权资产"/>
        <w:tag w:val="_SEC_56ef077439914c3f97ba31c1af9eef32"/>
        <w:id w:val="865725335"/>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79"/>
            </w:numPr>
            <w:tabs>
              <w:tab w:val="left" w:pos="504"/>
            </w:tabs>
            <w:rPr>
              <w:szCs w:val="21"/>
            </w:rPr>
          </w:pPr>
          <w:bookmarkStart w:id="186" w:name="_Hlk24026112"/>
          <w:r>
            <w:rPr>
              <w:rFonts w:hint="eastAsia"/>
              <w:szCs w:val="21"/>
            </w:rPr>
            <w:t>使用权资产</w:t>
          </w:r>
        </w:p>
        <w:sdt>
          <w:sdtPr>
            <w:alias w:val="是否适用：使用权资产[双击切换]"/>
            <w:tag w:val="_GBC_0d86ed9789d84ef592fcb1556e3f676f"/>
            <w:id w:val="86572524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8657252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8657252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9"/>
            <w:gridCol w:w="2722"/>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7b09798dbba7462cb219396c6e4e72af"/>
                <w:id w:val="865725243"/>
                <w:lock w:val="sdtLocked"/>
              </w:sdtPr>
              <w:sdtEndPr>
                <w:rPr>
                  <w:rFonts w:ascii="Times New Roman" w:hAnsi="Times New Roman" w:cs="Times New Roman"/>
                </w:rPr>
              </w:sdtEndPr>
              <w:sdtContent>
                <w:tc>
                  <w:tcPr>
                    <w:tcW w:w="1878" w:type="pct"/>
                    <w:shd w:val="clear" w:color="auto" w:fill="auto"/>
                    <w:vAlign w:val="center"/>
                  </w:tcPr>
                  <w:p>
                    <w:pPr>
                      <w:spacing w:line="240" w:lineRule="atLeast"/>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szCs w:val="21"/>
                </w:rPr>
                <w:alias w:val="使用权资产明细-项目"/>
                <w:tag w:val="_GBC_7f04c73b12384336bb657992c80f479f"/>
                <w:id w:val="865725244"/>
                <w:lock w:val="sdtLocked"/>
              </w:sdtPr>
              <w:sdtEndPr>
                <w:rPr>
                  <w:rFonts w:ascii="Times New Roman" w:hAnsi="Times New Roman" w:cs="Times New Roman"/>
                  <w:szCs w:val="21"/>
                </w:rPr>
              </w:sdtEndPr>
              <w:sdtContent>
                <w:tc>
                  <w:tcPr>
                    <w:tcW w:w="1504" w:type="pct"/>
                    <w:shd w:val="clear" w:color="auto" w:fill="auto"/>
                    <w:vAlign w:val="center"/>
                  </w:tcPr>
                  <w:p>
                    <w:pPr>
                      <w:spacing w:line="240" w:lineRule="atLeast"/>
                      <w:jc w:val="center"/>
                      <w:rPr>
                        <w:rFonts w:ascii="Times New Roman" w:hAnsi="Times New Roman" w:cs="Times New Roman"/>
                        <w:szCs w:val="21"/>
                      </w:rPr>
                    </w:pPr>
                    <w:r>
                      <w:rPr>
                        <w:rFonts w:ascii="Times New Roman" w:cs="Times New Roman"/>
                        <w:szCs w:val="21"/>
                      </w:rPr>
                      <w:t>房屋及建筑物</w:t>
                    </w:r>
                  </w:p>
                </w:tc>
              </w:sdtContent>
            </w:sdt>
            <w:sdt>
              <w:sdtPr>
                <w:rPr>
                  <w:rFonts w:ascii="Times New Roman" w:hAnsi="Times New Roman" w:cs="Times New Roman"/>
                </w:rPr>
                <w:tag w:val="_PLD_de23c83eb74848d099b5de8795b1a113"/>
                <w:id w:val="865725245"/>
                <w:lock w:val="sdtLocked"/>
              </w:sdtPr>
              <w:sdtEndPr>
                <w:rPr>
                  <w:rFonts w:ascii="Times New Roman" w:hAnsi="Times New Roman" w:cs="Times New Roman"/>
                </w:rPr>
              </w:sdtEndPr>
              <w:sdtContent>
                <w:tc>
                  <w:tcPr>
                    <w:tcW w:w="1618" w:type="pct"/>
                    <w:shd w:val="clear" w:color="auto" w:fill="auto"/>
                    <w:vAlign w:val="center"/>
                  </w:tcPr>
                  <w:p>
                    <w:pPr>
                      <w:spacing w:line="240" w:lineRule="atLeast"/>
                      <w:jc w:val="center"/>
                      <w:rPr>
                        <w:rFonts w:ascii="Times New Roman" w:hAnsi="Times New Roman" w:cs="Times New Roman"/>
                        <w:szCs w:val="21"/>
                      </w:rPr>
                    </w:pPr>
                    <w:r>
                      <w:rPr>
                        <w:rFonts w:ascii="Times New Roman" w:cs="Times New Roman"/>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3cfb69c3d1a14cada66e66f5940053cc"/>
                <w:id w:val="865725246"/>
                <w:lock w:val="sdtLocked"/>
              </w:sdtPr>
              <w:sdtEndPr>
                <w:rPr>
                  <w:rFonts w:ascii="Times New Roman" w:hAnsi="Times New Roman" w:cs="Times New Roman"/>
                </w:rPr>
              </w:sdtEndPr>
              <w:sdtContent>
                <w:tc>
                  <w:tcPr>
                    <w:tcW w:w="5000" w:type="pct"/>
                    <w:gridSpan w:val="3"/>
                    <w:shd w:val="clear" w:color="auto" w:fill="auto"/>
                    <w:vAlign w:val="center"/>
                  </w:tcPr>
                  <w:p>
                    <w:pPr>
                      <w:spacing w:line="240" w:lineRule="atLeast"/>
                      <w:rPr>
                        <w:rFonts w:ascii="Times New Roman" w:hAnsi="Times New Roman" w:cs="Times New Roman"/>
                        <w:szCs w:val="21"/>
                      </w:rPr>
                    </w:pPr>
                    <w:r>
                      <w:rPr>
                        <w:rFonts w:ascii="Times New Roman" w:cs="Times New Roman"/>
                        <w:szCs w:val="21"/>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99f446033655450fb0f09a4891e0e499"/>
                <w:id w:val="865725247"/>
                <w:lock w:val="sdtLocked"/>
              </w:sdtPr>
              <w:sdtEndPr>
                <w:rPr>
                  <w:rFonts w:ascii="Times New Roman" w:hAnsi="Times New Roman" w:cs="Times New Roman"/>
                </w:rPr>
              </w:sdtEndPr>
              <w:sdtContent>
                <w:tc>
                  <w:tcPr>
                    <w:tcW w:w="1878" w:type="pct"/>
                    <w:shd w:val="clear" w:color="auto" w:fill="auto"/>
                    <w:vAlign w:val="center"/>
                  </w:tcPr>
                  <w:p>
                    <w:pPr>
                      <w:spacing w:line="240" w:lineRule="atLeast"/>
                      <w:rPr>
                        <w:rFonts w:ascii="Times New Roman" w:hAnsi="Times New Roman" w:cs="Times New Roman"/>
                        <w:szCs w:val="21"/>
                      </w:rPr>
                    </w:pPr>
                    <w:r>
                      <w:rPr>
                        <w:rFonts w:ascii="Times New Roman" w:hAnsi="Times New Roman" w:cs="Times New Roman"/>
                        <w:szCs w:val="21"/>
                      </w:rPr>
                      <w:t xml:space="preserve">    1.</w:t>
                    </w:r>
                    <w:r>
                      <w:rPr>
                        <w:rFonts w:ascii="Times New Roman" w:cs="Times New Roman"/>
                        <w:szCs w:val="21"/>
                      </w:rPr>
                      <w:t>期初余额</w:t>
                    </w:r>
                  </w:p>
                </w:tc>
              </w:sdtContent>
            </w:sdt>
            <w:sdt>
              <w:sdtPr>
                <w:rPr>
                  <w:rFonts w:ascii="Times New Roman" w:hAnsi="Times New Roman" w:cs="Times New Roman"/>
                  <w:szCs w:val="21"/>
                </w:rPr>
                <w:alias w:val="使用权资产明细-账面原值"/>
                <w:tag w:val="_GBC_71f2eacde6d94bee8f7083e1216e64ab"/>
                <w:id w:val="865725248"/>
                <w:lock w:val="sdtLocked"/>
              </w:sdtPr>
              <w:sdtEndPr>
                <w:rPr>
                  <w:rFonts w:ascii="Times New Roman" w:hAnsi="Times New Roman" w:cs="Times New Roman"/>
                  <w:szCs w:val="21"/>
                </w:rPr>
              </w:sdtEndPr>
              <w:sdtContent>
                <w:tc>
                  <w:tcPr>
                    <w:tcW w:w="1504" w:type="pct"/>
                    <w:shd w:val="clear" w:color="auto" w:fill="auto"/>
                  </w:tcPr>
                  <w:p>
                    <w:pPr>
                      <w:spacing w:line="240" w:lineRule="atLeast"/>
                      <w:ind w:firstLine="420" w:firstLineChars="200"/>
                      <w:jc w:val="right"/>
                      <w:rPr>
                        <w:rFonts w:ascii="Times New Roman" w:hAnsi="Times New Roman" w:cs="Times New Roman"/>
                        <w:szCs w:val="21"/>
                      </w:rPr>
                    </w:pPr>
                    <w:r>
                      <w:rPr>
                        <w:rFonts w:ascii="Times New Roman" w:hAnsi="Times New Roman" w:cs="Times New Roman"/>
                        <w:szCs w:val="21"/>
                      </w:rPr>
                      <w:t>5,881,586.06</w:t>
                    </w:r>
                  </w:p>
                </w:tc>
              </w:sdtContent>
            </w:sdt>
            <w:sdt>
              <w:sdtPr>
                <w:rPr>
                  <w:rFonts w:ascii="Times New Roman" w:hAnsi="Times New Roman" w:cs="Times New Roman"/>
                  <w:szCs w:val="21"/>
                </w:rPr>
                <w:alias w:val="使用权资产账面原值"/>
                <w:tag w:val="_GBC_521c63941f1b45b08192b97068894dd8"/>
                <w:id w:val="865725249"/>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5,881,586.06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f871b1d3f3e7415d838dc599c49a258d"/>
                <w:id w:val="865725250"/>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本期增加金额</w:t>
                    </w:r>
                  </w:p>
                </w:tc>
              </w:sdtContent>
            </w:sdt>
            <w:sdt>
              <w:sdtPr>
                <w:rPr>
                  <w:rFonts w:ascii="Times New Roman" w:hAnsi="Times New Roman" w:cs="Times New Roman"/>
                  <w:szCs w:val="21"/>
                </w:rPr>
                <w:alias w:val="使用权资产明细-账面原值增加"/>
                <w:tag w:val="_GBC_53586d0a73b0466ca8be1974bae89a21"/>
                <w:id w:val="865725251"/>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1,357,636.40</w:t>
                    </w:r>
                  </w:p>
                </w:tc>
              </w:sdtContent>
            </w:sdt>
            <w:sdt>
              <w:sdtPr>
                <w:rPr>
                  <w:rFonts w:ascii="Times New Roman" w:hAnsi="Times New Roman" w:cs="Times New Roman"/>
                  <w:szCs w:val="21"/>
                </w:rPr>
                <w:alias w:val="使用权资产账面原值增加"/>
                <w:tag w:val="_GBC_cc6195f43f4d43bd98c44bc24b311f31"/>
                <w:id w:val="865725252"/>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1,357,636.40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szCs w:val="21"/>
                </w:rPr>
                <w:alias w:val="使用权资产账面原值增加项目名称"/>
                <w:tag w:val="_GBC_2f4dd0a67ca74917b2ebdf742df8c545"/>
                <w:id w:val="865725253"/>
                <w:lock w:val="sdtLocked"/>
              </w:sdtPr>
              <w:sdtEndPr>
                <w:rPr>
                  <w:rFonts w:ascii="Times New Roman" w:hAnsi="Times New Roman" w:cs="Times New Roman"/>
                  <w:szCs w:val="21"/>
                </w:rPr>
              </w:sdtEndPr>
              <w:sdtContent>
                <w:tc>
                  <w:tcPr>
                    <w:tcW w:w="1878" w:type="pct"/>
                    <w:shd w:val="clear" w:color="auto" w:fill="auto"/>
                  </w:tcPr>
                  <w:p>
                    <w:pPr>
                      <w:spacing w:line="240" w:lineRule="atLeast"/>
                      <w:ind w:firstLine="630" w:firstLineChars="3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）租入</w:t>
                    </w:r>
                  </w:p>
                </w:tc>
              </w:sdtContent>
            </w:sdt>
            <w:sdt>
              <w:sdtPr>
                <w:rPr>
                  <w:rFonts w:ascii="Times New Roman" w:hAnsi="Times New Roman" w:cs="Times New Roman"/>
                  <w:szCs w:val="21"/>
                </w:rPr>
                <w:alias w:val="使用权资产账面原值增加项目金额"/>
                <w:tag w:val="_GBC_37cee8288a274498a778511d633083e4"/>
                <w:id w:val="865725254"/>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1,357,636.40</w:t>
                    </w:r>
                  </w:p>
                </w:tc>
              </w:sdtContent>
            </w:sdt>
            <w:sdt>
              <w:sdtPr>
                <w:rPr>
                  <w:rFonts w:ascii="Times New Roman" w:hAnsi="Times New Roman" w:cs="Times New Roman"/>
                  <w:szCs w:val="21"/>
                </w:rPr>
                <w:alias w:val="使用权资产账面原值增加项目合计金额"/>
                <w:tag w:val="_GBC_3755c36b04bf459faab736fdb0c5f539"/>
                <w:id w:val="865725255"/>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1,357,636.40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bd2b1cb416464c7fad117a635429ece0"/>
                <w:id w:val="865725256"/>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本期减少金额</w:t>
                    </w:r>
                  </w:p>
                </w:tc>
              </w:sdtContent>
            </w:sdt>
            <w:sdt>
              <w:sdtPr>
                <w:rPr>
                  <w:rFonts w:ascii="Times New Roman" w:hAnsi="Times New Roman" w:cs="Times New Roman"/>
                  <w:szCs w:val="21"/>
                </w:rPr>
                <w:alias w:val="使用权资产明细-账面原值减少"/>
                <w:tag w:val="_GBC_95ddfbd2877243079a363160d1ec559e"/>
                <w:id w:val="865725257"/>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1,541,992.08</w:t>
                    </w:r>
                  </w:p>
                </w:tc>
              </w:sdtContent>
            </w:sdt>
            <w:sdt>
              <w:sdtPr>
                <w:rPr>
                  <w:rFonts w:ascii="Times New Roman" w:hAnsi="Times New Roman" w:cs="Times New Roman"/>
                  <w:szCs w:val="21"/>
                </w:rPr>
                <w:alias w:val="使用权资产账面原值减少"/>
                <w:tag w:val="_GBC_ed5aa0cc244b4603ac38c0713371ef06"/>
                <w:id w:val="865725258"/>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1,541,992.08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szCs w:val="21"/>
                </w:rPr>
                <w:alias w:val="使用权资产账面原值减少项目名称"/>
                <w:tag w:val="_GBC_513148625ece458d9466aa6ba4156a0b"/>
                <w:id w:val="865725259"/>
                <w:lock w:val="sdtLocked"/>
              </w:sdtPr>
              <w:sdtEndPr>
                <w:rPr>
                  <w:rFonts w:ascii="Times New Roman" w:hAnsi="Times New Roman" w:cs="Times New Roman"/>
                  <w:szCs w:val="21"/>
                </w:rPr>
              </w:sdtEndPr>
              <w:sdtContent>
                <w:tc>
                  <w:tcPr>
                    <w:tcW w:w="1878" w:type="pct"/>
                    <w:shd w:val="clear" w:color="auto" w:fill="auto"/>
                  </w:tcPr>
                  <w:p>
                    <w:pPr>
                      <w:spacing w:line="240" w:lineRule="atLeast"/>
                      <w:ind w:firstLine="630" w:firstLineChars="3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）转租赁为融资租赁</w:t>
                    </w:r>
                  </w:p>
                </w:tc>
              </w:sdtContent>
            </w:sdt>
            <w:sdt>
              <w:sdtPr>
                <w:rPr>
                  <w:rFonts w:ascii="Times New Roman" w:hAnsi="Times New Roman" w:cs="Times New Roman"/>
                  <w:szCs w:val="21"/>
                </w:rPr>
                <w:alias w:val="使用权资产账面原值减少项目金额"/>
                <w:tag w:val="_GBC_ac194af7c5de40c89d4b419b9578c0dc"/>
                <w:id w:val="865725260"/>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1,541,992.08</w:t>
                    </w:r>
                  </w:p>
                </w:tc>
              </w:sdtContent>
            </w:sdt>
            <w:sdt>
              <w:sdtPr>
                <w:rPr>
                  <w:rFonts w:ascii="Times New Roman" w:hAnsi="Times New Roman" w:cs="Times New Roman"/>
                  <w:szCs w:val="21"/>
                </w:rPr>
                <w:alias w:val="使用权资产账面原值减少项目合计金额"/>
                <w:tag w:val="_GBC_c518aff5785c4fc6848213161f62d22f"/>
                <w:id w:val="865725261"/>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1,541,992.08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9e8071363c6d409497785318c7ea59dd"/>
                <w:id w:val="865725262"/>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期末余额</w:t>
                    </w:r>
                  </w:p>
                </w:tc>
              </w:sdtContent>
            </w:sdt>
            <w:sdt>
              <w:sdtPr>
                <w:rPr>
                  <w:rFonts w:ascii="Times New Roman" w:hAnsi="Times New Roman" w:cs="Times New Roman"/>
                  <w:szCs w:val="21"/>
                </w:rPr>
                <w:alias w:val="使用权资产明细-账面原值"/>
                <w:tag w:val="_GBC_2e1bc8275e6c410fae1e66fdfcf9c8b7"/>
                <w:id w:val="865725263"/>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5,697,230.38</w:t>
                    </w:r>
                  </w:p>
                </w:tc>
              </w:sdtContent>
            </w:sdt>
            <w:sdt>
              <w:sdtPr>
                <w:rPr>
                  <w:rFonts w:ascii="Times New Roman" w:hAnsi="Times New Roman" w:cs="Times New Roman"/>
                  <w:szCs w:val="21"/>
                </w:rPr>
                <w:alias w:val="使用权资产账面原值"/>
                <w:tag w:val="_GBC_1d7dc110c22c41589b2eabc8f36d740c"/>
                <w:id w:val="865725264"/>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5,697,230.38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00702ab8f21b4971887044f0c9f4e291"/>
                <w:id w:val="865725265"/>
                <w:lock w:val="sdtLocked"/>
              </w:sdtPr>
              <w:sdtEndPr>
                <w:rPr>
                  <w:rFonts w:ascii="Times New Roman" w:hAnsi="Times New Roman" w:cs="Times New Roman"/>
                </w:rPr>
              </w:sdtEndPr>
              <w:sdtContent>
                <w:tc>
                  <w:tcPr>
                    <w:tcW w:w="5000" w:type="pct"/>
                    <w:gridSpan w:val="3"/>
                    <w:shd w:val="clear" w:color="auto" w:fill="auto"/>
                    <w:vAlign w:val="center"/>
                  </w:tcPr>
                  <w:p>
                    <w:pPr>
                      <w:spacing w:line="240" w:lineRule="atLeast"/>
                      <w:rPr>
                        <w:rFonts w:ascii="Times New Roman" w:hAnsi="Times New Roman" w:cs="Times New Roman"/>
                        <w:szCs w:val="21"/>
                      </w:rPr>
                    </w:pPr>
                    <w:r>
                      <w:rPr>
                        <w:rFonts w:ascii="Times New Roman" w:cs="Times New Roman"/>
                        <w:szCs w:val="21"/>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e3bc6876441f400eae58b6fde665e20b"/>
                <w:id w:val="865725266"/>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期初余额</w:t>
                    </w:r>
                  </w:p>
                </w:tc>
              </w:sdtContent>
            </w:sdt>
            <w:sdt>
              <w:sdtPr>
                <w:rPr>
                  <w:rFonts w:ascii="Times New Roman" w:hAnsi="Times New Roman" w:cs="Times New Roman"/>
                  <w:szCs w:val="21"/>
                </w:rPr>
                <w:alias w:val="使用权资产明细-累计折旧"/>
                <w:tag w:val="_GBC_1f740de3d569418a8304b3c01ba4f422"/>
                <w:id w:val="865725267"/>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3,426,725.47</w:t>
                    </w:r>
                  </w:p>
                </w:tc>
              </w:sdtContent>
            </w:sdt>
            <w:sdt>
              <w:sdtPr>
                <w:rPr>
                  <w:rFonts w:ascii="Times New Roman" w:hAnsi="Times New Roman" w:cs="Times New Roman"/>
                  <w:szCs w:val="21"/>
                </w:rPr>
                <w:alias w:val="使用权资产累计折旧"/>
                <w:tag w:val="_GBC_086c83e89d44420185255eb6707f2ab0"/>
                <w:id w:val="865725268"/>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3,426,725.47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57194369af27466fbd5bb3d44412e947"/>
                <w:id w:val="865725269"/>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本期增加金额</w:t>
                    </w:r>
                  </w:p>
                </w:tc>
              </w:sdtContent>
            </w:sdt>
            <w:sdt>
              <w:sdtPr>
                <w:rPr>
                  <w:rFonts w:ascii="Times New Roman" w:hAnsi="Times New Roman" w:cs="Times New Roman"/>
                  <w:szCs w:val="21"/>
                </w:rPr>
                <w:alias w:val="使用权资产明细-累计折旧增加"/>
                <w:tag w:val="_GBC_e2fbec15147f4d2da300e74fff0c7371"/>
                <w:id w:val="865725270"/>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855,556.79</w:t>
                    </w:r>
                  </w:p>
                </w:tc>
              </w:sdtContent>
            </w:sdt>
            <w:sdt>
              <w:sdtPr>
                <w:rPr>
                  <w:rFonts w:ascii="Times New Roman" w:hAnsi="Times New Roman" w:cs="Times New Roman"/>
                  <w:szCs w:val="21"/>
                </w:rPr>
                <w:alias w:val="使用权资产累计折旧增加"/>
                <w:tag w:val="_GBC_e1ab9058e3d34e24b31cbc8dc7763ff5"/>
                <w:id w:val="865725271"/>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855,556.79</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9110b4f175744665bcc05c9820bc7b38"/>
                <w:id w:val="865725272"/>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630" w:firstLineChars="3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计提</w:t>
                    </w:r>
                  </w:p>
                </w:tc>
              </w:sdtContent>
            </w:sdt>
            <w:sdt>
              <w:sdtPr>
                <w:rPr>
                  <w:rFonts w:ascii="Times New Roman" w:hAnsi="Times New Roman" w:cs="Times New Roman"/>
                  <w:szCs w:val="21"/>
                </w:rPr>
                <w:alias w:val="使用权资产明细-计提导致的累计折旧增加"/>
                <w:tag w:val="_GBC_df31bc72692c42788094e17d9eef6422"/>
                <w:id w:val="865725273"/>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855,556.79</w:t>
                    </w:r>
                  </w:p>
                </w:tc>
              </w:sdtContent>
            </w:sdt>
            <w:sdt>
              <w:sdtPr>
                <w:rPr>
                  <w:rFonts w:ascii="Times New Roman" w:hAnsi="Times New Roman" w:cs="Times New Roman"/>
                  <w:szCs w:val="21"/>
                </w:rPr>
                <w:alias w:val="使用权资产计提导致的累计折旧增加"/>
                <w:tag w:val="_GBC_93c28f9d05c547d0be2e22a94125d9c2"/>
                <w:id w:val="865725274"/>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855,556.79</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szCs w:val="21"/>
                </w:rPr>
                <w:alias w:val="使用权资产累计摊销增加项目名称"/>
                <w:tag w:val="_GBC_32a356e469c14d9e929e27d3844b60ba"/>
                <w:id w:val="865725275"/>
                <w:lock w:val="sdtLocked"/>
                <w:showingPlcHdr/>
              </w:sdtPr>
              <w:sdtEndPr>
                <w:rPr>
                  <w:rFonts w:ascii="Times New Roman" w:hAnsi="Times New Roman" w:cs="Times New Roman"/>
                  <w:szCs w:val="21"/>
                </w:rPr>
              </w:sdtEndPr>
              <w:sdtContent>
                <w:tc>
                  <w:tcPr>
                    <w:tcW w:w="1878" w:type="pct"/>
                    <w:shd w:val="clear" w:color="auto" w:fill="auto"/>
                  </w:tcPr>
                  <w:p>
                    <w:pPr>
                      <w:spacing w:line="240" w:lineRule="atLeast"/>
                      <w:ind w:firstLine="630" w:firstLineChars="300"/>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累计摊销增加项目金额"/>
                <w:tag w:val="_GBC_1b951ca9833040e781f6ee631c1f319d"/>
                <w:id w:val="865725276"/>
                <w:lock w:val="sdtLocked"/>
                <w:showingPlcHdr/>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累计摊销增加项目合计金额"/>
                <w:tag w:val="_GBC_2d318578c9214e5184f98a2171e12d90"/>
                <w:id w:val="865725277"/>
                <w:lock w:val="sdtLocked"/>
                <w:showingPlcHdr/>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szCs w:val="21"/>
                </w:rPr>
                <w:alias w:val="使用权资产累计摊销增加项目名称"/>
                <w:tag w:val="_GBC_32a356e469c14d9e929e27d3844b60ba"/>
                <w:id w:val="865725278"/>
                <w:lock w:val="sdtLocked"/>
                <w:showingPlcHdr/>
              </w:sdtPr>
              <w:sdtEndPr>
                <w:rPr>
                  <w:rFonts w:ascii="Times New Roman" w:hAnsi="Times New Roman" w:cs="Times New Roman"/>
                  <w:szCs w:val="21"/>
                </w:rPr>
              </w:sdtEndPr>
              <w:sdtContent>
                <w:tc>
                  <w:tcPr>
                    <w:tcW w:w="1878" w:type="pct"/>
                    <w:shd w:val="clear" w:color="auto" w:fill="auto"/>
                  </w:tcPr>
                  <w:p>
                    <w:pPr>
                      <w:spacing w:line="240" w:lineRule="atLeast"/>
                      <w:ind w:firstLine="630" w:firstLineChars="300"/>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累计摊销增加项目金额"/>
                <w:tag w:val="_GBC_1b951ca9833040e781f6ee631c1f319d"/>
                <w:id w:val="865725279"/>
                <w:lock w:val="sdtLocked"/>
                <w:showingPlcHdr/>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累计摊销增加项目合计金额"/>
                <w:tag w:val="_GBC_2d318578c9214e5184f98a2171e12d90"/>
                <w:id w:val="865725280"/>
                <w:lock w:val="sdtLocked"/>
                <w:showingPlcHdr/>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ffb8457ba6044decbeffb9517f5f3681"/>
                <w:id w:val="865725281"/>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本期减少金额</w:t>
                    </w:r>
                  </w:p>
                </w:tc>
              </w:sdtContent>
            </w:sdt>
            <w:sdt>
              <w:sdtPr>
                <w:rPr>
                  <w:rFonts w:ascii="Times New Roman" w:hAnsi="Times New Roman" w:cs="Times New Roman"/>
                  <w:szCs w:val="21"/>
                </w:rPr>
                <w:alias w:val="使用权资产明细-累计折旧减少"/>
                <w:tag w:val="_GBC_962b735944d2474e8e4726d0057ac177"/>
                <w:id w:val="865725282"/>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716,603.84</w:t>
                    </w:r>
                  </w:p>
                </w:tc>
              </w:sdtContent>
            </w:sdt>
            <w:sdt>
              <w:sdtPr>
                <w:rPr>
                  <w:rFonts w:ascii="Times New Roman" w:hAnsi="Times New Roman" w:cs="Times New Roman"/>
                  <w:szCs w:val="21"/>
                </w:rPr>
                <w:alias w:val="使用权资产累计折旧减少"/>
                <w:tag w:val="_GBC_2bd939435f584ab0a0671c8f2837d48f"/>
                <w:id w:val="865725283"/>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716,603.84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b94a1ba3da3a4511969045ac3968f2fd"/>
                <w:id w:val="865725284"/>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630" w:firstLineChars="3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处置</w:t>
                    </w:r>
                  </w:p>
                </w:tc>
              </w:sdtContent>
            </w:sdt>
            <w:sdt>
              <w:sdtPr>
                <w:rPr>
                  <w:rFonts w:ascii="Times New Roman" w:hAnsi="Times New Roman" w:cs="Times New Roman"/>
                  <w:szCs w:val="21"/>
                </w:rPr>
                <w:alias w:val="使用权资产明细-处置导致的累计折旧减少"/>
                <w:tag w:val="_GBC_b545ef9a010443de801e18316e677b88"/>
                <w:id w:val="865725285"/>
                <w:lock w:val="sdtLocked"/>
                <w:showingPlcHdr/>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处置导致的累计折旧减少"/>
                <w:tag w:val="_GBC_a4d8c2262f4d4cc49a64bd630641c65e"/>
                <w:id w:val="865725286"/>
                <w:lock w:val="sdtLocked"/>
                <w:showingPlcHdr/>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szCs w:val="21"/>
                </w:rPr>
                <w:alias w:val="使用权资产累计摊销减少项目名称"/>
                <w:tag w:val="_GBC_f291a42bb1e240b8ad1d8d115c426593"/>
                <w:id w:val="865725287"/>
                <w:lock w:val="sdtLocked"/>
              </w:sdtPr>
              <w:sdtEndPr>
                <w:rPr>
                  <w:rFonts w:ascii="Times New Roman" w:hAnsi="Times New Roman" w:cs="Times New Roman"/>
                  <w:szCs w:val="21"/>
                </w:rPr>
              </w:sdtEndPr>
              <w:sdtContent>
                <w:tc>
                  <w:tcPr>
                    <w:tcW w:w="1878" w:type="pct"/>
                    <w:shd w:val="clear" w:color="auto" w:fill="auto"/>
                  </w:tcPr>
                  <w:p>
                    <w:pPr>
                      <w:spacing w:line="240" w:lineRule="atLeast"/>
                      <w:ind w:firstLine="630" w:firstLineChars="3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2</w:t>
                    </w:r>
                    <w:r>
                      <w:rPr>
                        <w:rFonts w:ascii="Times New Roman" w:cs="Times New Roman"/>
                        <w:szCs w:val="21"/>
                      </w:rPr>
                      <w:t>）转租赁</w:t>
                    </w:r>
                  </w:p>
                </w:tc>
              </w:sdtContent>
            </w:sdt>
            <w:sdt>
              <w:sdtPr>
                <w:rPr>
                  <w:rFonts w:ascii="Times New Roman" w:hAnsi="Times New Roman" w:cs="Times New Roman"/>
                  <w:szCs w:val="21"/>
                </w:rPr>
                <w:alias w:val="使用权资产累计摊销减少项目金额"/>
                <w:tag w:val="_GBC_cbc4a5e2c9244300a92e42c37e3c7e8d"/>
                <w:id w:val="865725288"/>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716,603.84</w:t>
                    </w:r>
                  </w:p>
                </w:tc>
              </w:sdtContent>
            </w:sdt>
            <w:sdt>
              <w:sdtPr>
                <w:rPr>
                  <w:rFonts w:ascii="Times New Roman" w:hAnsi="Times New Roman" w:cs="Times New Roman"/>
                  <w:szCs w:val="21"/>
                </w:rPr>
                <w:alias w:val="使用权资产累计摊销减少项目合计金额"/>
                <w:tag w:val="_GBC_6007585d0fd743f7a53789dceed68297"/>
                <w:id w:val="865725289"/>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716,603.84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szCs w:val="21"/>
                </w:rPr>
                <w:alias w:val="使用权资产累计摊销减少项目名称"/>
                <w:tag w:val="_GBC_f291a42bb1e240b8ad1d8d115c426593"/>
                <w:id w:val="865725290"/>
                <w:lock w:val="sdtLocked"/>
                <w:showingPlcHdr/>
              </w:sdtPr>
              <w:sdtEndPr>
                <w:rPr>
                  <w:rFonts w:ascii="Times New Roman" w:hAnsi="Times New Roman" w:cs="Times New Roman"/>
                  <w:szCs w:val="21"/>
                </w:rPr>
              </w:sdtEndPr>
              <w:sdtContent>
                <w:tc>
                  <w:tcPr>
                    <w:tcW w:w="1878" w:type="pct"/>
                    <w:shd w:val="clear" w:color="auto" w:fill="auto"/>
                  </w:tcPr>
                  <w:p>
                    <w:pPr>
                      <w:spacing w:line="240" w:lineRule="atLeast"/>
                      <w:ind w:firstLine="630" w:firstLineChars="300"/>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累计摊销减少项目金额"/>
                <w:tag w:val="_GBC_cbc4a5e2c9244300a92e42c37e3c7e8d"/>
                <w:id w:val="865725291"/>
                <w:lock w:val="sdtLocked"/>
                <w:showingPlcHdr/>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累计摊销减少项目合计金额"/>
                <w:tag w:val="_GBC_6007585d0fd743f7a53789dceed68297"/>
                <w:id w:val="865725292"/>
                <w:lock w:val="sdtLocked"/>
                <w:showingPlcHdr/>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5347604f6701475381eb09445510382c"/>
                <w:id w:val="865725293"/>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期末余额</w:t>
                    </w:r>
                  </w:p>
                </w:tc>
              </w:sdtContent>
            </w:sdt>
            <w:sdt>
              <w:sdtPr>
                <w:rPr>
                  <w:rFonts w:ascii="Times New Roman" w:hAnsi="Times New Roman" w:cs="Times New Roman"/>
                  <w:szCs w:val="21"/>
                </w:rPr>
                <w:alias w:val="使用权资产明细-累计折旧"/>
                <w:tag w:val="_GBC_b312dc55cbb24754bb238e3c8f6f6c5a"/>
                <w:id w:val="865725294"/>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3,565,678.42</w:t>
                    </w:r>
                  </w:p>
                </w:tc>
              </w:sdtContent>
            </w:sdt>
            <w:sdt>
              <w:sdtPr>
                <w:rPr>
                  <w:rFonts w:ascii="Times New Roman" w:hAnsi="Times New Roman" w:cs="Times New Roman"/>
                  <w:szCs w:val="21"/>
                </w:rPr>
                <w:alias w:val="使用权资产累计折旧"/>
                <w:tag w:val="_GBC_2fe88cc8943d4e5f965d037941102cc3"/>
                <w:id w:val="865725295"/>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3,565,678.42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b1996849e36c4ffc857077dbf81b967b"/>
                <w:id w:val="865725296"/>
                <w:lock w:val="sdtLocked"/>
              </w:sdtPr>
              <w:sdtEndPr>
                <w:rPr>
                  <w:rFonts w:ascii="Times New Roman" w:hAnsi="Times New Roman" w:cs="Times New Roman"/>
                </w:rPr>
              </w:sdtEndPr>
              <w:sdtContent>
                <w:tc>
                  <w:tcPr>
                    <w:tcW w:w="5000" w:type="pct"/>
                    <w:gridSpan w:val="3"/>
                    <w:shd w:val="clear" w:color="auto" w:fill="auto"/>
                    <w:vAlign w:val="center"/>
                  </w:tcPr>
                  <w:p>
                    <w:pPr>
                      <w:spacing w:line="240" w:lineRule="atLeast"/>
                      <w:rPr>
                        <w:rFonts w:ascii="Times New Roman" w:hAnsi="Times New Roman" w:cs="Times New Roman"/>
                        <w:szCs w:val="21"/>
                      </w:rPr>
                    </w:pPr>
                    <w:r>
                      <w:rPr>
                        <w:rFonts w:ascii="Times New Roman" w:cs="Times New Roman"/>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7ea3a3b23d134ad2829e3b468703ff27"/>
                <w:id w:val="865725297"/>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期初余额</w:t>
                    </w:r>
                  </w:p>
                </w:tc>
              </w:sdtContent>
            </w:sdt>
            <w:sdt>
              <w:sdtPr>
                <w:rPr>
                  <w:rFonts w:ascii="Times New Roman" w:hAnsi="Times New Roman" w:cs="Times New Roman"/>
                  <w:szCs w:val="21"/>
                </w:rPr>
                <w:alias w:val="使用权资产明细-减值准备"/>
                <w:tag w:val="_GBC_01e92821b5c94965a45c783207e8a7bb"/>
                <w:id w:val="865725298"/>
                <w:lock w:val="sdtLocked"/>
                <w:showingPlcHdr/>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减值准备"/>
                <w:tag w:val="_GBC_d0a8d1cac1a142e1b211dc386c9cb443"/>
                <w:id w:val="865725299"/>
                <w:lock w:val="sdtLocked"/>
                <w:showingPlcHdr/>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e347673aac4a469dae4ff497d67207c9"/>
                <w:id w:val="865725300"/>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本期增加金额</w:t>
                    </w:r>
                  </w:p>
                </w:tc>
              </w:sdtContent>
            </w:sdt>
            <w:sdt>
              <w:sdtPr>
                <w:rPr>
                  <w:rFonts w:ascii="Times New Roman" w:hAnsi="Times New Roman" w:cs="Times New Roman"/>
                  <w:szCs w:val="21"/>
                </w:rPr>
                <w:alias w:val="使用权资产明细-减值准备增加"/>
                <w:tag w:val="_GBC_7924661a525641e1a26b0b01764c87b2"/>
                <w:id w:val="865725301"/>
                <w:lock w:val="sdtLocked"/>
                <w:showingPlcHdr/>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减值准备增加"/>
                <w:tag w:val="_GBC_f997e371141748ba9177ee680d83c819"/>
                <w:id w:val="865725302"/>
                <w:lock w:val="sdtLocked"/>
                <w:showingPlcHdr/>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1cd472d0826f4aa198d46accb03fa562"/>
                <w:id w:val="865725303"/>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630" w:firstLineChars="3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计提</w:t>
                    </w:r>
                  </w:p>
                </w:tc>
              </w:sdtContent>
            </w:sdt>
            <w:sdt>
              <w:sdtPr>
                <w:rPr>
                  <w:rFonts w:ascii="Times New Roman" w:hAnsi="Times New Roman" w:cs="Times New Roman"/>
                  <w:szCs w:val="21"/>
                </w:rPr>
                <w:alias w:val="使用权资产明细-计提导致的减值准备增加"/>
                <w:tag w:val="_GBC_7b790583080d49ab9ff5842c7e7f2698"/>
                <w:id w:val="865725304"/>
                <w:lock w:val="sdtLocked"/>
                <w:showingPlcHdr/>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计提导致的减值准备增加"/>
                <w:tag w:val="_GBC_ce3384ee8335410ea6f830d3328a3757"/>
                <w:id w:val="865725305"/>
                <w:lock w:val="sdtLocked"/>
                <w:showingPlcHdr/>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7b2953c923544a06899e70966833ee58"/>
                <w:id w:val="865725312"/>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本期减少金额</w:t>
                    </w:r>
                  </w:p>
                </w:tc>
              </w:sdtContent>
            </w:sdt>
            <w:sdt>
              <w:sdtPr>
                <w:rPr>
                  <w:rFonts w:ascii="Times New Roman" w:hAnsi="Times New Roman" w:cs="Times New Roman"/>
                  <w:szCs w:val="21"/>
                </w:rPr>
                <w:alias w:val="使用权资产明细-减值准备减少"/>
                <w:tag w:val="_GBC_9aca41259cc74342b7417c8345b4dd3f"/>
                <w:id w:val="865725313"/>
                <w:lock w:val="sdtLocked"/>
                <w:showingPlcHdr/>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减值准备减少"/>
                <w:tag w:val="_GBC_cf5b46e566e946088fa6abf5d0f41684"/>
                <w:id w:val="865725314"/>
                <w:lock w:val="sdtLocked"/>
                <w:showingPlcHdr/>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6774fbd1531c42faa09ca1e5e565ab08"/>
                <w:id w:val="865725315"/>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630" w:firstLineChars="3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处置</w:t>
                    </w:r>
                  </w:p>
                </w:tc>
              </w:sdtContent>
            </w:sdt>
            <w:sdt>
              <w:sdtPr>
                <w:rPr>
                  <w:rFonts w:ascii="Times New Roman" w:hAnsi="Times New Roman" w:cs="Times New Roman"/>
                  <w:szCs w:val="21"/>
                </w:rPr>
                <w:alias w:val="使用权资产明细-处置导致的减值准备减少"/>
                <w:tag w:val="_GBC_fb3479e94e50469699ef7f527f0dfa90"/>
                <w:id w:val="865725316"/>
                <w:lock w:val="sdtLocked"/>
                <w:showingPlcHdr/>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处置导致的减值准备减少"/>
                <w:tag w:val="_GBC_caba981dfa034a8bb09929661a9fa91d"/>
                <w:id w:val="865725317"/>
                <w:lock w:val="sdtLocked"/>
                <w:showingPlcHdr/>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c5aa9642ff344a19a49d93c528574b15"/>
                <w:id w:val="865725324"/>
                <w:lock w:val="sdtLocked"/>
              </w:sdtPr>
              <w:sdtEndPr>
                <w:rPr>
                  <w:rFonts w:ascii="Times New Roman" w:hAnsi="Times New Roman" w:cs="Times New Roman"/>
                </w:rPr>
              </w:sdtEndPr>
              <w:sdtContent>
                <w:tc>
                  <w:tcPr>
                    <w:tcW w:w="1878" w:type="pct"/>
                    <w:shd w:val="clear" w:color="auto" w:fill="auto"/>
                    <w:vAlign w:val="center"/>
                  </w:tcPr>
                  <w:p>
                    <w:pPr>
                      <w:spacing w:line="240" w:lineRule="atLeast"/>
                      <w:ind w:firstLine="420" w:firstLineChars="200"/>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期末余额</w:t>
                    </w:r>
                  </w:p>
                </w:tc>
              </w:sdtContent>
            </w:sdt>
            <w:sdt>
              <w:sdtPr>
                <w:rPr>
                  <w:rFonts w:ascii="Times New Roman" w:hAnsi="Times New Roman" w:cs="Times New Roman"/>
                  <w:szCs w:val="21"/>
                </w:rPr>
                <w:alias w:val="使用权资产明细-减值准备"/>
                <w:tag w:val="_GBC_4dde759fe201435db4d0d2733c61d82a"/>
                <w:id w:val="865725325"/>
                <w:lock w:val="sdtLocked"/>
                <w:showingPlcHdr/>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sdt>
              <w:sdtPr>
                <w:rPr>
                  <w:rFonts w:ascii="Times New Roman" w:hAnsi="Times New Roman" w:cs="Times New Roman"/>
                  <w:szCs w:val="21"/>
                </w:rPr>
                <w:alias w:val="使用权资产减值准备"/>
                <w:tag w:val="_GBC_7630c09652064a5e9011a2b41bc2fc8e"/>
                <w:id w:val="865725326"/>
                <w:lock w:val="sdtLocked"/>
                <w:showingPlcHdr/>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Style w:val="70"/>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2b382621feb4415d9df2a80fec7eeadf"/>
                <w:id w:val="865725327"/>
                <w:lock w:val="sdtLocked"/>
              </w:sdtPr>
              <w:sdtEndPr>
                <w:rPr>
                  <w:rFonts w:ascii="Times New Roman" w:hAnsi="Times New Roman" w:cs="Times New Roman"/>
                </w:rPr>
              </w:sdtEndPr>
              <w:sdtContent>
                <w:tc>
                  <w:tcPr>
                    <w:tcW w:w="5000" w:type="pct"/>
                    <w:gridSpan w:val="3"/>
                    <w:shd w:val="clear" w:color="auto" w:fill="auto"/>
                    <w:vAlign w:val="center"/>
                  </w:tcPr>
                  <w:p>
                    <w:pPr>
                      <w:spacing w:line="240" w:lineRule="atLeast"/>
                      <w:rPr>
                        <w:rFonts w:ascii="Times New Roman" w:hAnsi="Times New Roman" w:cs="Times New Roman"/>
                        <w:szCs w:val="21"/>
                      </w:rPr>
                    </w:pPr>
                    <w:r>
                      <w:rPr>
                        <w:rFonts w:ascii="Times New Roman" w:cs="Times New Roman"/>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c088ce54f46348089c8263708268b5b5"/>
                <w:id w:val="865725328"/>
                <w:lock w:val="sdtLocked"/>
              </w:sdtPr>
              <w:sdtEndPr>
                <w:rPr>
                  <w:rFonts w:ascii="Times New Roman" w:hAnsi="Times New Roman" w:cs="Times New Roman"/>
                </w:rPr>
              </w:sdtEndPr>
              <w:sdtContent>
                <w:tc>
                  <w:tcPr>
                    <w:tcW w:w="1878" w:type="pct"/>
                    <w:shd w:val="clear" w:color="auto" w:fill="auto"/>
                    <w:vAlign w:val="center"/>
                  </w:tcPr>
                  <w:p>
                    <w:pPr>
                      <w:spacing w:line="240" w:lineRule="atLeast"/>
                      <w:rPr>
                        <w:rFonts w:ascii="Times New Roman" w:hAnsi="Times New Roman" w:cs="Times New Roman"/>
                        <w:szCs w:val="21"/>
                      </w:rPr>
                    </w:pPr>
                    <w:r>
                      <w:rPr>
                        <w:rFonts w:ascii="Times New Roman" w:hAnsi="Times New Roman" w:cs="Times New Roman"/>
                        <w:szCs w:val="21"/>
                      </w:rPr>
                      <w:t xml:space="preserve">    1.</w:t>
                    </w:r>
                    <w:r>
                      <w:rPr>
                        <w:rFonts w:ascii="Times New Roman" w:cs="Times New Roman"/>
                        <w:szCs w:val="21"/>
                      </w:rPr>
                      <w:t>期末账面价值</w:t>
                    </w:r>
                  </w:p>
                </w:tc>
              </w:sdtContent>
            </w:sdt>
            <w:sdt>
              <w:sdtPr>
                <w:rPr>
                  <w:rFonts w:ascii="Times New Roman" w:hAnsi="Times New Roman" w:cs="Times New Roman"/>
                  <w:szCs w:val="21"/>
                </w:rPr>
                <w:alias w:val="使用权资产明细-账面价值"/>
                <w:tag w:val="_GBC_e5a82988e0e84e44821dbbca816303c3"/>
                <w:id w:val="865725329"/>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2,131,551.96</w:t>
                    </w:r>
                  </w:p>
                </w:tc>
              </w:sdtContent>
            </w:sdt>
            <w:sdt>
              <w:sdtPr>
                <w:rPr>
                  <w:rFonts w:ascii="Times New Roman" w:hAnsi="Times New Roman" w:cs="Times New Roman"/>
                  <w:szCs w:val="21"/>
                </w:rPr>
                <w:alias w:val="使用权资产"/>
                <w:tag w:val="_GBC_495cd2e718354c829476f40793121e27"/>
                <w:id w:val="865725330"/>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2,131,551.96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cs="Times New Roman"/>
                </w:rPr>
                <w:tag w:val="_PLD_d905ebbade4f4acfa8662d5d173414d1"/>
                <w:id w:val="865725331"/>
                <w:lock w:val="sdtLocked"/>
              </w:sdtPr>
              <w:sdtEndPr>
                <w:rPr>
                  <w:rFonts w:ascii="Times New Roman" w:hAnsi="Times New Roman" w:cs="Times New Roman"/>
                </w:rPr>
              </w:sdtEndPr>
              <w:sdtContent>
                <w:tc>
                  <w:tcPr>
                    <w:tcW w:w="1878" w:type="pct"/>
                    <w:shd w:val="clear" w:color="auto" w:fill="auto"/>
                    <w:vAlign w:val="center"/>
                  </w:tcPr>
                  <w:p>
                    <w:pPr>
                      <w:spacing w:line="240" w:lineRule="atLeast"/>
                      <w:rPr>
                        <w:rFonts w:ascii="Times New Roman" w:hAnsi="Times New Roman" w:cs="Times New Roman"/>
                        <w:szCs w:val="21"/>
                      </w:rPr>
                    </w:pPr>
                    <w:r>
                      <w:rPr>
                        <w:rFonts w:ascii="Times New Roman" w:hAnsi="Times New Roman" w:cs="Times New Roman"/>
                        <w:szCs w:val="21"/>
                      </w:rPr>
                      <w:t xml:space="preserve">    2.</w:t>
                    </w:r>
                    <w:r>
                      <w:rPr>
                        <w:rFonts w:ascii="Times New Roman" w:cs="Times New Roman"/>
                        <w:szCs w:val="21"/>
                      </w:rPr>
                      <w:t>期初账面价值</w:t>
                    </w:r>
                  </w:p>
                </w:tc>
              </w:sdtContent>
            </w:sdt>
            <w:sdt>
              <w:sdtPr>
                <w:rPr>
                  <w:rFonts w:ascii="Times New Roman" w:hAnsi="Times New Roman" w:cs="Times New Roman"/>
                  <w:szCs w:val="21"/>
                </w:rPr>
                <w:alias w:val="使用权资产明细-账面价值"/>
                <w:tag w:val="_GBC_d036a5851289409c9d51fb84743dae94"/>
                <w:id w:val="865725332"/>
                <w:lock w:val="sdtLocked"/>
              </w:sdtPr>
              <w:sdtEndPr>
                <w:rPr>
                  <w:rFonts w:ascii="Times New Roman" w:hAnsi="Times New Roman" w:cs="Times New Roman"/>
                  <w:szCs w:val="21"/>
                </w:rPr>
              </w:sdtEndPr>
              <w:sdtContent>
                <w:tc>
                  <w:tcPr>
                    <w:tcW w:w="1504"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2,454,860.59</w:t>
                    </w:r>
                  </w:p>
                </w:tc>
              </w:sdtContent>
            </w:sdt>
            <w:sdt>
              <w:sdtPr>
                <w:rPr>
                  <w:rFonts w:ascii="Times New Roman" w:hAnsi="Times New Roman" w:cs="Times New Roman"/>
                  <w:szCs w:val="21"/>
                </w:rPr>
                <w:alias w:val="使用权资产"/>
                <w:tag w:val="_GBC_8d1c4822b5314e1bb1e1049aaa7d3338"/>
                <w:id w:val="865725333"/>
                <w:lock w:val="sdtLocked"/>
              </w:sdtPr>
              <w:sdtEndPr>
                <w:rPr>
                  <w:rFonts w:ascii="Times New Roman" w:hAnsi="Times New Roman" w:cs="Times New Roman"/>
                  <w:szCs w:val="21"/>
                </w:rPr>
              </w:sdtEndPr>
              <w:sdtContent>
                <w:tc>
                  <w:tcPr>
                    <w:tcW w:w="1618" w:type="pct"/>
                    <w:shd w:val="clear" w:color="auto" w:fill="auto"/>
                  </w:tcPr>
                  <w:p>
                    <w:pPr>
                      <w:spacing w:line="240" w:lineRule="atLeast"/>
                      <w:jc w:val="right"/>
                      <w:rPr>
                        <w:rFonts w:ascii="Times New Roman" w:hAnsi="Times New Roman" w:cs="Times New Roman"/>
                        <w:szCs w:val="21"/>
                      </w:rPr>
                    </w:pPr>
                    <w:r>
                      <w:rPr>
                        <w:rFonts w:ascii="Times New Roman" w:hAnsi="Times New Roman" w:cs="Times New Roman"/>
                        <w:szCs w:val="21"/>
                      </w:rPr>
                      <w:t>2,454,860.59</w:t>
                    </w:r>
                  </w:p>
                </w:tc>
              </w:sdtContent>
            </w:sdt>
          </w:tr>
        </w:tbl>
        <w:p/>
        <w:p>
          <w:pPr>
            <w:autoSpaceDE w:val="0"/>
            <w:autoSpaceDN w:val="0"/>
            <w:adjustRightInd w:val="0"/>
            <w:rPr>
              <w:rFonts w:ascii="Times New Roman" w:hAnsi="Times New Roman" w:cs="Times New Roman"/>
              <w:szCs w:val="21"/>
            </w:rPr>
          </w:pPr>
          <w:r>
            <w:rPr>
              <w:rFonts w:ascii="Times New Roman" w:cs="Times New Roman"/>
              <w:szCs w:val="21"/>
            </w:rPr>
            <w:t>其他说明：</w:t>
          </w:r>
        </w:p>
        <w:sdt>
          <w:sdtPr>
            <w:rPr>
              <w:rFonts w:ascii="Times New Roman" w:hAnsi="Times New Roman" w:eastAsia="宋体" w:cs="宋体"/>
              <w:b w:val="0"/>
              <w:bCs w:val="0"/>
              <w:kern w:val="0"/>
              <w:szCs w:val="21"/>
            </w:rPr>
            <w:alias w:val="使用权资产其他说明"/>
            <w:tag w:val="_GBC_e3fedf0a332542fb99170d60bd699cf6"/>
            <w:id w:val="865725334"/>
            <w:lock w:val="sdtLocked"/>
            <w:placeholder>
              <w:docPart w:val="GBC22222222222222222222222222222"/>
            </w:placeholder>
          </w:sdtPr>
          <w:sdtEndPr>
            <w:rPr>
              <w:rFonts w:ascii="宋体" w:hAnsi="宋体" w:eastAsia="宋体" w:cs="宋体"/>
              <w:b w:val="0"/>
              <w:bCs w:val="0"/>
              <w:kern w:val="0"/>
              <w:szCs w:val="24"/>
            </w:rPr>
          </w:sdtEndPr>
          <w:sdtContent>
            <w:p>
              <w:pPr>
                <w:pStyle w:val="5"/>
                <w:keepNext w:val="0"/>
                <w:keepLines w:val="0"/>
                <w:tabs>
                  <w:tab w:val="left" w:pos="574"/>
                </w:tabs>
                <w:spacing w:before="0" w:after="0" w:line="480" w:lineRule="exact"/>
                <w:ind w:firstLine="420" w:firstLineChars="200"/>
                <w:rPr>
                  <w:rFonts w:ascii="Times New Roman" w:hAnsi="Times New Roman"/>
                  <w:b w:val="0"/>
                  <w:bCs w:val="0"/>
                  <w:color w:val="000000"/>
                  <w:szCs w:val="21"/>
                </w:rPr>
              </w:pPr>
              <w:r>
                <w:rPr>
                  <w:rFonts w:ascii="Times New Roman" w:hAnsi="宋体"/>
                  <w:b w:val="0"/>
                  <w:bCs w:val="0"/>
                  <w:color w:val="000000"/>
                  <w:szCs w:val="21"/>
                </w:rPr>
                <w:t>期初使用权资产账面价值为</w:t>
              </w:r>
              <w:r>
                <w:rPr>
                  <w:rFonts w:ascii="Times New Roman" w:hAnsi="Times New Roman"/>
                  <w:b w:val="0"/>
                  <w:bCs w:val="0"/>
                  <w:color w:val="000000"/>
                  <w:szCs w:val="21"/>
                </w:rPr>
                <w:t>2,454,860.59</w:t>
              </w:r>
              <w:r>
                <w:rPr>
                  <w:rFonts w:ascii="Times New Roman" w:hAnsi="宋体"/>
                  <w:b w:val="0"/>
                  <w:bCs w:val="0"/>
                  <w:color w:val="000000"/>
                  <w:szCs w:val="21"/>
                </w:rPr>
                <w:t>元，上年期末使用权资产账面价值为</w:t>
              </w:r>
              <w:r>
                <w:rPr>
                  <w:rFonts w:ascii="Times New Roman" w:hAnsi="Times New Roman"/>
                  <w:b w:val="0"/>
                  <w:bCs w:val="0"/>
                  <w:color w:val="000000"/>
                  <w:szCs w:val="21"/>
                </w:rPr>
                <w:t>0</w:t>
              </w:r>
              <w:r>
                <w:rPr>
                  <w:rFonts w:ascii="Times New Roman" w:hAnsi="宋体"/>
                  <w:b w:val="0"/>
                  <w:bCs w:val="0"/>
                  <w:color w:val="000000"/>
                  <w:szCs w:val="21"/>
                </w:rPr>
                <w:t>元，差异</w:t>
              </w:r>
              <w:r>
                <w:rPr>
                  <w:rFonts w:ascii="Times New Roman" w:hAnsi="Times New Roman"/>
                  <w:b w:val="0"/>
                  <w:bCs w:val="0"/>
                  <w:color w:val="000000"/>
                  <w:szCs w:val="21"/>
                </w:rPr>
                <w:t>2,454,860.59</w:t>
              </w:r>
              <w:r>
                <w:rPr>
                  <w:rFonts w:ascii="Times New Roman" w:hAnsi="宋体"/>
                  <w:b w:val="0"/>
                  <w:bCs w:val="0"/>
                  <w:color w:val="000000"/>
                  <w:szCs w:val="21"/>
                </w:rPr>
                <w:t>元系首次执行新租赁准则调整期初财务报表所致。</w:t>
              </w:r>
            </w:p>
            <w:p/>
          </w:sdtContent>
        </w:sdt>
      </w:sdtContent>
    </w:sdt>
    <w:bookmarkEnd w:id="186"/>
    <w:p>
      <w:pPr>
        <w:rPr>
          <w:szCs w:val="21"/>
        </w:rPr>
      </w:pPr>
    </w:p>
    <w:p>
      <w:pPr>
        <w:pStyle w:val="4"/>
        <w:numPr>
          <w:ilvl w:val="0"/>
          <w:numId w:val="79"/>
        </w:numPr>
        <w:tabs>
          <w:tab w:val="left" w:pos="504"/>
        </w:tabs>
        <w:rPr>
          <w:rFonts w:ascii="宋体" w:hAnsi="宋体"/>
          <w:szCs w:val="21"/>
        </w:rPr>
      </w:pPr>
      <w:r>
        <w:rPr>
          <w:rFonts w:hint="eastAsia" w:ascii="宋体" w:hAnsi="宋体"/>
          <w:szCs w:val="21"/>
        </w:rPr>
        <w:t>无形资产</w:t>
      </w:r>
    </w:p>
    <w:sdt>
      <w:sdtPr>
        <w:rPr>
          <w:rFonts w:hint="eastAsia" w:ascii="宋体" w:hAnsi="宋体" w:eastAsia="宋体" w:cs="宋体"/>
          <w:b w:val="0"/>
          <w:bCs w:val="0"/>
          <w:kern w:val="0"/>
          <w:szCs w:val="24"/>
        </w:rPr>
        <w:alias w:val="模块:无形资产情况"/>
        <w:tag w:val="_SEC_dc6f356c9a9a424bba90c1f6f28b2ab0"/>
        <w:id w:val="865725444"/>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3"/>
              <w:numId w:val="94"/>
            </w:numPr>
            <w:ind w:left="426" w:hanging="426"/>
          </w:pPr>
          <w:bookmarkStart w:id="187" w:name="_Hlk90557281"/>
          <w:r>
            <w:rPr>
              <w:rFonts w:hint="eastAsia"/>
            </w:rPr>
            <w:t>无形资产情况</w:t>
          </w:r>
        </w:p>
        <w:sdt>
          <w:sdtPr>
            <w:rPr>
              <w:rFonts w:hint="eastAsia"/>
              <w:szCs w:val="21"/>
            </w:rPr>
            <w:alias w:val="是否适用：无形资产情况[双击切换]"/>
            <w:tag w:val="_GBC_42237c7a99c64602a661c1668bc893bd"/>
            <w:id w:val="865725336"/>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8657253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8657253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582"/>
            <w:gridCol w:w="1582"/>
            <w:gridCol w:w="1477"/>
            <w:gridCol w:w="1477"/>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0d0c5c4c9acf46eaa7c41a19eb731a5c"/>
                <w:id w:val="865725339"/>
                <w:lock w:val="sdtLocked"/>
              </w:sdtPr>
              <w:sdtEndPr>
                <w:rPr>
                  <w:rFonts w:ascii="Times New Roman" w:hAnsi="Times New Roman" w:cs="Times New Roman"/>
                </w:rPr>
              </w:sdtEndPr>
              <w:sdtContent>
                <w:tc>
                  <w:tcPr>
                    <w:tcW w:w="690" w:type="pc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0dfc6d612ce04e4ab91d7f5c675c7954"/>
                <w:id w:val="865725340"/>
                <w:lock w:val="sdtLocked"/>
              </w:sdtPr>
              <w:sdtEndPr>
                <w:rPr>
                  <w:rFonts w:ascii="Times New Roman" w:hAnsi="Times New Roman" w:cs="Times New Roman"/>
                </w:rPr>
              </w:sdtEndPr>
              <w:sdtContent>
                <w:tc>
                  <w:tcPr>
                    <w:tcW w:w="874" w:type="pct"/>
                    <w:shd w:val="clear" w:color="auto" w:fill="auto"/>
                    <w:vAlign w:val="center"/>
                  </w:tcPr>
                  <w:p>
                    <w:pPr>
                      <w:jc w:val="center"/>
                      <w:rPr>
                        <w:rFonts w:ascii="Times New Roman" w:hAnsi="Times New Roman" w:cs="Times New Roman"/>
                        <w:szCs w:val="21"/>
                      </w:rPr>
                    </w:pPr>
                    <w:r>
                      <w:rPr>
                        <w:rFonts w:ascii="Times New Roman" w:cs="Times New Roman"/>
                        <w:szCs w:val="21"/>
                      </w:rPr>
                      <w:t>土地使用权</w:t>
                    </w:r>
                  </w:p>
                </w:tc>
              </w:sdtContent>
            </w:sdt>
            <w:sdt>
              <w:sdtPr>
                <w:rPr>
                  <w:rFonts w:ascii="Times New Roman" w:hAnsi="Times New Roman" w:cs="Times New Roman"/>
                </w:rPr>
                <w:tag w:val="_PLD_0d5a6bdde1fe4f6d9dcc5cb928d96ee9"/>
                <w:id w:val="865725341"/>
                <w:lock w:val="sdtLocked"/>
              </w:sdtPr>
              <w:sdtEndPr>
                <w:rPr>
                  <w:rFonts w:ascii="Times New Roman" w:hAnsi="Times New Roman" w:cs="Times New Roman"/>
                </w:rPr>
              </w:sdtEndPr>
              <w:sdtContent>
                <w:tc>
                  <w:tcPr>
                    <w:tcW w:w="874" w:type="pct"/>
                    <w:shd w:val="clear" w:color="auto" w:fill="auto"/>
                    <w:vAlign w:val="center"/>
                  </w:tcPr>
                  <w:p>
                    <w:pPr>
                      <w:jc w:val="center"/>
                      <w:rPr>
                        <w:rFonts w:ascii="Times New Roman" w:hAnsi="Times New Roman" w:cs="Times New Roman"/>
                        <w:szCs w:val="21"/>
                      </w:rPr>
                    </w:pPr>
                    <w:r>
                      <w:rPr>
                        <w:rFonts w:ascii="Times New Roman" w:cs="Times New Roman"/>
                        <w:szCs w:val="21"/>
                      </w:rPr>
                      <w:t>专利权</w:t>
                    </w:r>
                  </w:p>
                </w:tc>
              </w:sdtContent>
            </w:sdt>
            <w:sdt>
              <w:sdtPr>
                <w:rPr>
                  <w:rFonts w:ascii="Times New Roman" w:hAnsi="Times New Roman" w:cs="Times New Roman"/>
                </w:rPr>
                <w:tag w:val="_PLD_c4e41ad8ec594f0dafd60ebc1a7da7ce"/>
                <w:id w:val="865725342"/>
                <w:lock w:val="sdtLocked"/>
              </w:sdtPr>
              <w:sdtEndPr>
                <w:rPr>
                  <w:rFonts w:ascii="Times New Roman" w:hAnsi="Times New Roman" w:cs="Times New Roman"/>
                </w:rPr>
              </w:sdtEndPr>
              <w:sdtContent>
                <w:tc>
                  <w:tcPr>
                    <w:tcW w:w="816" w:type="pct"/>
                    <w:shd w:val="clear" w:color="auto" w:fill="auto"/>
                    <w:vAlign w:val="center"/>
                  </w:tcPr>
                  <w:p>
                    <w:pPr>
                      <w:jc w:val="center"/>
                      <w:rPr>
                        <w:rFonts w:ascii="Times New Roman" w:hAnsi="Times New Roman" w:cs="Times New Roman"/>
                        <w:szCs w:val="21"/>
                      </w:rPr>
                    </w:pPr>
                    <w:r>
                      <w:rPr>
                        <w:rFonts w:ascii="Times New Roman" w:cs="Times New Roman"/>
                        <w:szCs w:val="21"/>
                      </w:rPr>
                      <w:t>非专利技术</w:t>
                    </w:r>
                  </w:p>
                </w:tc>
              </w:sdtContent>
            </w:sdt>
            <w:sdt>
              <w:sdtPr>
                <w:rPr>
                  <w:rFonts w:ascii="Times New Roman" w:hAnsi="Times New Roman" w:cs="Times New Roman"/>
                  <w:szCs w:val="21"/>
                </w:rPr>
                <w:alias w:val="无形资产明细－项目"/>
                <w:tag w:val="_GBC_1a0001be34594900ba0c5e610a635d50"/>
                <w:id w:val="865725343"/>
                <w:lock w:val="sdtLocked"/>
              </w:sdtPr>
              <w:sdtEndPr>
                <w:rPr>
                  <w:rFonts w:ascii="Times New Roman" w:hAnsi="Times New Roman" w:cs="Times New Roman"/>
                  <w:szCs w:val="21"/>
                </w:rPr>
              </w:sdtEndPr>
              <w:sdtContent>
                <w:tc>
                  <w:tcPr>
                    <w:tcW w:w="816" w:type="pct"/>
                    <w:shd w:val="clear" w:color="auto" w:fill="auto"/>
                    <w:vAlign w:val="center"/>
                  </w:tcPr>
                  <w:p>
                    <w:pPr>
                      <w:jc w:val="center"/>
                      <w:rPr>
                        <w:rFonts w:ascii="Times New Roman" w:hAnsi="Times New Roman" w:cs="Times New Roman"/>
                        <w:szCs w:val="21"/>
                      </w:rPr>
                    </w:pPr>
                    <w:r>
                      <w:rPr>
                        <w:rFonts w:ascii="Times New Roman" w:cs="Times New Roman"/>
                        <w:szCs w:val="21"/>
                      </w:rPr>
                      <w:t>办公软件</w:t>
                    </w:r>
                  </w:p>
                </w:tc>
              </w:sdtContent>
            </w:sdt>
            <w:sdt>
              <w:sdtPr>
                <w:rPr>
                  <w:rFonts w:ascii="Times New Roman" w:hAnsi="Times New Roman" w:cs="Times New Roman"/>
                </w:rPr>
                <w:tag w:val="_PLD_010a173744294c79817b77db863e3438"/>
                <w:id w:val="865725344"/>
                <w:lock w:val="sdtLocked"/>
              </w:sdtPr>
              <w:sdtEndPr>
                <w:rPr>
                  <w:rFonts w:ascii="Times New Roman" w:hAnsi="Times New Roman" w:cs="Times New Roman"/>
                </w:rPr>
              </w:sdtEndPr>
              <w:sdtContent>
                <w:tc>
                  <w:tcPr>
                    <w:tcW w:w="932" w:type="pct"/>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d38b2136312a4180852ade61efe6b93c"/>
                <w:id w:val="865725345"/>
                <w:lock w:val="sdtLocked"/>
              </w:sdtPr>
              <w:sdtEndPr>
                <w:rPr>
                  <w:rFonts w:ascii="Times New Roman" w:hAnsi="Times New Roman" w:cs="Times New Roman"/>
                </w:rPr>
              </w:sdtEndPr>
              <w:sdtContent>
                <w:tc>
                  <w:tcPr>
                    <w:tcW w:w="5000" w:type="pct"/>
                    <w:gridSpan w:val="6"/>
                    <w:shd w:val="clear" w:color="auto" w:fill="auto"/>
                    <w:vAlign w:val="center"/>
                  </w:tcPr>
                  <w:p>
                    <w:pPr>
                      <w:rPr>
                        <w:rFonts w:ascii="Times New Roman" w:hAnsi="Times New Roman" w:cs="Times New Roman"/>
                        <w:szCs w:val="21"/>
                      </w:rPr>
                    </w:pPr>
                    <w:r>
                      <w:rPr>
                        <w:rFonts w:ascii="Times New Roman" w:cs="Times New Roman"/>
                        <w:szCs w:val="21"/>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c5adbbf7566848428d517f50646b04c1"/>
                <w:id w:val="865725346"/>
                <w:lock w:val="sdtLocked"/>
              </w:sdtPr>
              <w:sdtEndPr>
                <w:rPr>
                  <w:rFonts w:ascii="Times New Roman" w:hAnsi="Times New Roman" w:cs="Times New Roman"/>
                </w:rPr>
              </w:sdtEndPr>
              <w:sdtContent>
                <w:tc>
                  <w:tcPr>
                    <w:tcW w:w="690" w:type="pct"/>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    1.</w:t>
                    </w:r>
                    <w:r>
                      <w:rPr>
                        <w:rFonts w:ascii="Times New Roman" w:cs="Times New Roman"/>
                        <w:szCs w:val="21"/>
                      </w:rPr>
                      <w:t>期初余额</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99,871,635.04</w:t>
                </w: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10,129,305.52</w:t>
                </w: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1,289,700.00</w:t>
                </w: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4,838,716.79</w:t>
                </w: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116,129,357.35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0b446630b07f4e06a5d143f4d4a21911"/>
                <w:id w:val="865725347"/>
                <w:lock w:val="sdtLocked"/>
              </w:sdtPr>
              <w:sdtEndPr>
                <w:rPr>
                  <w:rFonts w:ascii="Times New Roman" w:hAnsi="Times New Roman" w:cs="Times New Roman"/>
                </w:rPr>
              </w:sdtEndPr>
              <w:sdtContent>
                <w:tc>
                  <w:tcPr>
                    <w:tcW w:w="690" w:type="pct"/>
                    <w:shd w:val="clear" w:color="auto" w:fill="auto"/>
                    <w:vAlign w:val="center"/>
                  </w:tcPr>
                  <w:p>
                    <w:pPr>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本期增加金额</w:t>
                    </w:r>
                  </w:p>
                </w:tc>
              </w:sdtContent>
            </w:sdt>
            <w:tc>
              <w:tcPr>
                <w:tcW w:w="874"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932"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add88995250b4c76b28f71f8876082c0"/>
                <w:id w:val="865725348"/>
                <w:lock w:val="sdtLocked"/>
              </w:sdtPr>
              <w:sdtEndPr>
                <w:rPr>
                  <w:rFonts w:ascii="Times New Roman" w:hAnsi="Times New Roman" w:cs="Times New Roman"/>
                </w:rPr>
              </w:sdtEndPr>
              <w:sdtContent>
                <w:tc>
                  <w:tcPr>
                    <w:tcW w:w="690" w:type="pct"/>
                    <w:shd w:val="clear" w:color="auto" w:fill="auto"/>
                    <w:vAlign w:val="center"/>
                  </w:tcPr>
                  <w:p>
                    <w:pPr>
                      <w:ind w:firstLine="630" w:firstLineChars="3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购置</w:t>
                    </w:r>
                  </w:p>
                </w:tc>
              </w:sdtContent>
            </w:sdt>
            <w:tc>
              <w:tcPr>
                <w:tcW w:w="874"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932"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c066ab7eb447440385f68a3f33860975"/>
                <w:id w:val="865725349"/>
                <w:lock w:val="sdtLocked"/>
              </w:sdtPr>
              <w:sdtEndPr>
                <w:rPr>
                  <w:rFonts w:ascii="Times New Roman" w:hAnsi="Times New Roman" w:cs="Times New Roman"/>
                </w:rPr>
              </w:sdtEndPr>
              <w:sdtContent>
                <w:tc>
                  <w:tcPr>
                    <w:tcW w:w="690" w:type="pct"/>
                    <w:shd w:val="clear" w:color="auto" w:fill="auto"/>
                    <w:vAlign w:val="center"/>
                  </w:tcPr>
                  <w:p>
                    <w:pPr>
                      <w:ind w:firstLine="630" w:firstLineChars="3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内部研发</w:t>
                    </w:r>
                  </w:p>
                </w:tc>
              </w:sdtContent>
            </w:sdt>
            <w:tc>
              <w:tcPr>
                <w:tcW w:w="874"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932" w:type="pct"/>
                <w:shd w:val="clear" w:color="auto" w:fill="auto"/>
                <w:vAlign w:val="center"/>
              </w:tcPr>
              <w:p>
                <w:pPr>
                  <w:jc w:val="right"/>
                  <w:rPr>
                    <w:rFonts w:ascii="Times New Roman" w:hAnsi="Times New Roman" w:cs="Times New Roman"/>
                    <w:szCs w:val="21"/>
                  </w:rPr>
                </w:pPr>
              </w:p>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303e6907290e43d49520d2c4d3577b0b"/>
                <w:id w:val="865725350"/>
                <w:lock w:val="sdtLocked"/>
              </w:sdtPr>
              <w:sdtEndPr>
                <w:rPr>
                  <w:rFonts w:ascii="Times New Roman" w:hAnsi="Times New Roman" w:cs="Times New Roman"/>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企业合并增加</w:t>
                    </w:r>
                  </w:p>
                </w:tc>
              </w:sdtContent>
            </w:sdt>
            <w:tc>
              <w:tcPr>
                <w:tcW w:w="874"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932"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sdt>
              <w:sdtPr>
                <w:rPr>
                  <w:rFonts w:ascii="Times New Roman" w:hAnsi="Times New Roman" w:cs="Times New Roman"/>
                  <w:szCs w:val="21"/>
                </w:rPr>
                <w:alias w:val="无形资产账面原值增加项目名称"/>
                <w:tag w:val="_GBC_d6a7b28bd7ca4aa39125f2767fd9ab9f"/>
                <w:id w:val="865725351"/>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账面原值增加项目金额"/>
                <w:tag w:val="_GBC_9d8bf2f510cd46118a3d12ca31768262"/>
                <w:id w:val="865725352"/>
                <w:lock w:val="sdtLocked"/>
                <w:showingPlcHdr/>
              </w:sdtPr>
              <w:sdtEndPr>
                <w:rPr>
                  <w:rFonts w:ascii="Times New Roman" w:hAnsi="Times New Roman" w:cs="Times New Roman"/>
                  <w:szCs w:val="21"/>
                </w:rPr>
              </w:sdtEndPr>
              <w:sdtContent>
                <w:tc>
                  <w:tcPr>
                    <w:tcW w:w="874"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权账面原值增加项目金额"/>
                <w:tag w:val="_GBC_76a1494991a248419118ce24b127e7dd"/>
                <w:id w:val="865725353"/>
                <w:lock w:val="sdtLocked"/>
                <w:showingPlcHdr/>
              </w:sdtPr>
              <w:sdtEndPr>
                <w:rPr>
                  <w:rFonts w:ascii="Times New Roman" w:hAnsi="Times New Roman" w:cs="Times New Roman"/>
                  <w:szCs w:val="21"/>
                </w:rPr>
              </w:sdtEndPr>
              <w:sdtContent>
                <w:tc>
                  <w:tcPr>
                    <w:tcW w:w="874"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账面原值增加项目金额"/>
                <w:tag w:val="_GBC_dd777e6bbe4847298cf2ed638ace124f"/>
                <w:id w:val="865725354"/>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账面原值增加项目金额"/>
                <w:tag w:val="_GBC_a6b096aacdf74ddbaab2733bf6200591"/>
                <w:id w:val="865725355"/>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账面原值增加项目合计金额"/>
                <w:tag w:val="_GBC_f430b82dfa64408097d661b35d65c080"/>
                <w:id w:val="865725356"/>
                <w:lock w:val="sdtLocked"/>
                <w:showingPlcHdr/>
              </w:sdtPr>
              <w:sdtEndPr>
                <w:rPr>
                  <w:rFonts w:ascii="Times New Roman" w:hAnsi="Times New Roman" w:cs="Times New Roman"/>
                  <w:szCs w:val="21"/>
                </w:rPr>
              </w:sdtEndPr>
              <w:sdtContent>
                <w:tc>
                  <w:tcPr>
                    <w:tcW w:w="932"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sdt>
              <w:sdtPr>
                <w:rPr>
                  <w:rFonts w:ascii="Times New Roman" w:hAnsi="Times New Roman" w:cs="Times New Roman"/>
                  <w:szCs w:val="21"/>
                </w:rPr>
                <w:alias w:val="无形资产账面原值增加项目名称"/>
                <w:tag w:val="_GBC_d6a7b28bd7ca4aa39125f2767fd9ab9f"/>
                <w:id w:val="865725357"/>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账面原值增加项目金额"/>
                <w:tag w:val="_GBC_9d8bf2f510cd46118a3d12ca31768262"/>
                <w:id w:val="865725358"/>
                <w:lock w:val="sdtLocked"/>
                <w:showingPlcHdr/>
              </w:sdtPr>
              <w:sdtEndPr>
                <w:rPr>
                  <w:rFonts w:ascii="Times New Roman" w:hAnsi="Times New Roman" w:cs="Times New Roman"/>
                  <w:szCs w:val="21"/>
                </w:rPr>
              </w:sdtEndPr>
              <w:sdtContent>
                <w:tc>
                  <w:tcPr>
                    <w:tcW w:w="874"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权账面原值增加项目金额"/>
                <w:tag w:val="_GBC_76a1494991a248419118ce24b127e7dd"/>
                <w:id w:val="865725359"/>
                <w:lock w:val="sdtLocked"/>
                <w:showingPlcHdr/>
              </w:sdtPr>
              <w:sdtEndPr>
                <w:rPr>
                  <w:rFonts w:ascii="Times New Roman" w:hAnsi="Times New Roman" w:cs="Times New Roman"/>
                  <w:szCs w:val="21"/>
                </w:rPr>
              </w:sdtEndPr>
              <w:sdtContent>
                <w:tc>
                  <w:tcPr>
                    <w:tcW w:w="874"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账面原值增加项目金额"/>
                <w:tag w:val="_GBC_dd777e6bbe4847298cf2ed638ace124f"/>
                <w:id w:val="865725360"/>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账面原值增加项目金额"/>
                <w:tag w:val="_GBC_a6b096aacdf74ddbaab2733bf6200591"/>
                <w:id w:val="865725361"/>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账面原值增加项目合计金额"/>
                <w:tag w:val="_GBC_f430b82dfa64408097d661b35d65c080"/>
                <w:id w:val="865725362"/>
                <w:lock w:val="sdtLocked"/>
                <w:showingPlcHdr/>
              </w:sdtPr>
              <w:sdtEndPr>
                <w:rPr>
                  <w:rFonts w:ascii="Times New Roman" w:hAnsi="Times New Roman" w:cs="Times New Roman"/>
                  <w:szCs w:val="21"/>
                </w:rPr>
              </w:sdtEndPr>
              <w:sdtContent>
                <w:tc>
                  <w:tcPr>
                    <w:tcW w:w="932"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ef6de8d106a344419ba63c194a180aab"/>
                <w:id w:val="865725363"/>
                <w:lock w:val="sdtLocked"/>
              </w:sdtPr>
              <w:sdtEndPr>
                <w:rPr>
                  <w:rFonts w:ascii="Times New Roman" w:hAnsi="Times New Roman" w:cs="Times New Roman"/>
                </w:rPr>
              </w:sdtEndPr>
              <w:sdtContent>
                <w:tc>
                  <w:tcPr>
                    <w:tcW w:w="690" w:type="pct"/>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    3.</w:t>
                    </w:r>
                    <w:r>
                      <w:rPr>
                        <w:rFonts w:ascii="Times New Roman" w:cs="Times New Roman"/>
                        <w:szCs w:val="21"/>
                      </w:rPr>
                      <w:t>本期减少金额</w:t>
                    </w:r>
                  </w:p>
                </w:tc>
              </w:sdtContent>
            </w:sdt>
            <w:tc>
              <w:tcPr>
                <w:tcW w:w="874"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932"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a2dde99d637c467abd414e8ab49b893b"/>
                <w:id w:val="865725364"/>
                <w:lock w:val="sdtLocked"/>
              </w:sdtPr>
              <w:sdtEndPr>
                <w:rPr>
                  <w:rFonts w:ascii="Times New Roman" w:hAnsi="Times New Roman" w:cs="Times New Roman"/>
                </w:rPr>
              </w:sdtEndPr>
              <w:sdtContent>
                <w:tc>
                  <w:tcPr>
                    <w:tcW w:w="690" w:type="pct"/>
                    <w:shd w:val="clear" w:color="auto" w:fill="auto"/>
                    <w:vAlign w:val="center"/>
                  </w:tcPr>
                  <w:p>
                    <w:pPr>
                      <w:ind w:firstLine="630" w:firstLineChars="3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处置</w:t>
                    </w:r>
                  </w:p>
                </w:tc>
              </w:sdtContent>
            </w:sdt>
            <w:tc>
              <w:tcPr>
                <w:tcW w:w="874"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932"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sdt>
              <w:sdtPr>
                <w:rPr>
                  <w:rFonts w:ascii="Times New Roman" w:hAnsi="Times New Roman" w:cs="Times New Roman"/>
                  <w:szCs w:val="21"/>
                </w:rPr>
                <w:alias w:val="无形资产账面原值减少项目名称"/>
                <w:tag w:val="_GBC_5d3e5a9fbe294b2894dce189a919753d"/>
                <w:id w:val="865725365"/>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账面原值减少项目金额"/>
                <w:tag w:val="_GBC_0304a00b013f4386af4344e6ae1ac673"/>
                <w:id w:val="865725366"/>
                <w:lock w:val="sdtLocked"/>
                <w:showingPlcHdr/>
              </w:sdtPr>
              <w:sdtEndPr>
                <w:rPr>
                  <w:rFonts w:ascii="Times New Roman" w:hAnsi="Times New Roman" w:cs="Times New Roman"/>
                  <w:szCs w:val="21"/>
                </w:rPr>
              </w:sdtEndPr>
              <w:sdtContent>
                <w:tc>
                  <w:tcPr>
                    <w:tcW w:w="874"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权账面原值减少项目金额"/>
                <w:tag w:val="_GBC_cd20e8c16be54fc6a9bf7b9b7271b2af"/>
                <w:id w:val="865725367"/>
                <w:lock w:val="sdtLocked"/>
                <w:showingPlcHdr/>
              </w:sdtPr>
              <w:sdtEndPr>
                <w:rPr>
                  <w:rFonts w:ascii="Times New Roman" w:hAnsi="Times New Roman" w:cs="Times New Roman"/>
                  <w:szCs w:val="21"/>
                </w:rPr>
              </w:sdtEndPr>
              <w:sdtContent>
                <w:tc>
                  <w:tcPr>
                    <w:tcW w:w="874"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账面原值减少项目金额"/>
                <w:tag w:val="_GBC_2f018e055c664fd1b08ac57647973034"/>
                <w:id w:val="865725368"/>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账面原值减少项目金额"/>
                <w:tag w:val="_GBC_be652c29a5db4d8ca24b58de75438604"/>
                <w:id w:val="865725369"/>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账面原值减少项目合计金额"/>
                <w:tag w:val="_GBC_a637a37d4d544dd1b281f9ca1e030df7"/>
                <w:id w:val="865725370"/>
                <w:lock w:val="sdtLocked"/>
                <w:showingPlcHdr/>
              </w:sdtPr>
              <w:sdtEndPr>
                <w:rPr>
                  <w:rFonts w:ascii="Times New Roman" w:hAnsi="Times New Roman" w:cs="Times New Roman"/>
                  <w:szCs w:val="21"/>
                </w:rPr>
              </w:sdtEndPr>
              <w:sdtContent>
                <w:tc>
                  <w:tcPr>
                    <w:tcW w:w="932"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sdt>
              <w:sdtPr>
                <w:rPr>
                  <w:rFonts w:ascii="Times New Roman" w:hAnsi="Times New Roman" w:cs="Times New Roman"/>
                  <w:szCs w:val="21"/>
                </w:rPr>
                <w:alias w:val="无形资产账面原值减少项目名称"/>
                <w:tag w:val="_GBC_5d3e5a9fbe294b2894dce189a919753d"/>
                <w:id w:val="865725371"/>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账面原值减少项目金额"/>
                <w:tag w:val="_GBC_0304a00b013f4386af4344e6ae1ac673"/>
                <w:id w:val="865725372"/>
                <w:lock w:val="sdtLocked"/>
                <w:showingPlcHdr/>
              </w:sdtPr>
              <w:sdtEndPr>
                <w:rPr>
                  <w:rFonts w:ascii="Times New Roman" w:hAnsi="Times New Roman" w:cs="Times New Roman"/>
                  <w:szCs w:val="21"/>
                </w:rPr>
              </w:sdtEndPr>
              <w:sdtContent>
                <w:tc>
                  <w:tcPr>
                    <w:tcW w:w="874"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权账面原值减少项目金额"/>
                <w:tag w:val="_GBC_cd20e8c16be54fc6a9bf7b9b7271b2af"/>
                <w:id w:val="865725373"/>
                <w:lock w:val="sdtLocked"/>
                <w:showingPlcHdr/>
              </w:sdtPr>
              <w:sdtEndPr>
                <w:rPr>
                  <w:rFonts w:ascii="Times New Roman" w:hAnsi="Times New Roman" w:cs="Times New Roman"/>
                  <w:szCs w:val="21"/>
                </w:rPr>
              </w:sdtEndPr>
              <w:sdtContent>
                <w:tc>
                  <w:tcPr>
                    <w:tcW w:w="874"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账面原值减少项目金额"/>
                <w:tag w:val="_GBC_2f018e055c664fd1b08ac57647973034"/>
                <w:id w:val="865725374"/>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账面原值减少项目金额"/>
                <w:tag w:val="_GBC_be652c29a5db4d8ca24b58de75438604"/>
                <w:id w:val="865725375"/>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账面原值减少项目合计金额"/>
                <w:tag w:val="_GBC_a637a37d4d544dd1b281f9ca1e030df7"/>
                <w:id w:val="865725376"/>
                <w:lock w:val="sdtLocked"/>
                <w:showingPlcHdr/>
              </w:sdtPr>
              <w:sdtEndPr>
                <w:rPr>
                  <w:rFonts w:ascii="Times New Roman" w:hAnsi="Times New Roman" w:cs="Times New Roman"/>
                  <w:szCs w:val="21"/>
                </w:rPr>
              </w:sdtEndPr>
              <w:sdtContent>
                <w:tc>
                  <w:tcPr>
                    <w:tcW w:w="932"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03745bff079541e1ababba4ad6de075d"/>
                <w:id w:val="865725377"/>
                <w:lock w:val="sdtLocked"/>
              </w:sdtPr>
              <w:sdtEndPr>
                <w:rPr>
                  <w:rFonts w:ascii="Times New Roman" w:hAnsi="Times New Roman" w:cs="Times New Roman"/>
                </w:rPr>
              </w:sdtEndPr>
              <w:sdtContent>
                <w:tc>
                  <w:tcPr>
                    <w:tcW w:w="690" w:type="pct"/>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   4.</w:t>
                    </w:r>
                    <w:r>
                      <w:rPr>
                        <w:rFonts w:ascii="Times New Roman" w:cs="Times New Roman"/>
                        <w:szCs w:val="21"/>
                      </w:rPr>
                      <w:t>期末余额</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99,871,635.04</w:t>
                </w: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10,129,305.52</w:t>
                </w: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1,289,700.00</w:t>
                </w: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4,838,716.79</w:t>
                </w: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116,129,357.35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31b6b6971eff48bf893163f2b1779469"/>
                <w:id w:val="865725378"/>
                <w:lock w:val="sdtLocked"/>
              </w:sdtPr>
              <w:sdtEndPr>
                <w:rPr>
                  <w:rFonts w:ascii="Times New Roman" w:hAnsi="Times New Roman" w:cs="Times New Roman"/>
                </w:rPr>
              </w:sdtEndPr>
              <w:sdtContent>
                <w:tc>
                  <w:tcPr>
                    <w:tcW w:w="5000" w:type="pct"/>
                    <w:gridSpan w:val="6"/>
                    <w:shd w:val="clear" w:color="auto" w:fill="auto"/>
                    <w:vAlign w:val="center"/>
                  </w:tcPr>
                  <w:p>
                    <w:pPr>
                      <w:rPr>
                        <w:rFonts w:ascii="Times New Roman" w:hAnsi="Times New Roman" w:cs="Times New Roman"/>
                        <w:szCs w:val="21"/>
                      </w:rPr>
                    </w:pPr>
                    <w:r>
                      <w:rPr>
                        <w:rFonts w:ascii="Times New Roman" w:cs="Times New Roman"/>
                        <w:szCs w:val="21"/>
                      </w:rPr>
                      <w:t>二、累计摊销</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192ef7a489984acd8b494007033b87de"/>
                <w:id w:val="865725379"/>
                <w:lock w:val="sdtLocked"/>
              </w:sdtPr>
              <w:sdtEndPr>
                <w:rPr>
                  <w:rFonts w:ascii="Times New Roman" w:hAnsi="Times New Roman" w:cs="Times New Roman"/>
                </w:rPr>
              </w:sdtEndPr>
              <w:sdtContent>
                <w:tc>
                  <w:tcPr>
                    <w:tcW w:w="690" w:type="pct"/>
                    <w:shd w:val="clear" w:color="auto" w:fill="auto"/>
                    <w:vAlign w:val="center"/>
                  </w:tcPr>
                  <w:p>
                    <w:pPr>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期初余额</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24,596,795.65</w:t>
                </w: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9,336,573.77</w:t>
                </w: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515,880.00</w:t>
                </w: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483,871.68</w:t>
                </w: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34,933,121.10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d9b2c881fa5c4e37827a5af57760bac7"/>
                <w:id w:val="865725380"/>
                <w:lock w:val="sdtLocked"/>
              </w:sdtPr>
              <w:sdtEndPr>
                <w:rPr>
                  <w:rFonts w:ascii="Times New Roman" w:hAnsi="Times New Roman" w:cs="Times New Roman"/>
                </w:rPr>
              </w:sdtEndPr>
              <w:sdtContent>
                <w:tc>
                  <w:tcPr>
                    <w:tcW w:w="690" w:type="pct"/>
                    <w:shd w:val="clear" w:color="auto" w:fill="auto"/>
                    <w:vAlign w:val="center"/>
                  </w:tcPr>
                  <w:p>
                    <w:pPr>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本期增加金额</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2,016,219.72</w:t>
                </w: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107,756.88</w:t>
                </w:r>
              </w:p>
            </w:tc>
            <w:tc>
              <w:tcPr>
                <w:tcW w:w="816" w:type="pct"/>
                <w:shd w:val="clear" w:color="auto" w:fill="auto"/>
                <w:vAlign w:val="center"/>
              </w:tcPr>
              <w:p>
                <w:pPr>
                  <w:jc w:val="right"/>
                  <w:rPr>
                    <w:rFonts w:ascii="Times New Roman" w:hAnsi="Times New Roman" w:cs="Times New Roman"/>
                    <w:sz w:val="24"/>
                  </w:rPr>
                </w:pP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483,871.68</w:t>
                </w: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2,607,848.28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cc7d668427664f6aa25782750d371885"/>
                <w:id w:val="865725381"/>
                <w:lock w:val="sdtLocked"/>
              </w:sdtPr>
              <w:sdtEndPr>
                <w:rPr>
                  <w:rFonts w:ascii="Times New Roman" w:hAnsi="Times New Roman" w:cs="Times New Roman"/>
                </w:rPr>
              </w:sdtEndPr>
              <w:sdtContent>
                <w:tc>
                  <w:tcPr>
                    <w:tcW w:w="690" w:type="pct"/>
                    <w:shd w:val="clear" w:color="auto" w:fill="auto"/>
                    <w:vAlign w:val="center"/>
                  </w:tcPr>
                  <w:p>
                    <w:pPr>
                      <w:ind w:firstLine="630" w:firstLineChars="3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）计提</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2,016,219.72</w:t>
                </w: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107,756.88</w:t>
                </w:r>
              </w:p>
            </w:tc>
            <w:tc>
              <w:tcPr>
                <w:tcW w:w="816" w:type="pct"/>
                <w:shd w:val="clear" w:color="auto" w:fill="auto"/>
                <w:vAlign w:val="center"/>
              </w:tcPr>
              <w:p>
                <w:pPr>
                  <w:jc w:val="right"/>
                  <w:rPr>
                    <w:rFonts w:ascii="Times New Roman" w:hAnsi="Times New Roman" w:cs="Times New Roman"/>
                    <w:sz w:val="24"/>
                  </w:rPr>
                </w:pP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483,871.68</w:t>
                </w: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2,607,848.28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sdt>
              <w:sdtPr>
                <w:rPr>
                  <w:rFonts w:ascii="Times New Roman" w:hAnsi="Times New Roman" w:cs="Times New Roman"/>
                  <w:szCs w:val="21"/>
                </w:rPr>
                <w:alias w:val="无形资产累计摊销增加项目名称"/>
                <w:tag w:val="_GBC_bba4fb43db504917a2a3007f41997c65"/>
                <w:id w:val="865725382"/>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累计摊销增加项目金额"/>
                <w:tag w:val="_GBC_d7ac4b6d46e7440593e2861cbf621d3a"/>
                <w:id w:val="865725383"/>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技术累计摊销增加项目金额"/>
                <w:tag w:val="_GBC_dba51e524a104c0c9be0ef59161d4555"/>
                <w:id w:val="865725384"/>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累计摊销增加项目金额"/>
                <w:tag w:val="_GBC_d2c2c3236787491f95880bb96d518a5c"/>
                <w:id w:val="865725385"/>
                <w:lock w:val="sdtLocked"/>
                <w:showingPlcHdr/>
              </w:sdtPr>
              <w:sdtEndPr>
                <w:rPr>
                  <w:rFonts w:ascii="Times New Roman" w:hAnsi="Times New Roman" w:cs="Times New Roman"/>
                  <w:szCs w:val="21"/>
                </w:rPr>
              </w:sdtEndPr>
              <w:sdtContent>
                <w:tc>
                  <w:tcPr>
                    <w:tcW w:w="816"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累计摊销增加项目金额"/>
                <w:tag w:val="_GBC_eb8cc3d8dbcc4a03967926cd6920bdfa"/>
                <w:id w:val="865725386"/>
                <w:lock w:val="sdtLocked"/>
                <w:showingPlcHdr/>
              </w:sdtPr>
              <w:sdtEndPr>
                <w:rPr>
                  <w:rFonts w:ascii="Times New Roman" w:hAnsi="Times New Roman" w:cs="Times New Roman"/>
                  <w:szCs w:val="21"/>
                </w:rPr>
              </w:sdtEndPr>
              <w:sdtContent>
                <w:tc>
                  <w:tcPr>
                    <w:tcW w:w="816"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累计摊销增加项目合计金额"/>
                <w:tag w:val="_GBC_e8f0e1ca00ab4d719057cd750f089033"/>
                <w:id w:val="865725387"/>
                <w:lock w:val="sdtLocked"/>
                <w:showingPlcHdr/>
              </w:sdtPr>
              <w:sdtEndPr>
                <w:rPr>
                  <w:rFonts w:ascii="Times New Roman" w:hAnsi="Times New Roman" w:cs="Times New Roman"/>
                  <w:szCs w:val="21"/>
                </w:rPr>
              </w:sdtEndPr>
              <w:sdtContent>
                <w:tc>
                  <w:tcPr>
                    <w:tcW w:w="932" w:type="pct"/>
                    <w:shd w:val="clear" w:color="auto" w:fill="auto"/>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sdt>
              <w:sdtPr>
                <w:rPr>
                  <w:rFonts w:ascii="Times New Roman" w:hAnsi="Times New Roman" w:cs="Times New Roman"/>
                  <w:szCs w:val="21"/>
                </w:rPr>
                <w:alias w:val="无形资产累计摊销增加项目名称"/>
                <w:tag w:val="_GBC_bba4fb43db504917a2a3007f41997c65"/>
                <w:id w:val="865725388"/>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累计摊销增加项目金额"/>
                <w:tag w:val="_GBC_d7ac4b6d46e7440593e2861cbf621d3a"/>
                <w:id w:val="865725389"/>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技术累计摊销增加项目金额"/>
                <w:tag w:val="_GBC_dba51e524a104c0c9be0ef59161d4555"/>
                <w:id w:val="865725390"/>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累计摊销增加项目金额"/>
                <w:tag w:val="_GBC_d2c2c3236787491f95880bb96d518a5c"/>
                <w:id w:val="865725391"/>
                <w:lock w:val="sdtLocked"/>
                <w:showingPlcHdr/>
              </w:sdtPr>
              <w:sdtEndPr>
                <w:rPr>
                  <w:rFonts w:ascii="Times New Roman" w:hAnsi="Times New Roman" w:cs="Times New Roman"/>
                  <w:szCs w:val="21"/>
                </w:rPr>
              </w:sdtEndPr>
              <w:sdtContent>
                <w:tc>
                  <w:tcPr>
                    <w:tcW w:w="816"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累计摊销增加项目金额"/>
                <w:tag w:val="_GBC_eb8cc3d8dbcc4a03967926cd6920bdfa"/>
                <w:id w:val="865725392"/>
                <w:lock w:val="sdtLocked"/>
                <w:showingPlcHdr/>
              </w:sdtPr>
              <w:sdtEndPr>
                <w:rPr>
                  <w:rFonts w:ascii="Times New Roman" w:hAnsi="Times New Roman" w:cs="Times New Roman"/>
                  <w:szCs w:val="21"/>
                </w:rPr>
              </w:sdtEndPr>
              <w:sdtContent>
                <w:tc>
                  <w:tcPr>
                    <w:tcW w:w="816"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累计摊销增加项目合计金额"/>
                <w:tag w:val="_GBC_e8f0e1ca00ab4d719057cd750f089033"/>
                <w:id w:val="865725393"/>
                <w:lock w:val="sdtLocked"/>
                <w:showingPlcHdr/>
              </w:sdtPr>
              <w:sdtEndPr>
                <w:rPr>
                  <w:rFonts w:ascii="Times New Roman" w:hAnsi="Times New Roman" w:cs="Times New Roman"/>
                  <w:szCs w:val="21"/>
                </w:rPr>
              </w:sdtEndPr>
              <w:sdtContent>
                <w:tc>
                  <w:tcPr>
                    <w:tcW w:w="932" w:type="pct"/>
                    <w:shd w:val="clear" w:color="auto" w:fill="auto"/>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8e892aff304549108ee89d7a36074102"/>
                <w:id w:val="865725394"/>
                <w:lock w:val="sdtLocked"/>
              </w:sdtPr>
              <w:sdtEndPr>
                <w:rPr>
                  <w:rFonts w:ascii="Times New Roman" w:hAnsi="Times New Roman" w:cs="Times New Roman"/>
                </w:rPr>
              </w:sdtEndPr>
              <w:sdtContent>
                <w:tc>
                  <w:tcPr>
                    <w:tcW w:w="690" w:type="pct"/>
                    <w:shd w:val="clear" w:color="auto" w:fill="auto"/>
                    <w:vAlign w:val="center"/>
                  </w:tcPr>
                  <w:p>
                    <w:pPr>
                      <w:ind w:firstLine="420" w:firstLineChars="200"/>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本期减少金额</w:t>
                    </w:r>
                  </w:p>
                </w:tc>
              </w:sdtContent>
            </w:sdt>
            <w:tc>
              <w:tcPr>
                <w:tcW w:w="874" w:type="pct"/>
                <w:shd w:val="clear" w:color="auto" w:fill="auto"/>
              </w:tcPr>
              <w:p>
                <w:pPr>
                  <w:jc w:val="right"/>
                  <w:rPr>
                    <w:rFonts w:ascii="Times New Roman" w:hAnsi="Times New Roman" w:cs="Times New Roman"/>
                    <w:szCs w:val="21"/>
                  </w:rPr>
                </w:pPr>
              </w:p>
            </w:tc>
            <w:tc>
              <w:tcPr>
                <w:tcW w:w="874" w:type="pct"/>
                <w:shd w:val="clear" w:color="auto" w:fill="auto"/>
              </w:tcPr>
              <w:p>
                <w:pPr>
                  <w:jc w:val="right"/>
                  <w:rPr>
                    <w:rFonts w:ascii="Times New Roman" w:hAnsi="Times New Roman" w:cs="Times New Roman"/>
                    <w:szCs w:val="21"/>
                  </w:rPr>
                </w:pPr>
              </w:p>
            </w:tc>
            <w:tc>
              <w:tcPr>
                <w:tcW w:w="816" w:type="pct"/>
                <w:shd w:val="clear" w:color="auto" w:fill="auto"/>
              </w:tcPr>
              <w:p>
                <w:pPr>
                  <w:jc w:val="right"/>
                  <w:rPr>
                    <w:rFonts w:ascii="Times New Roman" w:hAnsi="Times New Roman" w:cs="Times New Roman"/>
                    <w:szCs w:val="21"/>
                  </w:rPr>
                </w:pPr>
              </w:p>
            </w:tc>
            <w:tc>
              <w:tcPr>
                <w:tcW w:w="816" w:type="pct"/>
                <w:shd w:val="clear" w:color="auto" w:fill="auto"/>
              </w:tcPr>
              <w:p>
                <w:pPr>
                  <w:jc w:val="right"/>
                  <w:rPr>
                    <w:rFonts w:ascii="Times New Roman" w:hAnsi="Times New Roman" w:cs="Times New Roman"/>
                    <w:szCs w:val="21"/>
                  </w:rPr>
                </w:pPr>
              </w:p>
            </w:tc>
            <w:tc>
              <w:tcPr>
                <w:tcW w:w="932" w:type="pct"/>
                <w:shd w:val="clear" w:color="auto" w:fill="auto"/>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f8ab01d348a04c4d883a00519ee0501a"/>
                <w:id w:val="865725395"/>
                <w:lock w:val="sdtLocked"/>
              </w:sdtPr>
              <w:sdtEndPr>
                <w:rPr>
                  <w:rFonts w:ascii="Times New Roman" w:hAnsi="Times New Roman" w:cs="Times New Roman"/>
                </w:rPr>
              </w:sdtEndPr>
              <w:sdtContent>
                <w:tc>
                  <w:tcPr>
                    <w:tcW w:w="690" w:type="pct"/>
                    <w:shd w:val="clear" w:color="auto" w:fill="auto"/>
                    <w:vAlign w:val="center"/>
                  </w:tcPr>
                  <w:p>
                    <w:pPr>
                      <w:ind w:firstLine="630" w:firstLineChars="300"/>
                      <w:rPr>
                        <w:rFonts w:ascii="Times New Roman" w:hAnsi="Times New Roman" w:cs="Times New Roman"/>
                        <w:szCs w:val="21"/>
                      </w:rPr>
                    </w:pPr>
                    <w:r>
                      <w:rPr>
                        <w:rFonts w:ascii="Times New Roman" w:hAnsi="Times New Roman" w:cs="Times New Roman"/>
                        <w:szCs w:val="21"/>
                      </w:rPr>
                      <w:t xml:space="preserve"> (1)</w:t>
                    </w:r>
                    <w:r>
                      <w:rPr>
                        <w:rFonts w:ascii="Times New Roman" w:cs="Times New Roman"/>
                        <w:szCs w:val="21"/>
                      </w:rPr>
                      <w:t>处置</w:t>
                    </w:r>
                  </w:p>
                </w:tc>
              </w:sdtContent>
            </w:sdt>
            <w:tc>
              <w:tcPr>
                <w:tcW w:w="874" w:type="pct"/>
                <w:shd w:val="clear" w:color="auto" w:fill="auto"/>
              </w:tcPr>
              <w:p>
                <w:pPr>
                  <w:jc w:val="right"/>
                  <w:rPr>
                    <w:rFonts w:ascii="Times New Roman" w:hAnsi="Times New Roman" w:cs="Times New Roman"/>
                    <w:szCs w:val="21"/>
                  </w:rPr>
                </w:pPr>
              </w:p>
            </w:tc>
            <w:tc>
              <w:tcPr>
                <w:tcW w:w="874" w:type="pct"/>
                <w:shd w:val="clear" w:color="auto" w:fill="auto"/>
              </w:tcPr>
              <w:p>
                <w:pPr>
                  <w:jc w:val="right"/>
                  <w:rPr>
                    <w:rFonts w:ascii="Times New Roman" w:hAnsi="Times New Roman" w:cs="Times New Roman"/>
                    <w:szCs w:val="21"/>
                  </w:rPr>
                </w:pPr>
              </w:p>
            </w:tc>
            <w:tc>
              <w:tcPr>
                <w:tcW w:w="816" w:type="pct"/>
                <w:shd w:val="clear" w:color="auto" w:fill="auto"/>
              </w:tcPr>
              <w:p>
                <w:pPr>
                  <w:jc w:val="right"/>
                  <w:rPr>
                    <w:rFonts w:ascii="Times New Roman" w:hAnsi="Times New Roman" w:cs="Times New Roman"/>
                    <w:szCs w:val="21"/>
                  </w:rPr>
                </w:pPr>
              </w:p>
            </w:tc>
            <w:tc>
              <w:tcPr>
                <w:tcW w:w="816" w:type="pct"/>
                <w:shd w:val="clear" w:color="auto" w:fill="auto"/>
              </w:tcPr>
              <w:p>
                <w:pPr>
                  <w:jc w:val="right"/>
                  <w:rPr>
                    <w:rFonts w:ascii="Times New Roman" w:hAnsi="Times New Roman" w:cs="Times New Roman"/>
                    <w:szCs w:val="21"/>
                  </w:rPr>
                </w:pPr>
              </w:p>
            </w:tc>
            <w:tc>
              <w:tcPr>
                <w:tcW w:w="932" w:type="pct"/>
                <w:shd w:val="clear" w:color="auto" w:fill="auto"/>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sdt>
              <w:sdtPr>
                <w:rPr>
                  <w:rFonts w:ascii="Times New Roman" w:hAnsi="Times New Roman" w:cs="Times New Roman"/>
                  <w:szCs w:val="21"/>
                </w:rPr>
                <w:alias w:val="无形资产累计摊销减少项目名称"/>
                <w:tag w:val="_GBC_e20bf01c005c4657bce2d5dc94c6f570"/>
                <w:id w:val="865725396"/>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累计摊销减少项目金额"/>
                <w:tag w:val="_GBC_0591cbb2eacb4374b47f296494273974"/>
                <w:id w:val="865725397"/>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技术累计摊销减少项目金额"/>
                <w:tag w:val="_GBC_34bbf4b25cd34dbfb156f27fc0fd05ce"/>
                <w:id w:val="865725398"/>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累计摊销减少项目金额"/>
                <w:tag w:val="_GBC_0d4d2307fed64e17b341069ad894d6e3"/>
                <w:id w:val="865725399"/>
                <w:lock w:val="sdtLocked"/>
                <w:showingPlcHdr/>
              </w:sdtPr>
              <w:sdtEndPr>
                <w:rPr>
                  <w:rFonts w:ascii="Times New Roman" w:hAnsi="Times New Roman" w:cs="Times New Roman"/>
                  <w:szCs w:val="21"/>
                </w:rPr>
              </w:sdtEndPr>
              <w:sdtContent>
                <w:tc>
                  <w:tcPr>
                    <w:tcW w:w="816"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累计摊销减少项目金额"/>
                <w:tag w:val="_GBC_be9ede4d9d0048fd91d0892d19eb092d"/>
                <w:id w:val="865725400"/>
                <w:lock w:val="sdtLocked"/>
                <w:showingPlcHdr/>
              </w:sdtPr>
              <w:sdtEndPr>
                <w:rPr>
                  <w:rFonts w:ascii="Times New Roman" w:hAnsi="Times New Roman" w:cs="Times New Roman"/>
                  <w:szCs w:val="21"/>
                </w:rPr>
              </w:sdtEndPr>
              <w:sdtContent>
                <w:tc>
                  <w:tcPr>
                    <w:tcW w:w="816"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累计摊销减少项目合计金额"/>
                <w:tag w:val="_GBC_ca3fa022f2904223a1f5609ec4477f5b"/>
                <w:id w:val="865725401"/>
                <w:lock w:val="sdtLocked"/>
                <w:showingPlcHdr/>
              </w:sdtPr>
              <w:sdtEndPr>
                <w:rPr>
                  <w:rFonts w:ascii="Times New Roman" w:hAnsi="Times New Roman" w:cs="Times New Roman"/>
                  <w:szCs w:val="21"/>
                </w:rPr>
              </w:sdtEndPr>
              <w:sdtContent>
                <w:tc>
                  <w:tcPr>
                    <w:tcW w:w="932" w:type="pct"/>
                    <w:shd w:val="clear" w:color="auto" w:fill="auto"/>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sdt>
              <w:sdtPr>
                <w:rPr>
                  <w:rFonts w:ascii="Times New Roman" w:hAnsi="Times New Roman" w:cs="Times New Roman"/>
                  <w:szCs w:val="21"/>
                </w:rPr>
                <w:alias w:val="无形资产累计摊销减少项目名称"/>
                <w:tag w:val="_GBC_e20bf01c005c4657bce2d5dc94c6f570"/>
                <w:id w:val="865725402"/>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累计摊销减少项目金额"/>
                <w:tag w:val="_GBC_0591cbb2eacb4374b47f296494273974"/>
                <w:id w:val="865725403"/>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技术累计摊销减少项目金额"/>
                <w:tag w:val="_GBC_34bbf4b25cd34dbfb156f27fc0fd05ce"/>
                <w:id w:val="865725404"/>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累计摊销减少项目金额"/>
                <w:tag w:val="_GBC_0d4d2307fed64e17b341069ad894d6e3"/>
                <w:id w:val="865725405"/>
                <w:lock w:val="sdtLocked"/>
                <w:showingPlcHdr/>
              </w:sdtPr>
              <w:sdtEndPr>
                <w:rPr>
                  <w:rFonts w:ascii="Times New Roman" w:hAnsi="Times New Roman" w:cs="Times New Roman"/>
                  <w:szCs w:val="21"/>
                </w:rPr>
              </w:sdtEndPr>
              <w:sdtContent>
                <w:tc>
                  <w:tcPr>
                    <w:tcW w:w="816"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累计摊销减少项目金额"/>
                <w:tag w:val="_GBC_be9ede4d9d0048fd91d0892d19eb092d"/>
                <w:id w:val="865725406"/>
                <w:lock w:val="sdtLocked"/>
                <w:showingPlcHdr/>
              </w:sdtPr>
              <w:sdtEndPr>
                <w:rPr>
                  <w:rFonts w:ascii="Times New Roman" w:hAnsi="Times New Roman" w:cs="Times New Roman"/>
                  <w:szCs w:val="21"/>
                </w:rPr>
              </w:sdtEndPr>
              <w:sdtContent>
                <w:tc>
                  <w:tcPr>
                    <w:tcW w:w="816"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累计摊销减少项目合计金额"/>
                <w:tag w:val="_GBC_ca3fa022f2904223a1f5609ec4477f5b"/>
                <w:id w:val="865725407"/>
                <w:lock w:val="sdtLocked"/>
                <w:showingPlcHdr/>
              </w:sdtPr>
              <w:sdtEndPr>
                <w:rPr>
                  <w:rFonts w:ascii="Times New Roman" w:hAnsi="Times New Roman" w:cs="Times New Roman"/>
                  <w:szCs w:val="21"/>
                </w:rPr>
              </w:sdtEndPr>
              <w:sdtContent>
                <w:tc>
                  <w:tcPr>
                    <w:tcW w:w="932" w:type="pct"/>
                    <w:shd w:val="clear" w:color="auto" w:fill="auto"/>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00974608625b4b68972908d459d17711"/>
                <w:id w:val="865725408"/>
                <w:lock w:val="sdtLocked"/>
              </w:sdtPr>
              <w:sdtEndPr>
                <w:rPr>
                  <w:rFonts w:ascii="Times New Roman" w:hAnsi="Times New Roman" w:cs="Times New Roman"/>
                </w:rPr>
              </w:sdtEndPr>
              <w:sdtContent>
                <w:tc>
                  <w:tcPr>
                    <w:tcW w:w="690" w:type="pct"/>
                    <w:shd w:val="clear" w:color="auto" w:fill="auto"/>
                    <w:vAlign w:val="center"/>
                  </w:tcPr>
                  <w:p>
                    <w:pPr>
                      <w:ind w:firstLine="420" w:firstLineChars="200"/>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期末余额</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26,613,015.37</w:t>
                </w: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9,444,330.65</w:t>
                </w: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515,880.00</w:t>
                </w: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967,743.36</w:t>
                </w: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37,540,969.38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f7d5f180eba449a29a01985d504a8cad"/>
                <w:id w:val="865725409"/>
                <w:lock w:val="sdtLocked"/>
              </w:sdtPr>
              <w:sdtEndPr>
                <w:rPr>
                  <w:rFonts w:ascii="Times New Roman" w:hAnsi="Times New Roman" w:cs="Times New Roman"/>
                </w:rPr>
              </w:sdtEndPr>
              <w:sdtContent>
                <w:tc>
                  <w:tcPr>
                    <w:tcW w:w="5000" w:type="pct"/>
                    <w:gridSpan w:val="6"/>
                    <w:shd w:val="clear" w:color="auto" w:fill="auto"/>
                    <w:vAlign w:val="center"/>
                  </w:tcPr>
                  <w:p>
                    <w:pPr>
                      <w:rPr>
                        <w:rFonts w:ascii="Times New Roman" w:hAnsi="Times New Roman" w:cs="Times New Roman"/>
                        <w:szCs w:val="21"/>
                      </w:rPr>
                    </w:pPr>
                    <w:r>
                      <w:rPr>
                        <w:rFonts w:ascii="Times New Roman" w:cs="Times New Roman"/>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d456d6b4542546f2b64c57daa1b24f6c"/>
                <w:id w:val="865725410"/>
                <w:lock w:val="sdtLocked"/>
              </w:sdtPr>
              <w:sdtEndPr>
                <w:rPr>
                  <w:rFonts w:ascii="Times New Roman" w:hAnsi="Times New Roman" w:cs="Times New Roman"/>
                </w:rPr>
              </w:sdtEndPr>
              <w:sdtContent>
                <w:tc>
                  <w:tcPr>
                    <w:tcW w:w="690" w:type="pct"/>
                    <w:shd w:val="clear" w:color="auto" w:fill="auto"/>
                    <w:vAlign w:val="center"/>
                  </w:tcPr>
                  <w:p>
                    <w:pPr>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期初余额</w:t>
                    </w:r>
                  </w:p>
                </w:tc>
              </w:sdtContent>
            </w:sdt>
            <w:tc>
              <w:tcPr>
                <w:tcW w:w="874" w:type="pct"/>
                <w:shd w:val="clear" w:color="auto" w:fill="auto"/>
              </w:tcPr>
              <w:p>
                <w:pPr>
                  <w:jc w:val="right"/>
                  <w:rPr>
                    <w:rFonts w:ascii="Times New Roman" w:hAnsi="Times New Roman" w:cs="Times New Roman"/>
                    <w:szCs w:val="21"/>
                  </w:rPr>
                </w:pPr>
              </w:p>
            </w:tc>
            <w:tc>
              <w:tcPr>
                <w:tcW w:w="874" w:type="pct"/>
                <w:shd w:val="clear" w:color="auto" w:fill="auto"/>
              </w:tcPr>
              <w:p>
                <w:pPr>
                  <w:jc w:val="right"/>
                  <w:rPr>
                    <w:rFonts w:ascii="Times New Roman" w:hAnsi="Times New Roman" w:cs="Times New Roman"/>
                    <w:szCs w:val="21"/>
                  </w:rPr>
                </w:pPr>
              </w:p>
            </w:tc>
            <w:tc>
              <w:tcPr>
                <w:tcW w:w="816" w:type="pct"/>
                <w:shd w:val="clear" w:color="auto" w:fill="auto"/>
              </w:tcPr>
              <w:p>
                <w:pPr>
                  <w:jc w:val="right"/>
                  <w:rPr>
                    <w:rFonts w:ascii="Times New Roman" w:hAnsi="Times New Roman" w:cs="Times New Roman"/>
                    <w:szCs w:val="21"/>
                  </w:rPr>
                </w:pPr>
              </w:p>
            </w:tc>
            <w:tc>
              <w:tcPr>
                <w:tcW w:w="816" w:type="pct"/>
                <w:shd w:val="clear" w:color="auto" w:fill="auto"/>
              </w:tcPr>
              <w:p>
                <w:pPr>
                  <w:jc w:val="right"/>
                  <w:rPr>
                    <w:rFonts w:ascii="Times New Roman" w:hAnsi="Times New Roman" w:cs="Times New Roman"/>
                    <w:szCs w:val="21"/>
                  </w:rPr>
                </w:pPr>
              </w:p>
            </w:tc>
            <w:tc>
              <w:tcPr>
                <w:tcW w:w="932" w:type="pct"/>
                <w:shd w:val="clear" w:color="auto" w:fill="auto"/>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e2857e7aebd8427e95c78e58c21c30a8"/>
                <w:id w:val="865725411"/>
                <w:lock w:val="sdtLocked"/>
              </w:sdtPr>
              <w:sdtEndPr>
                <w:rPr>
                  <w:rFonts w:ascii="Times New Roman" w:hAnsi="Times New Roman" w:cs="Times New Roman"/>
                </w:rPr>
              </w:sdtEndPr>
              <w:sdtContent>
                <w:tc>
                  <w:tcPr>
                    <w:tcW w:w="690" w:type="pct"/>
                    <w:shd w:val="clear" w:color="auto" w:fill="auto"/>
                    <w:vAlign w:val="center"/>
                  </w:tcPr>
                  <w:p>
                    <w:pPr>
                      <w:ind w:firstLine="420" w:firstLineChars="200"/>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本期增加金额</w:t>
                    </w:r>
                  </w:p>
                </w:tc>
              </w:sdtContent>
            </w:sdt>
            <w:tc>
              <w:tcPr>
                <w:tcW w:w="874" w:type="pct"/>
                <w:shd w:val="clear" w:color="auto" w:fill="auto"/>
                <w:vAlign w:val="center"/>
              </w:tcPr>
              <w:p>
                <w:pPr>
                  <w:rPr>
                    <w:rFonts w:ascii="Times New Roman" w:hAnsi="Times New Roman" w:cs="Times New Roman"/>
                    <w:sz w:val="24"/>
                  </w:rPr>
                </w:pPr>
              </w:p>
            </w:tc>
            <w:tc>
              <w:tcPr>
                <w:tcW w:w="874" w:type="pct"/>
                <w:shd w:val="clear" w:color="auto" w:fill="auto"/>
                <w:vAlign w:val="center"/>
              </w:tcPr>
              <w:p>
                <w:pPr>
                  <w:rPr>
                    <w:rFonts w:ascii="Times New Roman" w:hAnsi="Times New Roman" w:cs="Times New Roman"/>
                    <w:sz w:val="24"/>
                  </w:rPr>
                </w:pP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773,820.00</w:t>
                </w:r>
              </w:p>
            </w:tc>
            <w:tc>
              <w:tcPr>
                <w:tcW w:w="816" w:type="pct"/>
                <w:shd w:val="clear" w:color="auto" w:fill="auto"/>
                <w:vAlign w:val="center"/>
              </w:tcPr>
              <w:p>
                <w:pPr>
                  <w:jc w:val="right"/>
                  <w:rPr>
                    <w:rFonts w:ascii="Times New Roman" w:hAnsi="Times New Roman" w:cs="Times New Roman"/>
                    <w:sz w:val="24"/>
                  </w:rPr>
                </w:pP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773,820.00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7e845556cb2643f09ea62762907b48f4"/>
                <w:id w:val="865725412"/>
                <w:lock w:val="sdtLocked"/>
              </w:sdtPr>
              <w:sdtEndPr>
                <w:rPr>
                  <w:rFonts w:ascii="Times New Roman" w:hAnsi="Times New Roman" w:cs="Times New Roman"/>
                </w:rPr>
              </w:sdtEndPr>
              <w:sdtContent>
                <w:tc>
                  <w:tcPr>
                    <w:tcW w:w="690" w:type="pct"/>
                    <w:shd w:val="clear" w:color="auto" w:fill="auto"/>
                    <w:vAlign w:val="center"/>
                  </w:tcPr>
                  <w:p>
                    <w:pPr>
                      <w:ind w:firstLine="630" w:firstLineChars="300"/>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1</w:t>
                    </w:r>
                    <w:r>
                      <w:rPr>
                        <w:rFonts w:ascii="Times New Roman" w:cs="Times New Roman"/>
                        <w:szCs w:val="21"/>
                      </w:rPr>
                      <w:t>）计提</w:t>
                    </w:r>
                  </w:p>
                </w:tc>
              </w:sdtContent>
            </w:sdt>
            <w:tc>
              <w:tcPr>
                <w:tcW w:w="874" w:type="pct"/>
                <w:shd w:val="clear" w:color="auto" w:fill="auto"/>
                <w:vAlign w:val="center"/>
              </w:tcPr>
              <w:p>
                <w:pPr>
                  <w:rPr>
                    <w:rFonts w:ascii="Times New Roman" w:hAnsi="Times New Roman" w:cs="Times New Roman"/>
                    <w:sz w:val="24"/>
                  </w:rPr>
                </w:pPr>
              </w:p>
            </w:tc>
            <w:tc>
              <w:tcPr>
                <w:tcW w:w="874" w:type="pct"/>
                <w:shd w:val="clear" w:color="auto" w:fill="auto"/>
                <w:vAlign w:val="center"/>
              </w:tcPr>
              <w:p>
                <w:pPr>
                  <w:rPr>
                    <w:rFonts w:ascii="Times New Roman" w:hAnsi="Times New Roman" w:cs="Times New Roman"/>
                    <w:sz w:val="24"/>
                  </w:rPr>
                </w:pP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773,820.00</w:t>
                </w:r>
              </w:p>
            </w:tc>
            <w:tc>
              <w:tcPr>
                <w:tcW w:w="816" w:type="pct"/>
                <w:shd w:val="clear" w:color="auto" w:fill="auto"/>
                <w:vAlign w:val="center"/>
              </w:tcPr>
              <w:p>
                <w:pPr>
                  <w:jc w:val="right"/>
                  <w:rPr>
                    <w:rFonts w:ascii="Times New Roman" w:hAnsi="Times New Roman" w:cs="Times New Roman"/>
                    <w:sz w:val="24"/>
                  </w:rPr>
                </w:pP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773,820.00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sdt>
              <w:sdtPr>
                <w:rPr>
                  <w:rFonts w:ascii="Times New Roman" w:hAnsi="Times New Roman" w:cs="Times New Roman"/>
                  <w:szCs w:val="21"/>
                </w:rPr>
                <w:alias w:val="无形资产减值准备增加项目名称"/>
                <w:tag w:val="_GBC_fdeb1984cba24de4886851abaa7827c6"/>
                <w:id w:val="865725413"/>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减值准备增加项目金额"/>
                <w:tag w:val="_GBC_ab9e8b1569ce4c4e9e2b5c4423f9a18d"/>
                <w:id w:val="865725414"/>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权减值准备增加项目金额"/>
                <w:tag w:val="_GBC_2a93f1c2ee784636847577b249567977"/>
                <w:id w:val="865725415"/>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减值准备增加项目金额"/>
                <w:tag w:val="_GBC_780584124aa24da189c4f1b28c31b85b"/>
                <w:id w:val="865725416"/>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减值准备增加项目金额"/>
                <w:tag w:val="_GBC_5e3c951a83494ef79ba357bd5fbc7dac"/>
                <w:id w:val="865725417"/>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减值准备增加项目合计金额"/>
                <w:tag w:val="_GBC_6b45ef0c9ecd4a5d965577e7bab2a1bd"/>
                <w:id w:val="865725418"/>
                <w:lock w:val="sdtLocked"/>
                <w:showingPlcHdr/>
              </w:sdtPr>
              <w:sdtEndPr>
                <w:rPr>
                  <w:rFonts w:ascii="Times New Roman" w:hAnsi="Times New Roman" w:cs="Times New Roman"/>
                  <w:szCs w:val="21"/>
                </w:rPr>
              </w:sdtEndPr>
              <w:sdtContent>
                <w:tc>
                  <w:tcPr>
                    <w:tcW w:w="932"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sdt>
              <w:sdtPr>
                <w:rPr>
                  <w:rFonts w:ascii="Times New Roman" w:hAnsi="Times New Roman" w:cs="Times New Roman"/>
                  <w:szCs w:val="21"/>
                </w:rPr>
                <w:alias w:val="无形资产减值准备增加项目名称"/>
                <w:tag w:val="_GBC_fdeb1984cba24de4886851abaa7827c6"/>
                <w:id w:val="865725419"/>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减值准备增加项目金额"/>
                <w:tag w:val="_GBC_ab9e8b1569ce4c4e9e2b5c4423f9a18d"/>
                <w:id w:val="865725420"/>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权减值准备增加项目金额"/>
                <w:tag w:val="_GBC_2a93f1c2ee784636847577b249567977"/>
                <w:id w:val="865725421"/>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减值准备增加项目金额"/>
                <w:tag w:val="_GBC_780584124aa24da189c4f1b28c31b85b"/>
                <w:id w:val="865725422"/>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减值准备增加项目金额"/>
                <w:tag w:val="_GBC_5e3c951a83494ef79ba357bd5fbc7dac"/>
                <w:id w:val="865725423"/>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减值准备增加项目合计金额"/>
                <w:tag w:val="_GBC_6b45ef0c9ecd4a5d965577e7bab2a1bd"/>
                <w:id w:val="865725424"/>
                <w:lock w:val="sdtLocked"/>
                <w:showingPlcHdr/>
              </w:sdtPr>
              <w:sdtEndPr>
                <w:rPr>
                  <w:rFonts w:ascii="Times New Roman" w:hAnsi="Times New Roman" w:cs="Times New Roman"/>
                  <w:szCs w:val="21"/>
                </w:rPr>
              </w:sdtEndPr>
              <w:sdtContent>
                <w:tc>
                  <w:tcPr>
                    <w:tcW w:w="932"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82ae87c72cfb4360abe17ac07d374fa6"/>
                <w:id w:val="865725425"/>
                <w:lock w:val="sdtLocked"/>
              </w:sdtPr>
              <w:sdtEndPr>
                <w:rPr>
                  <w:rFonts w:ascii="Times New Roman" w:hAnsi="Times New Roman" w:cs="Times New Roman"/>
                </w:rPr>
              </w:sdtEndPr>
              <w:sdtContent>
                <w:tc>
                  <w:tcPr>
                    <w:tcW w:w="690" w:type="pct"/>
                    <w:shd w:val="clear" w:color="auto" w:fill="auto"/>
                    <w:vAlign w:val="center"/>
                  </w:tcPr>
                  <w:p>
                    <w:pPr>
                      <w:ind w:firstLine="420" w:firstLineChars="200"/>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本期减少金额</w:t>
                    </w:r>
                  </w:p>
                </w:tc>
              </w:sdtContent>
            </w:sdt>
            <w:tc>
              <w:tcPr>
                <w:tcW w:w="874" w:type="pct"/>
                <w:shd w:val="clear" w:color="auto" w:fill="auto"/>
              </w:tcPr>
              <w:p>
                <w:pPr>
                  <w:jc w:val="right"/>
                  <w:rPr>
                    <w:rFonts w:ascii="Times New Roman" w:hAnsi="Times New Roman" w:cs="Times New Roman"/>
                    <w:szCs w:val="21"/>
                  </w:rPr>
                </w:pPr>
              </w:p>
            </w:tc>
            <w:tc>
              <w:tcPr>
                <w:tcW w:w="874" w:type="pct"/>
                <w:shd w:val="clear" w:color="auto" w:fill="auto"/>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932"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4281f362df094494bb5ac71abc4524c7"/>
                <w:id w:val="865725426"/>
                <w:lock w:val="sdtLocked"/>
              </w:sdtPr>
              <w:sdtEndPr>
                <w:rPr>
                  <w:rFonts w:ascii="Times New Roman" w:hAnsi="Times New Roman" w:cs="Times New Roman"/>
                </w:rPr>
              </w:sdtEndPr>
              <w:sdtContent>
                <w:tc>
                  <w:tcPr>
                    <w:tcW w:w="690" w:type="pct"/>
                    <w:shd w:val="clear" w:color="auto" w:fill="auto"/>
                    <w:vAlign w:val="center"/>
                  </w:tcPr>
                  <w:p>
                    <w:pPr>
                      <w:ind w:firstLine="630" w:firstLineChars="300"/>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处置</w:t>
                    </w:r>
                  </w:p>
                </w:tc>
              </w:sdtContent>
            </w:sdt>
            <w:tc>
              <w:tcPr>
                <w:tcW w:w="874" w:type="pct"/>
                <w:shd w:val="clear" w:color="auto" w:fill="auto"/>
              </w:tcPr>
              <w:p>
                <w:pPr>
                  <w:jc w:val="right"/>
                  <w:rPr>
                    <w:rFonts w:ascii="Times New Roman" w:hAnsi="Times New Roman" w:cs="Times New Roman"/>
                    <w:szCs w:val="21"/>
                  </w:rPr>
                </w:pPr>
              </w:p>
            </w:tc>
            <w:tc>
              <w:tcPr>
                <w:tcW w:w="874" w:type="pct"/>
                <w:shd w:val="clear" w:color="auto" w:fill="auto"/>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816" w:type="pct"/>
                <w:shd w:val="clear" w:color="auto" w:fill="auto"/>
                <w:vAlign w:val="center"/>
              </w:tcPr>
              <w:p>
                <w:pPr>
                  <w:jc w:val="right"/>
                  <w:rPr>
                    <w:rFonts w:ascii="Times New Roman" w:hAnsi="Times New Roman" w:cs="Times New Roman"/>
                    <w:szCs w:val="21"/>
                  </w:rPr>
                </w:pPr>
              </w:p>
            </w:tc>
            <w:tc>
              <w:tcPr>
                <w:tcW w:w="932"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sdt>
              <w:sdtPr>
                <w:rPr>
                  <w:rFonts w:ascii="Times New Roman" w:hAnsi="Times New Roman" w:cs="Times New Roman"/>
                  <w:szCs w:val="21"/>
                </w:rPr>
                <w:alias w:val="无形资产减值准备减少项目名称"/>
                <w:tag w:val="_GBC_69bf8e57afac474b88c45b6fe971d9fd"/>
                <w:id w:val="865725427"/>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减值准备减少项目金额"/>
                <w:tag w:val="_GBC_9ebf197e7cb940b9b1df42a451ab9f40"/>
                <w:id w:val="865725428"/>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权减值准备减少项目金额"/>
                <w:tag w:val="_GBC_150cfe44f4434700aa604ad8740add2b"/>
                <w:id w:val="865725429"/>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减值准备减少项目金额"/>
                <w:tag w:val="_GBC_ba3b9207974f48f5b6f6b9c8e2a2fb9f"/>
                <w:id w:val="865725430"/>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减值准备减少项目金额"/>
                <w:tag w:val="_GBC_1b7e1e33f7a9489c9574b1a64e5b0ce3"/>
                <w:id w:val="865725431"/>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减值准备减少项目合计金额"/>
                <w:tag w:val="_GBC_20704c2b46824ed38b033a4f7e174b96"/>
                <w:id w:val="865725432"/>
                <w:lock w:val="sdtLocked"/>
                <w:showingPlcHdr/>
              </w:sdtPr>
              <w:sdtEndPr>
                <w:rPr>
                  <w:rFonts w:ascii="Times New Roman" w:hAnsi="Times New Roman" w:cs="Times New Roman"/>
                  <w:szCs w:val="21"/>
                </w:rPr>
              </w:sdtEndPr>
              <w:sdtContent>
                <w:tc>
                  <w:tcPr>
                    <w:tcW w:w="932"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sdt>
              <w:sdtPr>
                <w:rPr>
                  <w:rFonts w:ascii="Times New Roman" w:hAnsi="Times New Roman" w:cs="Times New Roman"/>
                  <w:szCs w:val="21"/>
                </w:rPr>
                <w:alias w:val="无形资产减值准备减少项目名称"/>
                <w:tag w:val="_GBC_69bf8e57afac474b88c45b6fe971d9fd"/>
                <w:id w:val="865725433"/>
                <w:lock w:val="sdtLocked"/>
                <w:showingPlcHdr/>
              </w:sdtPr>
              <w:sdtEndPr>
                <w:rPr>
                  <w:rFonts w:ascii="Times New Roman" w:hAnsi="Times New Roman" w:cs="Times New Roman"/>
                  <w:szCs w:val="21"/>
                </w:rPr>
              </w:sdtEndPr>
              <w:sdtContent>
                <w:tc>
                  <w:tcPr>
                    <w:tcW w:w="690" w:type="pct"/>
                    <w:shd w:val="clear" w:color="auto" w:fill="auto"/>
                  </w:tcPr>
                  <w:p>
                    <w:pPr>
                      <w:ind w:firstLine="630" w:firstLineChars="300"/>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土地使用权减值准备减少项目金额"/>
                <w:tag w:val="_GBC_9ebf197e7cb940b9b1df42a451ab9f40"/>
                <w:id w:val="865725434"/>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专利权减值准备减少项目金额"/>
                <w:tag w:val="_GBC_150cfe44f4434700aa604ad8740add2b"/>
                <w:id w:val="865725435"/>
                <w:lock w:val="sdtLocked"/>
                <w:showingPlcHdr/>
              </w:sdtPr>
              <w:sdtEndPr>
                <w:rPr>
                  <w:rFonts w:ascii="Times New Roman" w:hAnsi="Times New Roman" w:cs="Times New Roman"/>
                  <w:szCs w:val="21"/>
                </w:rPr>
              </w:sdtEndPr>
              <w:sdtContent>
                <w:tc>
                  <w:tcPr>
                    <w:tcW w:w="874" w:type="pct"/>
                    <w:shd w:val="clear" w:color="auto" w:fill="auto"/>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非专利技术减值准备减少项目金额"/>
                <w:tag w:val="_GBC_ba3b9207974f48f5b6f6b9c8e2a2fb9f"/>
                <w:id w:val="865725436"/>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减值准备减少项目金额"/>
                <w:tag w:val="_GBC_1b7e1e33f7a9489c9574b1a64e5b0ce3"/>
                <w:id w:val="865725437"/>
                <w:lock w:val="sdtLocked"/>
                <w:showingPlcHdr/>
              </w:sdtPr>
              <w:sdtEndPr>
                <w:rPr>
                  <w:rFonts w:ascii="Times New Roman" w:hAnsi="Times New Roman" w:cs="Times New Roman"/>
                  <w:szCs w:val="21"/>
                </w:rPr>
              </w:sdtEndPr>
              <w:sdtContent>
                <w:tc>
                  <w:tcPr>
                    <w:tcW w:w="816"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sdt>
              <w:sdtPr>
                <w:rPr>
                  <w:rFonts w:ascii="Times New Roman" w:hAnsi="Times New Roman" w:cs="Times New Roman"/>
                  <w:szCs w:val="21"/>
                </w:rPr>
                <w:alias w:val="无形资产减值准备减少项目合计金额"/>
                <w:tag w:val="_GBC_20704c2b46824ed38b033a4f7e174b96"/>
                <w:id w:val="865725438"/>
                <w:lock w:val="sdtLocked"/>
                <w:showingPlcHdr/>
              </w:sdtPr>
              <w:sdtEndPr>
                <w:rPr>
                  <w:rFonts w:ascii="Times New Roman" w:hAnsi="Times New Roman" w:cs="Times New Roman"/>
                  <w:szCs w:val="21"/>
                </w:rPr>
              </w:sdtEndPr>
              <w:sdtContent>
                <w:tc>
                  <w:tcPr>
                    <w:tcW w:w="932" w:type="pct"/>
                    <w:shd w:val="clear" w:color="auto" w:fill="auto"/>
                    <w:vAlign w:val="center"/>
                  </w:tcPr>
                  <w:p>
                    <w:pPr>
                      <w:jc w:val="right"/>
                      <w:rPr>
                        <w:rFonts w:ascii="Times New Roman" w:hAnsi="Times New Roman" w:cs="Times New Roman"/>
                        <w:szCs w:val="21"/>
                      </w:rPr>
                    </w:pPr>
                    <w:r>
                      <w:rPr>
                        <w:rFonts w:ascii="Times New Roman" w:cs="Times New Roman"/>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9428ef0f2bd34dc7821d00833f5252c1"/>
                <w:id w:val="865725439"/>
                <w:lock w:val="sdtLocked"/>
              </w:sdtPr>
              <w:sdtEndPr>
                <w:rPr>
                  <w:rFonts w:ascii="Times New Roman" w:hAnsi="Times New Roman" w:cs="Times New Roman"/>
                </w:rPr>
              </w:sdtEndPr>
              <w:sdtContent>
                <w:tc>
                  <w:tcPr>
                    <w:tcW w:w="690" w:type="pct"/>
                    <w:shd w:val="clear" w:color="auto" w:fill="auto"/>
                    <w:vAlign w:val="center"/>
                  </w:tcPr>
                  <w:p>
                    <w:pPr>
                      <w:ind w:firstLine="420" w:firstLineChars="200"/>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期末余额</w:t>
                    </w:r>
                  </w:p>
                </w:tc>
              </w:sdtContent>
            </w:sdt>
            <w:tc>
              <w:tcPr>
                <w:tcW w:w="874" w:type="pct"/>
                <w:shd w:val="clear" w:color="auto" w:fill="auto"/>
                <w:vAlign w:val="center"/>
              </w:tcPr>
              <w:p>
                <w:pPr>
                  <w:rPr>
                    <w:rFonts w:ascii="Times New Roman" w:hAnsi="Times New Roman" w:cs="Times New Roman"/>
                    <w:sz w:val="24"/>
                  </w:rPr>
                </w:pPr>
              </w:p>
            </w:tc>
            <w:tc>
              <w:tcPr>
                <w:tcW w:w="874" w:type="pct"/>
                <w:shd w:val="clear" w:color="auto" w:fill="auto"/>
                <w:vAlign w:val="center"/>
              </w:tcPr>
              <w:p>
                <w:pPr>
                  <w:rPr>
                    <w:rFonts w:ascii="Times New Roman" w:hAnsi="Times New Roman" w:cs="Times New Roman"/>
                    <w:sz w:val="24"/>
                  </w:rPr>
                </w:pP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773,820.00</w:t>
                </w:r>
              </w:p>
            </w:tc>
            <w:tc>
              <w:tcPr>
                <w:tcW w:w="816" w:type="pct"/>
                <w:shd w:val="clear" w:color="auto" w:fill="auto"/>
                <w:vAlign w:val="center"/>
              </w:tcPr>
              <w:p>
                <w:pPr>
                  <w:jc w:val="right"/>
                  <w:rPr>
                    <w:rFonts w:ascii="Times New Roman" w:hAnsi="Times New Roman" w:cs="Times New Roman"/>
                    <w:sz w:val="24"/>
                  </w:rPr>
                </w:pP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773,820.00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4b0672b3afec475f9c6133950914fc81"/>
                <w:id w:val="865725440"/>
                <w:lock w:val="sdtLocked"/>
              </w:sdtPr>
              <w:sdtEndPr>
                <w:rPr>
                  <w:rFonts w:ascii="Times New Roman" w:hAnsi="Times New Roman" w:cs="Times New Roman"/>
                </w:rPr>
              </w:sdtEndPr>
              <w:sdtContent>
                <w:tc>
                  <w:tcPr>
                    <w:tcW w:w="5000" w:type="pct"/>
                    <w:gridSpan w:val="6"/>
                    <w:shd w:val="clear" w:color="auto" w:fill="auto"/>
                    <w:vAlign w:val="center"/>
                  </w:tcPr>
                  <w:p>
                    <w:pPr>
                      <w:rPr>
                        <w:rFonts w:ascii="Times New Roman" w:hAnsi="Times New Roman" w:cs="Times New Roman"/>
                        <w:szCs w:val="21"/>
                      </w:rPr>
                    </w:pPr>
                    <w:r>
                      <w:rPr>
                        <w:rFonts w:ascii="Times New Roman" w:cs="Times New Roman"/>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1fc70ce7dba842249c5899f16f4ea2f4"/>
                <w:id w:val="865725441"/>
                <w:lock w:val="sdtLocked"/>
              </w:sdtPr>
              <w:sdtEndPr>
                <w:rPr>
                  <w:rFonts w:ascii="Times New Roman" w:hAnsi="Times New Roman" w:cs="Times New Roman"/>
                </w:rPr>
              </w:sdtEndPr>
              <w:sdtContent>
                <w:tc>
                  <w:tcPr>
                    <w:tcW w:w="690" w:type="pct"/>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    1.</w:t>
                    </w:r>
                    <w:r>
                      <w:rPr>
                        <w:rFonts w:ascii="Times New Roman" w:cs="Times New Roman"/>
                        <w:szCs w:val="21"/>
                      </w:rPr>
                      <w:t>期末账面价值</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73,258,619.67</w:t>
                </w: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684,974.87</w:t>
                </w:r>
              </w:p>
            </w:tc>
            <w:tc>
              <w:tcPr>
                <w:tcW w:w="816" w:type="pct"/>
                <w:shd w:val="clear" w:color="auto" w:fill="auto"/>
                <w:vAlign w:val="center"/>
              </w:tcPr>
              <w:p>
                <w:pPr>
                  <w:jc w:val="right"/>
                  <w:rPr>
                    <w:rFonts w:ascii="Times New Roman" w:hAnsi="Times New Roman" w:cs="Times New Roman"/>
                    <w:sz w:val="24"/>
                  </w:rPr>
                </w:pP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3,870,973.43</w:t>
                </w: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77,814,567.97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imes New Roman" w:hAnsi="Times New Roman" w:cs="Times New Roman"/>
                </w:rPr>
                <w:tag w:val="_PLD_b71bc5d491a34e85a1ce292ad355233a"/>
                <w:id w:val="865725442"/>
                <w:lock w:val="sdtLocked"/>
              </w:sdtPr>
              <w:sdtEndPr>
                <w:rPr>
                  <w:rFonts w:ascii="Times New Roman" w:hAnsi="Times New Roman" w:cs="Times New Roman"/>
                </w:rPr>
              </w:sdtEndPr>
              <w:sdtContent>
                <w:tc>
                  <w:tcPr>
                    <w:tcW w:w="690" w:type="pct"/>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    2.</w:t>
                    </w:r>
                    <w:r>
                      <w:rPr>
                        <w:rFonts w:ascii="Times New Roman" w:cs="Times New Roman"/>
                        <w:szCs w:val="21"/>
                      </w:rPr>
                      <w:t>期初账面价值</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75,274,839.39</w:t>
                </w: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792,731.75</w:t>
                </w: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773,820.00</w:t>
                </w:r>
              </w:p>
            </w:tc>
            <w:tc>
              <w:tcPr>
                <w:tcW w:w="816" w:type="pct"/>
                <w:shd w:val="clear" w:color="auto" w:fill="auto"/>
                <w:vAlign w:val="center"/>
              </w:tcPr>
              <w:p>
                <w:pPr>
                  <w:jc w:val="right"/>
                  <w:rPr>
                    <w:rFonts w:ascii="Times New Roman" w:hAnsi="Times New Roman" w:cs="Times New Roman"/>
                    <w:sz w:val="24"/>
                  </w:rPr>
                </w:pPr>
                <w:r>
                  <w:rPr>
                    <w:rFonts w:ascii="Times New Roman" w:hAnsi="Times New Roman" w:cs="Times New Roman"/>
                  </w:rPr>
                  <w:t>4,354,845.11</w:t>
                </w: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81,196,236.25</w:t>
                </w:r>
              </w:p>
            </w:tc>
          </w:tr>
        </w:tbl>
        <w:p>
          <w:pPr>
            <w:snapToGrid w:val="0"/>
            <w:spacing w:line="240" w:lineRule="atLeast"/>
            <w:rPr>
              <w:szCs w:val="21"/>
            </w:rPr>
          </w:pPr>
          <w:r>
            <w:rPr>
              <w:rFonts w:hint="eastAsia"/>
            </w:rPr>
            <w:t>其他说明</w:t>
          </w:r>
          <w:r>
            <w:t>：无形资产抵押详见“七、合并财务报表注释32、“短期借款”和81、所有权或使用权受到限制的资产”。</w:t>
          </w:r>
        </w:p>
      </w:sdtContent>
    </w:sdt>
    <w:bookmarkEnd w:id="187"/>
    <w:sdt>
      <w:sdtPr>
        <w:rPr>
          <w:rFonts w:hint="eastAsia" w:ascii="宋体" w:hAnsi="宋体" w:eastAsia="宋体" w:cs="宋体"/>
          <w:b w:val="0"/>
          <w:bCs w:val="0"/>
          <w:kern w:val="0"/>
          <w:szCs w:val="24"/>
        </w:rPr>
        <w:alias w:val="模块:未办妥产权证书的土地使用权情况："/>
        <w:tag w:val="_SEC_1b15a58332a3426ebeab40769f9c3df1"/>
        <w:id w:val="865725446"/>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3"/>
              <w:numId w:val="94"/>
            </w:numPr>
            <w:ind w:left="426" w:hanging="426"/>
          </w:pPr>
          <w:r>
            <w:rPr>
              <w:rFonts w:hint="eastAsia"/>
            </w:rPr>
            <w:t>未办妥产权证书的土地使用权情况</w:t>
          </w:r>
        </w:p>
        <w:p>
          <w:pPr>
            <w:rPr>
              <w:szCs w:val="21"/>
            </w:rPr>
          </w:pPr>
          <w:sdt>
            <w:sdtPr>
              <w:alias w:val="是否适用：未办妥产权证书的土地使用权情况[双击切换]"/>
              <w:tag w:val="_GBC_62bb02d09b844cb69dfe16466ac211c9"/>
              <w:id w:val="865725445"/>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Content>
    </w:sdt>
    <w:sdt>
      <w:sdtPr>
        <w:rPr>
          <w:szCs w:val="21"/>
        </w:rPr>
        <w:alias w:val="模块:无形资产说明"/>
        <w:tag w:val="_SEC_eb6a679b93d847e9a41997ee579c0c0b"/>
        <w:id w:val="865725449"/>
        <w:lock w:val="sdtLocked"/>
        <w:placeholder>
          <w:docPart w:val="GBC22222222222222222222222222222"/>
        </w:placeholder>
      </w:sdtPr>
      <w:sdtEndPr>
        <w:rPr>
          <w:szCs w:val="21"/>
        </w:rPr>
      </w:sdtEndPr>
      <w:sdtContent>
        <w:p>
          <w:pPr>
            <w:rPr>
              <w:szCs w:val="21"/>
            </w:rPr>
          </w:pPr>
          <w:r>
            <w:rPr>
              <w:rFonts w:hint="eastAsia"/>
              <w:szCs w:val="21"/>
            </w:rPr>
            <w:t>其他说明：</w:t>
          </w:r>
        </w:p>
        <w:sdt>
          <w:sdtPr>
            <w:rPr>
              <w:szCs w:val="21"/>
            </w:rPr>
            <w:alias w:val="是否适用：无形资产的说明[双击切换]"/>
            <w:tag w:val="_GBC_ff92654365f04f7ba71b01dd8af2f696"/>
            <w:id w:val="86572544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szCs w:val="21"/>
            </w:rPr>
          </w:pPr>
        </w:p>
      </w:sdtContent>
    </w:sdt>
    <w:sdt>
      <w:sdtPr>
        <w:rPr>
          <w:rFonts w:hint="eastAsia" w:ascii="宋体" w:hAnsi="宋体" w:cs="宋体"/>
          <w:b w:val="0"/>
          <w:bCs w:val="0"/>
          <w:kern w:val="0"/>
          <w:szCs w:val="21"/>
        </w:rPr>
        <w:alias w:val="模块:公司开发项目支出"/>
        <w:tag w:val="_SEC_cf72b8a1a8b94a6db030e4d63349f86b"/>
        <w:id w:val="865725451"/>
        <w:lock w:val="sdtLocked"/>
        <w:placeholder>
          <w:docPart w:val="GBC22222222222222222222222222222"/>
        </w:placeholder>
      </w:sdtPr>
      <w:sdtEndPr>
        <w:rPr>
          <w:rFonts w:hint="default" w:ascii="宋体" w:hAnsi="宋体" w:cstheme="minorBidi"/>
          <w:b w:val="0"/>
          <w:bCs w:val="0"/>
          <w:kern w:val="2"/>
          <w:szCs w:val="21"/>
        </w:rPr>
      </w:sdtEndPr>
      <w:sdtContent>
        <w:p>
          <w:pPr>
            <w:pStyle w:val="4"/>
            <w:numPr>
              <w:ilvl w:val="0"/>
              <w:numId w:val="79"/>
            </w:numPr>
            <w:tabs>
              <w:tab w:val="left" w:pos="504"/>
            </w:tabs>
            <w:rPr>
              <w:rFonts w:ascii="宋体" w:hAnsi="宋体"/>
              <w:kern w:val="0"/>
              <w:szCs w:val="21"/>
            </w:rPr>
          </w:pPr>
          <w:r>
            <w:rPr>
              <w:rFonts w:hint="eastAsia" w:ascii="宋体" w:hAnsi="宋体"/>
              <w:szCs w:val="21"/>
            </w:rPr>
            <w:t>开发</w:t>
          </w:r>
          <w:r>
            <w:rPr>
              <w:rFonts w:hint="eastAsia" w:ascii="宋体" w:hAnsi="宋体"/>
              <w:kern w:val="0"/>
              <w:szCs w:val="21"/>
            </w:rPr>
            <w:t>支出</w:t>
          </w:r>
        </w:p>
        <w:sdt>
          <w:sdtPr>
            <w:alias w:val="是否适用：开发支出[双击切换]"/>
            <w:tag w:val="_GBC_ba9b0ed4b3c84b5a929932077b5d61e7"/>
            <w:id w:val="865725450"/>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p>
          <w:pPr>
            <w:snapToGrid w:val="0"/>
            <w:spacing w:line="240" w:lineRule="atLeast"/>
            <w:rPr>
              <w:szCs w:val="21"/>
            </w:rPr>
          </w:pPr>
        </w:p>
      </w:sdtContent>
    </w:sdt>
    <w:sdt>
      <w:sdtPr>
        <w:rPr>
          <w:rFonts w:hint="eastAsia" w:ascii="宋体" w:hAnsi="宋体" w:cs="宋体"/>
          <w:b w:val="0"/>
          <w:bCs w:val="0"/>
          <w:kern w:val="0"/>
          <w:szCs w:val="21"/>
        </w:rPr>
        <w:alias w:val="模块:商誉"/>
        <w:tag w:val="_SEC_c1b37e49b4784cd69e2bf4154039a71f"/>
        <w:id w:val="865725472"/>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79"/>
            </w:numPr>
            <w:tabs>
              <w:tab w:val="left" w:pos="504"/>
            </w:tabs>
            <w:rPr>
              <w:rFonts w:ascii="宋体" w:hAnsi="宋体"/>
              <w:szCs w:val="21"/>
            </w:rPr>
          </w:pPr>
          <w:r>
            <w:rPr>
              <w:rFonts w:hint="eastAsia" w:ascii="宋体" w:hAnsi="宋体"/>
              <w:szCs w:val="21"/>
            </w:rPr>
            <w:t>商誉</w:t>
          </w:r>
        </w:p>
        <w:p>
          <w:pPr>
            <w:pStyle w:val="5"/>
            <w:numPr>
              <w:ilvl w:val="3"/>
              <w:numId w:val="95"/>
            </w:numPr>
            <w:ind w:left="426" w:hanging="426"/>
          </w:pPr>
          <w:r>
            <w:rPr>
              <w:rFonts w:hint="eastAsia"/>
            </w:rPr>
            <w:t>商誉账面原值</w:t>
          </w:r>
        </w:p>
        <w:sdt>
          <w:sdtPr>
            <w:alias w:val="是否适用：商誉账面原值[双击切换]"/>
            <w:tag w:val="_GBC_ef393f0687ab4747a43cd96895a18dcb"/>
            <w:id w:val="86572545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商誉"/>
              <w:tag w:val="_GBC_1969cb3272364bc49f9ccb754d95df61"/>
              <w:id w:val="8657254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8657254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47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571"/>
            <w:gridCol w:w="1206"/>
            <w:gridCol w:w="863"/>
            <w:gridCol w:w="724"/>
            <w:gridCol w:w="838"/>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rPr>
                  <w:rFonts w:ascii="Times New Roman" w:hAnsi="Times New Roman" w:cs="Times New Roman"/>
                </w:rPr>
                <w:tag w:val="_PLD_321a0416f313455db9437f8692d7d27e"/>
                <w:id w:val="865725455"/>
                <w:lock w:val="sdtLocked"/>
              </w:sdtPr>
              <w:sdtEndPr>
                <w:rPr>
                  <w:rFonts w:ascii="Times New Roman" w:hAnsi="Times New Roman" w:cs="Times New Roman"/>
                </w:rPr>
              </w:sdtEndPr>
              <w:sdtContent>
                <w:tc>
                  <w:tcPr>
                    <w:tcW w:w="1117" w:type="pct"/>
                    <w:vMerge w:val="restart"/>
                    <w:shd w:val="clear" w:color="auto" w:fill="auto"/>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被投资单位名称或形成商誉的事项</w:t>
                    </w:r>
                  </w:p>
                </w:tc>
              </w:sdtContent>
            </w:sdt>
            <w:sdt>
              <w:sdtPr>
                <w:rPr>
                  <w:rFonts w:ascii="Times New Roman" w:hAnsi="Times New Roman" w:cs="Times New Roman"/>
                </w:rPr>
                <w:tag w:val="_PLD_f188a95931d64e73a28589bedff91f08"/>
                <w:id w:val="865725456"/>
                <w:lock w:val="sdtLocked"/>
              </w:sdtPr>
              <w:sdtEndPr>
                <w:rPr>
                  <w:rFonts w:ascii="Times New Roman" w:hAnsi="Times New Roman" w:cs="Times New Roman"/>
                </w:rPr>
              </w:sdtEndPr>
              <w:sdtContent>
                <w:tc>
                  <w:tcPr>
                    <w:tcW w:w="905" w:type="pct"/>
                    <w:vMerge w:val="restart"/>
                    <w:shd w:val="clear" w:color="auto" w:fill="auto"/>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期初余额</w:t>
                    </w:r>
                  </w:p>
                </w:tc>
              </w:sdtContent>
            </w:sdt>
            <w:sdt>
              <w:sdtPr>
                <w:rPr>
                  <w:rFonts w:ascii="Times New Roman" w:hAnsi="Times New Roman" w:cs="Times New Roman"/>
                </w:rPr>
                <w:tag w:val="_PLD_fe0863051d574b7da3ab0c8be387303e"/>
                <w:id w:val="865725457"/>
                <w:lock w:val="sdtLocked"/>
              </w:sdtPr>
              <w:sdtEndPr>
                <w:rPr>
                  <w:rFonts w:ascii="Times New Roman" w:hAnsi="Times New Roman" w:cs="Times New Roman"/>
                </w:rPr>
              </w:sdtEndPr>
              <w:sdtContent>
                <w:tc>
                  <w:tcPr>
                    <w:tcW w:w="1192" w:type="pct"/>
                    <w:gridSpan w:val="2"/>
                    <w:shd w:val="clear" w:color="auto" w:fill="auto"/>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本期增加</w:t>
                    </w:r>
                  </w:p>
                </w:tc>
              </w:sdtContent>
            </w:sdt>
            <w:sdt>
              <w:sdtPr>
                <w:rPr>
                  <w:rFonts w:ascii="Times New Roman" w:hAnsi="Times New Roman" w:cs="Times New Roman"/>
                </w:rPr>
                <w:tag w:val="_PLD_ce868c17962f49c4aa34996033f79dd2"/>
                <w:id w:val="865725458"/>
                <w:lock w:val="sdtLocked"/>
              </w:sdtPr>
              <w:sdtEndPr>
                <w:rPr>
                  <w:rFonts w:ascii="Times New Roman" w:hAnsi="Times New Roman" w:cs="Times New Roman"/>
                </w:rPr>
              </w:sdtEndPr>
              <w:sdtContent>
                <w:tc>
                  <w:tcPr>
                    <w:tcW w:w="899" w:type="pct"/>
                    <w:gridSpan w:val="2"/>
                    <w:shd w:val="clear" w:color="auto" w:fill="auto"/>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本期减少</w:t>
                    </w:r>
                  </w:p>
                </w:tc>
              </w:sdtContent>
            </w:sdt>
            <w:sdt>
              <w:sdtPr>
                <w:rPr>
                  <w:rFonts w:ascii="Times New Roman" w:hAnsi="Times New Roman" w:cs="Times New Roman"/>
                </w:rPr>
                <w:tag w:val="_PLD_9b7450bb10fb432a80b42e729cd30f12"/>
                <w:id w:val="865725459"/>
                <w:lock w:val="sdtLocked"/>
              </w:sdtPr>
              <w:sdtEndPr>
                <w:rPr>
                  <w:rFonts w:ascii="Times New Roman" w:hAnsi="Times New Roman" w:cs="Times New Roman"/>
                </w:rPr>
              </w:sdtEndPr>
              <w:sdtContent>
                <w:tc>
                  <w:tcPr>
                    <w:tcW w:w="887" w:type="pct"/>
                    <w:vMerge w:val="restart"/>
                    <w:shd w:val="clear" w:color="auto" w:fill="auto"/>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17" w:type="pct"/>
                <w:vMerge w:val="continue"/>
                <w:shd w:val="clear" w:color="auto" w:fill="auto"/>
              </w:tcPr>
              <w:p>
                <w:pPr>
                  <w:autoSpaceDE w:val="0"/>
                  <w:autoSpaceDN w:val="0"/>
                  <w:adjustRightInd w:val="0"/>
                  <w:snapToGrid w:val="0"/>
                  <w:jc w:val="center"/>
                  <w:rPr>
                    <w:rFonts w:ascii="Times New Roman" w:hAnsi="Times New Roman" w:cs="Times New Roman"/>
                    <w:szCs w:val="21"/>
                  </w:rPr>
                </w:pPr>
              </w:p>
            </w:tc>
            <w:tc>
              <w:tcPr>
                <w:tcW w:w="905" w:type="pct"/>
                <w:vMerge w:val="continue"/>
                <w:shd w:val="clear" w:color="auto" w:fill="auto"/>
              </w:tcPr>
              <w:p>
                <w:pPr>
                  <w:autoSpaceDE w:val="0"/>
                  <w:autoSpaceDN w:val="0"/>
                  <w:adjustRightInd w:val="0"/>
                  <w:snapToGrid w:val="0"/>
                  <w:jc w:val="center"/>
                  <w:rPr>
                    <w:rFonts w:ascii="Times New Roman" w:hAnsi="Times New Roman" w:cs="Times New Roman"/>
                    <w:szCs w:val="21"/>
                  </w:rPr>
                </w:pPr>
              </w:p>
            </w:tc>
            <w:sdt>
              <w:sdtPr>
                <w:rPr>
                  <w:rFonts w:ascii="Times New Roman" w:hAnsi="Times New Roman" w:cs="Times New Roman"/>
                </w:rPr>
                <w:tag w:val="_PLD_84318b21f9b643c3b358d0716c43d0ec"/>
                <w:id w:val="865725460"/>
                <w:lock w:val="sdtLocked"/>
              </w:sdtPr>
              <w:sdtEndPr>
                <w:rPr>
                  <w:rFonts w:ascii="Times New Roman" w:hAnsi="Times New Roman" w:cs="Times New Roman"/>
                </w:rPr>
              </w:sdtEndPr>
              <w:sdtContent>
                <w:tc>
                  <w:tcPr>
                    <w:tcW w:w="695" w:type="pct"/>
                    <w:shd w:val="clear" w:color="auto" w:fill="auto"/>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企业合并形成的</w:t>
                    </w:r>
                  </w:p>
                </w:tc>
              </w:sdtContent>
            </w:sdt>
            <w:sdt>
              <w:sdtPr>
                <w:rPr>
                  <w:rFonts w:ascii="Times New Roman" w:hAnsi="Times New Roman" w:cs="Times New Roman"/>
                  <w:szCs w:val="21"/>
                </w:rPr>
                <w:alias w:val="商誉账面原值本期增加额项目名称"/>
                <w:tag w:val="_GBC_fe66c6d60c044d9ea6469875d95f3d99"/>
                <w:id w:val="865725461"/>
                <w:lock w:val="sdtLocked"/>
                <w:showingPlcHdr/>
              </w:sdtPr>
              <w:sdtEndPr>
                <w:rPr>
                  <w:rFonts w:ascii="Times New Roman" w:hAnsi="Times New Roman" w:cs="Times New Roman"/>
                  <w:szCs w:val="21"/>
                </w:rPr>
              </w:sdtEndPr>
              <w:sdtContent>
                <w:tc>
                  <w:tcPr>
                    <w:tcW w:w="497" w:type="pct"/>
                    <w:shd w:val="clear" w:color="auto" w:fill="auto"/>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　</w:t>
                    </w:r>
                  </w:p>
                </w:tc>
              </w:sdtContent>
            </w:sdt>
            <w:sdt>
              <w:sdtPr>
                <w:rPr>
                  <w:rFonts w:ascii="Times New Roman" w:hAnsi="Times New Roman" w:cs="Times New Roman"/>
                </w:rPr>
                <w:tag w:val="_PLD_6983282e8b8843a39f6925589e64f7d6"/>
                <w:id w:val="865725462"/>
                <w:lock w:val="sdtLocked"/>
              </w:sdtPr>
              <w:sdtEndPr>
                <w:rPr>
                  <w:rFonts w:ascii="Times New Roman" w:hAnsi="Times New Roman" w:cs="Times New Roman"/>
                </w:rPr>
              </w:sdtEndPr>
              <w:sdtContent>
                <w:tc>
                  <w:tcPr>
                    <w:tcW w:w="417" w:type="pct"/>
                    <w:shd w:val="clear" w:color="auto" w:fill="auto"/>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处置</w:t>
                    </w:r>
                  </w:p>
                </w:tc>
              </w:sdtContent>
            </w:sdt>
            <w:sdt>
              <w:sdtPr>
                <w:rPr>
                  <w:rFonts w:ascii="Times New Roman" w:hAnsi="Times New Roman" w:cs="Times New Roman"/>
                  <w:szCs w:val="21"/>
                </w:rPr>
                <w:alias w:val="商誉账面原值本期减少额项目名称"/>
                <w:tag w:val="_GBC_8b97f290d55f4abf952a5db1e21a7423"/>
                <w:id w:val="865725463"/>
                <w:lock w:val="sdtLocked"/>
                <w:showingPlcHdr/>
              </w:sdtPr>
              <w:sdtEndPr>
                <w:rPr>
                  <w:rFonts w:ascii="Times New Roman" w:hAnsi="Times New Roman" w:cs="Times New Roman"/>
                  <w:szCs w:val="21"/>
                </w:rPr>
              </w:sdtEndPr>
              <w:sdtContent>
                <w:tc>
                  <w:tcPr>
                    <w:tcW w:w="483" w:type="pct"/>
                    <w:shd w:val="clear" w:color="auto" w:fill="auto"/>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　</w:t>
                    </w:r>
                  </w:p>
                </w:tc>
              </w:sdtContent>
            </w:sdt>
            <w:tc>
              <w:tcPr>
                <w:tcW w:w="887" w:type="pct"/>
                <w:vMerge w:val="continue"/>
                <w:shd w:val="clear" w:color="auto" w:fill="auto"/>
              </w:tcPr>
              <w:p>
                <w:pPr>
                  <w:autoSpaceDE w:val="0"/>
                  <w:autoSpaceDN w:val="0"/>
                  <w:adjustRightInd w:val="0"/>
                  <w:snapToGrid w:val="0"/>
                  <w:jc w:val="center"/>
                  <w:rPr>
                    <w:rFonts w:ascii="Times New Roman" w:hAnsi="Times New Roman" w:cs="Times New Roman"/>
                    <w:szCs w:val="21"/>
                  </w:rPr>
                </w:pPr>
              </w:p>
            </w:tc>
          </w:tr>
          <w:sdt>
            <w:sdtPr>
              <w:rPr>
                <w:rFonts w:ascii="Times New Roman" w:hAnsi="Times New Roman" w:cs="Times New Roman"/>
                <w:szCs w:val="21"/>
              </w:rPr>
              <w:alias w:val="商誉明细"/>
              <w:tag w:val="_TUP_cb7b206e3e324731903e20055ee50cd8"/>
              <w:id w:val="86572546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117" w:type="pct"/>
                    <w:shd w:val="clear" w:color="auto" w:fill="auto"/>
                  </w:tcPr>
                  <w:p>
                    <w:pPr>
                      <w:autoSpaceDE w:val="0"/>
                      <w:autoSpaceDN w:val="0"/>
                      <w:adjustRightInd w:val="0"/>
                      <w:snapToGrid w:val="0"/>
                      <w:rPr>
                        <w:rFonts w:ascii="Times New Roman" w:hAnsi="Times New Roman" w:cs="Times New Roman"/>
                        <w:szCs w:val="21"/>
                      </w:rPr>
                    </w:pPr>
                    <w:r>
                      <w:rPr>
                        <w:rFonts w:ascii="Times New Roman" w:cs="Times New Roman"/>
                      </w:rPr>
                      <w:t>广西两面针亿康药业股份有限公司</w:t>
                    </w:r>
                  </w:p>
                </w:tc>
                <w:tc>
                  <w:tcPr>
                    <w:tcW w:w="905" w:type="pct"/>
                    <w:shd w:val="clear" w:color="auto" w:fill="auto"/>
                    <w:vAlign w:val="center"/>
                  </w:tcPr>
                  <w:p>
                    <w:pPr>
                      <w:autoSpaceDE w:val="0"/>
                      <w:autoSpaceDN w:val="0"/>
                      <w:adjustRightInd w:val="0"/>
                      <w:snapToGrid w:val="0"/>
                      <w:jc w:val="right"/>
                      <w:rPr>
                        <w:rFonts w:ascii="Times New Roman" w:hAnsi="Times New Roman" w:cs="Times New Roman"/>
                        <w:szCs w:val="21"/>
                      </w:rPr>
                    </w:pPr>
                    <w:r>
                      <w:rPr>
                        <w:rFonts w:ascii="Times New Roman" w:hAnsi="Times New Roman" w:cs="Times New Roman"/>
                      </w:rPr>
                      <w:t>3,405,975.91</w:t>
                    </w:r>
                  </w:p>
                </w:tc>
                <w:tc>
                  <w:tcPr>
                    <w:tcW w:w="695"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497"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417"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483"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887" w:type="pct"/>
                    <w:shd w:val="clear" w:color="auto" w:fill="auto"/>
                    <w:vAlign w:val="center"/>
                  </w:tcPr>
                  <w:p>
                    <w:pPr>
                      <w:autoSpaceDE w:val="0"/>
                      <w:autoSpaceDN w:val="0"/>
                      <w:adjustRightInd w:val="0"/>
                      <w:snapToGrid w:val="0"/>
                      <w:jc w:val="right"/>
                      <w:rPr>
                        <w:rFonts w:ascii="Times New Roman" w:hAnsi="Times New Roman" w:cs="Times New Roman"/>
                        <w:szCs w:val="21"/>
                      </w:rPr>
                    </w:pPr>
                    <w:r>
                      <w:rPr>
                        <w:rFonts w:ascii="Times New Roman" w:hAnsi="Times New Roman" w:cs="Times New Roman"/>
                      </w:rPr>
                      <w:t>3,405,975.91</w:t>
                    </w:r>
                  </w:p>
                </w:tc>
              </w:tr>
            </w:sdtContent>
          </w:sdt>
          <w:sdt>
            <w:sdtPr>
              <w:rPr>
                <w:rFonts w:ascii="Times New Roman" w:hAnsi="Times New Roman" w:cs="Times New Roman"/>
                <w:szCs w:val="21"/>
              </w:rPr>
              <w:alias w:val="商誉明细"/>
              <w:tag w:val="_TUP_cb7b206e3e324731903e20055ee50cd8"/>
              <w:id w:val="86572546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117" w:type="pct"/>
                    <w:shd w:val="clear" w:color="auto" w:fill="auto"/>
                  </w:tcPr>
                  <w:p>
                    <w:pPr>
                      <w:autoSpaceDE w:val="0"/>
                      <w:autoSpaceDN w:val="0"/>
                      <w:adjustRightInd w:val="0"/>
                      <w:snapToGrid w:val="0"/>
                      <w:rPr>
                        <w:rFonts w:ascii="Times New Roman" w:hAnsi="Times New Roman" w:cs="Times New Roman"/>
                        <w:szCs w:val="21"/>
                      </w:rPr>
                    </w:pPr>
                  </w:p>
                </w:tc>
                <w:tc>
                  <w:tcPr>
                    <w:tcW w:w="905"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695"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497" w:type="pct"/>
                    <w:shd w:val="clear" w:color="auto" w:fill="auto"/>
                    <w:vAlign w:val="center"/>
                  </w:tcPr>
                  <w:p>
                    <w:pPr>
                      <w:autoSpaceDE w:val="0"/>
                      <w:autoSpaceDN w:val="0"/>
                      <w:adjustRightInd w:val="0"/>
                      <w:snapToGrid w:val="0"/>
                      <w:ind w:right="-73" w:rightChars="-35"/>
                      <w:jc w:val="right"/>
                      <w:rPr>
                        <w:rFonts w:ascii="Times New Roman" w:hAnsi="Times New Roman" w:cs="Times New Roman"/>
                        <w:szCs w:val="21"/>
                      </w:rPr>
                    </w:pPr>
                  </w:p>
                </w:tc>
                <w:tc>
                  <w:tcPr>
                    <w:tcW w:w="417"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483"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887" w:type="pct"/>
                    <w:shd w:val="clear" w:color="auto" w:fill="auto"/>
                    <w:vAlign w:val="center"/>
                  </w:tcPr>
                  <w:p>
                    <w:pPr>
                      <w:autoSpaceDE w:val="0"/>
                      <w:autoSpaceDN w:val="0"/>
                      <w:adjustRightInd w:val="0"/>
                      <w:snapToGrid w:val="0"/>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sdt>
              <w:sdtPr>
                <w:rPr>
                  <w:rFonts w:ascii="Times New Roman" w:hAnsi="Times New Roman" w:cs="Times New Roman"/>
                </w:rPr>
                <w:tag w:val="_PLD_c49dc0bb40674733845e63fbaa2cd124"/>
                <w:id w:val="865725466"/>
                <w:lock w:val="sdtLocked"/>
              </w:sdtPr>
              <w:sdtEndPr>
                <w:rPr>
                  <w:rFonts w:ascii="Times New Roman" w:hAnsi="Times New Roman" w:cs="Times New Roman"/>
                </w:rPr>
              </w:sdtEndPr>
              <w:sdtContent>
                <w:tc>
                  <w:tcPr>
                    <w:tcW w:w="1117" w:type="pct"/>
                    <w:shd w:val="clear" w:color="auto" w:fill="auto"/>
                    <w:vAlign w:val="center"/>
                  </w:tcPr>
                  <w:p>
                    <w:pPr>
                      <w:autoSpaceDE w:val="0"/>
                      <w:autoSpaceDN w:val="0"/>
                      <w:adjustRightInd w:val="0"/>
                      <w:snapToGrid w:val="0"/>
                      <w:jc w:val="center"/>
                      <w:rPr>
                        <w:rFonts w:ascii="Times New Roman" w:hAnsi="Times New Roman" w:cs="Times New Roman"/>
                        <w:szCs w:val="21"/>
                        <w:u w:val="double"/>
                      </w:rPr>
                    </w:pPr>
                    <w:r>
                      <w:rPr>
                        <w:rFonts w:ascii="Times New Roman" w:cs="Times New Roman"/>
                        <w:szCs w:val="21"/>
                      </w:rPr>
                      <w:t>合计</w:t>
                    </w:r>
                  </w:p>
                </w:tc>
              </w:sdtContent>
            </w:sdt>
            <w:tc>
              <w:tcPr>
                <w:tcW w:w="905" w:type="pct"/>
                <w:shd w:val="clear" w:color="auto" w:fill="auto"/>
                <w:vAlign w:val="center"/>
              </w:tcPr>
              <w:p>
                <w:pPr>
                  <w:jc w:val="right"/>
                  <w:rPr>
                    <w:rFonts w:ascii="Times New Roman" w:hAnsi="Times New Roman" w:cs="Times New Roman"/>
                    <w:sz w:val="24"/>
                  </w:rPr>
                </w:pPr>
                <w:r>
                  <w:rPr>
                    <w:rFonts w:ascii="Times New Roman" w:hAnsi="Times New Roman" w:cs="Times New Roman"/>
                  </w:rPr>
                  <w:t>3,405,975.91</w:t>
                </w:r>
              </w:p>
            </w:tc>
            <w:tc>
              <w:tcPr>
                <w:tcW w:w="695" w:type="pct"/>
                <w:shd w:val="clear" w:color="auto" w:fill="auto"/>
                <w:vAlign w:val="center"/>
              </w:tcPr>
              <w:p>
                <w:pPr>
                  <w:jc w:val="right"/>
                  <w:rPr>
                    <w:rFonts w:ascii="Times New Roman" w:hAnsi="Times New Roman" w:cs="Times New Roman"/>
                    <w:sz w:val="24"/>
                  </w:rPr>
                </w:pPr>
              </w:p>
            </w:tc>
            <w:tc>
              <w:tcPr>
                <w:tcW w:w="497" w:type="pct"/>
                <w:shd w:val="clear" w:color="auto" w:fill="auto"/>
                <w:vAlign w:val="center"/>
              </w:tcPr>
              <w:p>
                <w:pPr>
                  <w:jc w:val="right"/>
                  <w:rPr>
                    <w:rFonts w:ascii="Times New Roman" w:hAnsi="Times New Roman" w:cs="Times New Roman"/>
                    <w:sz w:val="24"/>
                  </w:rPr>
                </w:pPr>
              </w:p>
            </w:tc>
            <w:tc>
              <w:tcPr>
                <w:tcW w:w="417" w:type="pct"/>
                <w:shd w:val="clear" w:color="auto" w:fill="auto"/>
                <w:vAlign w:val="center"/>
              </w:tcPr>
              <w:p>
                <w:pPr>
                  <w:jc w:val="right"/>
                  <w:rPr>
                    <w:rFonts w:ascii="Times New Roman" w:hAnsi="Times New Roman" w:cs="Times New Roman"/>
                    <w:sz w:val="24"/>
                  </w:rPr>
                </w:pPr>
              </w:p>
            </w:tc>
            <w:tc>
              <w:tcPr>
                <w:tcW w:w="483" w:type="pct"/>
                <w:shd w:val="clear" w:color="auto" w:fill="auto"/>
                <w:vAlign w:val="center"/>
              </w:tcPr>
              <w:p>
                <w:pPr>
                  <w:jc w:val="right"/>
                  <w:rPr>
                    <w:rFonts w:ascii="Times New Roman" w:hAnsi="Times New Roman" w:cs="Times New Roman"/>
                    <w:sz w:val="24"/>
                  </w:rPr>
                </w:pPr>
              </w:p>
            </w:tc>
            <w:tc>
              <w:tcPr>
                <w:tcW w:w="887" w:type="pct"/>
                <w:shd w:val="clear" w:color="auto" w:fill="auto"/>
                <w:vAlign w:val="center"/>
              </w:tcPr>
              <w:p>
                <w:pPr>
                  <w:jc w:val="right"/>
                  <w:rPr>
                    <w:rFonts w:ascii="Times New Roman" w:hAnsi="Times New Roman" w:cs="Times New Roman"/>
                    <w:sz w:val="24"/>
                  </w:rPr>
                </w:pPr>
                <w:r>
                  <w:rPr>
                    <w:rFonts w:ascii="Times New Roman" w:hAnsi="Times New Roman" w:cs="Times New Roman"/>
                  </w:rPr>
                  <w:t>3,405,975.91</w:t>
                </w:r>
              </w:p>
            </w:tc>
          </w:tr>
        </w:tbl>
        <w:p/>
        <w:p>
          <w:pPr>
            <w:pStyle w:val="5"/>
            <w:numPr>
              <w:ilvl w:val="3"/>
              <w:numId w:val="95"/>
            </w:numPr>
            <w:ind w:left="426" w:hanging="426"/>
          </w:pPr>
          <w:r>
            <w:rPr>
              <w:rFonts w:hint="eastAsia"/>
            </w:rPr>
            <w:t>商誉减值准备</w:t>
          </w:r>
        </w:p>
        <w:sdt>
          <w:sdtPr>
            <w:alias w:val="是否适用：商誉减值准备[双击切换]"/>
            <w:tag w:val="_GBC_6da4c3df55cf453f9753bb7045db7e9c"/>
            <w:id w:val="86572546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
            <w:numPr>
              <w:ilvl w:val="3"/>
              <w:numId w:val="95"/>
            </w:numPr>
            <w:ind w:left="424" w:hanging="424" w:hangingChars="201"/>
          </w:pPr>
          <w:r>
            <w:rPr>
              <w:rFonts w:hint="eastAsia"/>
            </w:rPr>
            <w:t>商誉所在资产组或资产组组合的相关信息</w:t>
          </w:r>
        </w:p>
        <w:sdt>
          <w:sdtPr>
            <w:alias w:val="是否适用：商誉所在资产组或资产组组合的相关信息[双击切换]"/>
            <w:tag w:val="_GBC_9f9bd4d9cf084d4594694aa545981d14"/>
            <w:id w:val="86572546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Pr>
            <w:pStyle w:val="5"/>
            <w:numPr>
              <w:ilvl w:val="3"/>
              <w:numId w:val="95"/>
            </w:numPr>
            <w:ind w:left="424" w:hanging="424" w:hangingChars="201"/>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865725469"/>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5"/>
            <w:numPr>
              <w:ilvl w:val="3"/>
              <w:numId w:val="95"/>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86572547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r>
            <w:rPr>
              <w:rFonts w:hint="eastAsia"/>
            </w:rPr>
            <w:t>其他说明</w:t>
          </w:r>
        </w:p>
        <w:sdt>
          <w:sdtPr>
            <w:alias w:val="是否适用：商誉其他需要说明的事项[双击切换]"/>
            <w:tag w:val="_GBC_99f8ebd0cb464294bea4051ad19cf581"/>
            <w:id w:val="865725471"/>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rFonts w:cstheme="minorBidi"/>
              <w:kern w:val="2"/>
              <w:szCs w:val="21"/>
            </w:rPr>
          </w:pPr>
        </w:p>
      </w:sdtContent>
    </w:sdt>
    <w:sdt>
      <w:sdtPr>
        <w:rPr>
          <w:rFonts w:hint="eastAsia" w:ascii="宋体" w:hAnsi="宋体" w:cs="宋体"/>
          <w:b w:val="0"/>
          <w:bCs w:val="0"/>
          <w:kern w:val="0"/>
          <w:szCs w:val="21"/>
        </w:rPr>
        <w:alias w:val="模块:长期待摊费用"/>
        <w:tag w:val="_SEC_a4ccbe4057b4410cb2b998d6b11165cd"/>
        <w:id w:val="865725486"/>
        <w:lock w:val="sdtLocked"/>
        <w:placeholder>
          <w:docPart w:val="GBC22222222222222222222222222222"/>
        </w:placeholder>
      </w:sdtPr>
      <w:sdtEndPr>
        <w:rPr>
          <w:rFonts w:hint="default" w:ascii="宋体" w:hAnsi="宋体" w:cstheme="minorBidi"/>
          <w:b w:val="0"/>
          <w:bCs w:val="0"/>
          <w:kern w:val="2"/>
          <w:szCs w:val="21"/>
        </w:rPr>
      </w:sdtEndPr>
      <w:sdtContent>
        <w:p>
          <w:pPr>
            <w:pStyle w:val="4"/>
            <w:numPr>
              <w:ilvl w:val="0"/>
              <w:numId w:val="79"/>
            </w:numPr>
            <w:tabs>
              <w:tab w:val="left" w:pos="504"/>
            </w:tabs>
            <w:rPr>
              <w:rFonts w:ascii="宋体" w:hAnsi="宋体"/>
              <w:szCs w:val="21"/>
            </w:rPr>
          </w:pPr>
          <w:r>
            <w:rPr>
              <w:rFonts w:hint="eastAsia" w:ascii="宋体" w:hAnsi="宋体"/>
              <w:szCs w:val="21"/>
            </w:rPr>
            <w:t>长期待摊费用</w:t>
          </w:r>
        </w:p>
        <w:sdt>
          <w:sdtPr>
            <w:alias w:val="是否适用：长期待摊费用[双击切换]"/>
            <w:tag w:val="_GBC_cbcb541b65cd4be6b93f357c0fdd9f09"/>
            <w:id w:val="86572547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待摊费用"/>
              <w:tag w:val="_GBC_bcda40ca2da04d5da4a9e3293430f9ac"/>
              <w:id w:val="865725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8657254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497"/>
            <w:gridCol w:w="1497"/>
            <w:gridCol w:w="1497"/>
            <w:gridCol w:w="1520"/>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70e367624f544f28430d4fa9dc10540"/>
                <w:id w:val="865725476"/>
                <w:lock w:val="sdtLocked"/>
              </w:sdtPr>
              <w:sdtEndPr>
                <w:rPr>
                  <w:rFonts w:ascii="Times New Roman" w:hAnsi="Times New Roman" w:cs="Times New Roman"/>
                </w:rPr>
              </w:sdtEndPr>
              <w:sdtContent>
                <w:tc>
                  <w:tcPr>
                    <w:tcW w:w="800" w:type="pct"/>
                    <w:vAlign w:val="center"/>
                  </w:tcPr>
                  <w:p>
                    <w:pPr>
                      <w:widowControl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e9e93178bf6e4ae6b25e934d80cadf90"/>
                <w:id w:val="865725477"/>
                <w:lock w:val="sdtLocked"/>
              </w:sdtPr>
              <w:sdtEndPr>
                <w:rPr>
                  <w:rFonts w:ascii="Times New Roman" w:hAnsi="Times New Roman" w:cs="Times New Roman"/>
                </w:rPr>
              </w:sdtEndPr>
              <w:sdtContent>
                <w:tc>
                  <w:tcPr>
                    <w:tcW w:w="827" w:type="pct"/>
                    <w:vAlign w:val="center"/>
                  </w:tcPr>
                  <w:p>
                    <w:pPr>
                      <w:widowControl w:val="0"/>
                      <w:jc w:val="center"/>
                      <w:rPr>
                        <w:rFonts w:ascii="Times New Roman" w:hAnsi="Times New Roman" w:cs="Times New Roman"/>
                        <w:szCs w:val="21"/>
                      </w:rPr>
                    </w:pPr>
                    <w:r>
                      <w:rPr>
                        <w:rFonts w:ascii="Times New Roman" w:cs="Times New Roman"/>
                        <w:szCs w:val="21"/>
                      </w:rPr>
                      <w:t>期初余额</w:t>
                    </w:r>
                  </w:p>
                </w:tc>
              </w:sdtContent>
            </w:sdt>
            <w:sdt>
              <w:sdtPr>
                <w:rPr>
                  <w:rFonts w:ascii="Times New Roman" w:hAnsi="Times New Roman" w:cs="Times New Roman"/>
                </w:rPr>
                <w:tag w:val="_PLD_b0304019406b49bba87fd5d26e9e77a3"/>
                <w:id w:val="865725478"/>
                <w:lock w:val="sdtLocked"/>
              </w:sdtPr>
              <w:sdtEndPr>
                <w:rPr>
                  <w:rFonts w:ascii="Times New Roman" w:hAnsi="Times New Roman" w:cs="Times New Roman"/>
                </w:rPr>
              </w:sdtEndPr>
              <w:sdtContent>
                <w:tc>
                  <w:tcPr>
                    <w:tcW w:w="827" w:type="pct"/>
                    <w:vAlign w:val="center"/>
                  </w:tcPr>
                  <w:p>
                    <w:pPr>
                      <w:widowControl w:val="0"/>
                      <w:jc w:val="center"/>
                      <w:rPr>
                        <w:rFonts w:ascii="Times New Roman" w:hAnsi="Times New Roman" w:cs="Times New Roman"/>
                        <w:szCs w:val="21"/>
                      </w:rPr>
                    </w:pPr>
                    <w:r>
                      <w:rPr>
                        <w:rFonts w:ascii="Times New Roman" w:cs="Times New Roman"/>
                        <w:szCs w:val="21"/>
                      </w:rPr>
                      <w:t>本期增加金额</w:t>
                    </w:r>
                  </w:p>
                </w:tc>
              </w:sdtContent>
            </w:sdt>
            <w:sdt>
              <w:sdtPr>
                <w:rPr>
                  <w:rFonts w:ascii="Times New Roman" w:hAnsi="Times New Roman" w:cs="Times New Roman"/>
                </w:rPr>
                <w:tag w:val="_PLD_e1350bea96cf4f45a6200cab08f11722"/>
                <w:id w:val="865725479"/>
                <w:lock w:val="sdtLocked"/>
              </w:sdtPr>
              <w:sdtEndPr>
                <w:rPr>
                  <w:rFonts w:ascii="Times New Roman" w:hAnsi="Times New Roman" w:cs="Times New Roman"/>
                </w:rPr>
              </w:sdtEndPr>
              <w:sdtContent>
                <w:tc>
                  <w:tcPr>
                    <w:tcW w:w="827" w:type="pct"/>
                    <w:vAlign w:val="center"/>
                  </w:tcPr>
                  <w:p>
                    <w:pPr>
                      <w:widowControl w:val="0"/>
                      <w:jc w:val="center"/>
                      <w:rPr>
                        <w:rFonts w:ascii="Times New Roman" w:hAnsi="Times New Roman" w:cs="Times New Roman"/>
                        <w:szCs w:val="21"/>
                      </w:rPr>
                    </w:pPr>
                    <w:r>
                      <w:rPr>
                        <w:rFonts w:ascii="Times New Roman" w:cs="Times New Roman"/>
                        <w:szCs w:val="21"/>
                      </w:rPr>
                      <w:t>本期摊销金额</w:t>
                    </w:r>
                  </w:p>
                </w:tc>
              </w:sdtContent>
            </w:sdt>
            <w:sdt>
              <w:sdtPr>
                <w:rPr>
                  <w:rFonts w:ascii="Times New Roman" w:hAnsi="Times New Roman" w:cs="Times New Roman"/>
                </w:rPr>
                <w:tag w:val="_PLD_dd7c0d5ab3334691b3e0047d34ecb634"/>
                <w:id w:val="865725480"/>
                <w:lock w:val="sdtLocked"/>
              </w:sdtPr>
              <w:sdtEndPr>
                <w:rPr>
                  <w:rFonts w:ascii="Times New Roman" w:hAnsi="Times New Roman" w:cs="Times New Roman"/>
                </w:rPr>
              </w:sdtEndPr>
              <w:sdtContent>
                <w:tc>
                  <w:tcPr>
                    <w:tcW w:w="840" w:type="pct"/>
                    <w:vAlign w:val="center"/>
                  </w:tcPr>
                  <w:p>
                    <w:pPr>
                      <w:widowControl w:val="0"/>
                      <w:jc w:val="center"/>
                      <w:rPr>
                        <w:rFonts w:ascii="Times New Roman" w:hAnsi="Times New Roman" w:cs="Times New Roman"/>
                        <w:szCs w:val="21"/>
                      </w:rPr>
                    </w:pPr>
                    <w:r>
                      <w:rPr>
                        <w:rFonts w:ascii="Times New Roman" w:cs="Times New Roman"/>
                        <w:szCs w:val="21"/>
                      </w:rPr>
                      <w:t>其他减少金额</w:t>
                    </w:r>
                  </w:p>
                </w:tc>
              </w:sdtContent>
            </w:sdt>
            <w:sdt>
              <w:sdtPr>
                <w:rPr>
                  <w:rFonts w:ascii="Times New Roman" w:hAnsi="Times New Roman" w:cs="Times New Roman"/>
                </w:rPr>
                <w:tag w:val="_PLD_3ab32d124e7942f1b1f82c0287c9220f"/>
                <w:id w:val="865725481"/>
                <w:lock w:val="sdtLocked"/>
              </w:sdtPr>
              <w:sdtEndPr>
                <w:rPr>
                  <w:rFonts w:ascii="Times New Roman" w:hAnsi="Times New Roman" w:cs="Times New Roman"/>
                </w:rPr>
              </w:sdtEndPr>
              <w:sdtContent>
                <w:tc>
                  <w:tcPr>
                    <w:tcW w:w="879" w:type="pct"/>
                    <w:vAlign w:val="center"/>
                  </w:tcPr>
                  <w:p>
                    <w:pPr>
                      <w:widowControl w:val="0"/>
                      <w:jc w:val="center"/>
                      <w:rPr>
                        <w:rFonts w:ascii="Times New Roman" w:hAnsi="Times New Roman" w:cs="Times New Roman"/>
                        <w:szCs w:val="21"/>
                      </w:rPr>
                    </w:pPr>
                    <w:r>
                      <w:rPr>
                        <w:rFonts w:ascii="Times New Roman" w:cs="Times New Roman"/>
                        <w:szCs w:val="21"/>
                      </w:rPr>
                      <w:t>期末余额</w:t>
                    </w:r>
                  </w:p>
                </w:tc>
              </w:sdtContent>
            </w:sdt>
          </w:tr>
          <w:sdt>
            <w:sdtPr>
              <w:rPr>
                <w:rFonts w:ascii="Times New Roman" w:hAnsi="Times New Roman" w:cs="Times New Roman" w:eastAsiaTheme="minorEastAsia"/>
                <w:kern w:val="2"/>
                <w:szCs w:val="21"/>
              </w:rPr>
              <w:alias w:val="长期待摊费用明细"/>
              <w:tag w:val="_TUP_969d22a473614010ab4861b5a43a6426"/>
              <w:id w:val="865725482"/>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widowControl w:val="0"/>
                      <w:jc w:val="right"/>
                      <w:rPr>
                        <w:rFonts w:ascii="Times New Roman" w:hAnsi="Times New Roman" w:cs="Times New Roman"/>
                        <w:szCs w:val="21"/>
                      </w:rPr>
                    </w:pPr>
                    <w:r>
                      <w:rPr>
                        <w:rFonts w:ascii="Times New Roman" w:cs="Times New Roman"/>
                      </w:rPr>
                      <w:t>装修改造等工程费用</w:t>
                    </w:r>
                  </w:p>
                </w:tc>
                <w:tc>
                  <w:tcPr>
                    <w:tcW w:w="827" w:type="pct"/>
                    <w:vAlign w:val="center"/>
                  </w:tcPr>
                  <w:p>
                    <w:pPr>
                      <w:widowControl w:val="0"/>
                      <w:jc w:val="right"/>
                      <w:rPr>
                        <w:rFonts w:ascii="Times New Roman" w:hAnsi="Times New Roman" w:cs="Times New Roman"/>
                        <w:szCs w:val="21"/>
                      </w:rPr>
                    </w:pPr>
                    <w:r>
                      <w:rPr>
                        <w:rFonts w:ascii="Times New Roman" w:hAnsi="Times New Roman" w:cs="Times New Roman"/>
                      </w:rPr>
                      <w:t>3,310,961.45</w:t>
                    </w:r>
                  </w:p>
                </w:tc>
                <w:tc>
                  <w:tcPr>
                    <w:tcW w:w="827" w:type="pct"/>
                    <w:vAlign w:val="center"/>
                  </w:tcPr>
                  <w:p>
                    <w:pPr>
                      <w:widowControl w:val="0"/>
                      <w:jc w:val="right"/>
                      <w:rPr>
                        <w:rFonts w:ascii="Times New Roman" w:hAnsi="Times New Roman" w:cs="Times New Roman"/>
                        <w:szCs w:val="21"/>
                      </w:rPr>
                    </w:pPr>
                    <w:r>
                      <w:rPr>
                        <w:rFonts w:ascii="Times New Roman" w:hAnsi="Times New Roman" w:cs="Times New Roman"/>
                      </w:rPr>
                      <w:t>1,402,913.57</w:t>
                    </w:r>
                  </w:p>
                </w:tc>
                <w:tc>
                  <w:tcPr>
                    <w:tcW w:w="827" w:type="pct"/>
                    <w:vAlign w:val="center"/>
                  </w:tcPr>
                  <w:p>
                    <w:pPr>
                      <w:widowControl w:val="0"/>
                      <w:jc w:val="right"/>
                      <w:rPr>
                        <w:rFonts w:ascii="Times New Roman" w:hAnsi="Times New Roman" w:cs="Times New Roman"/>
                        <w:szCs w:val="21"/>
                      </w:rPr>
                    </w:pPr>
                    <w:r>
                      <w:rPr>
                        <w:rFonts w:ascii="Times New Roman" w:hAnsi="Times New Roman" w:cs="Times New Roman"/>
                      </w:rPr>
                      <w:t>1,637,292.45</w:t>
                    </w:r>
                  </w:p>
                </w:tc>
                <w:tc>
                  <w:tcPr>
                    <w:tcW w:w="840" w:type="pct"/>
                    <w:vAlign w:val="center"/>
                  </w:tcPr>
                  <w:p>
                    <w:pPr>
                      <w:widowControl w:val="0"/>
                      <w:jc w:val="right"/>
                      <w:rPr>
                        <w:rFonts w:ascii="Times New Roman" w:hAnsi="Times New Roman" w:cs="Times New Roman"/>
                        <w:szCs w:val="21"/>
                      </w:rPr>
                    </w:pPr>
                  </w:p>
                </w:tc>
                <w:tc>
                  <w:tcPr>
                    <w:tcW w:w="879" w:type="pct"/>
                    <w:vAlign w:val="center"/>
                  </w:tcPr>
                  <w:p>
                    <w:pPr>
                      <w:widowControl w:val="0"/>
                      <w:jc w:val="right"/>
                      <w:rPr>
                        <w:rFonts w:ascii="Times New Roman" w:hAnsi="Times New Roman" w:cs="Times New Roman"/>
                        <w:szCs w:val="21"/>
                      </w:rPr>
                    </w:pPr>
                    <w:r>
                      <w:rPr>
                        <w:rFonts w:ascii="Times New Roman" w:hAnsi="Times New Roman" w:cs="Times New Roman"/>
                      </w:rPr>
                      <w:t>3,076,582.57</w:t>
                    </w:r>
                  </w:p>
                </w:tc>
              </w:tr>
            </w:sdtContent>
          </w:sdt>
          <w:sdt>
            <w:sdtPr>
              <w:rPr>
                <w:rFonts w:ascii="Times New Roman" w:hAnsi="Times New Roman" w:cs="Times New Roman" w:eastAsiaTheme="minorEastAsia"/>
                <w:kern w:val="2"/>
                <w:szCs w:val="21"/>
              </w:rPr>
              <w:alias w:val="长期待摊费用明细"/>
              <w:tag w:val="_TUP_969d22a473614010ab4861b5a43a6426"/>
              <w:id w:val="865725483"/>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widowControl w:val="0"/>
                      <w:jc w:val="right"/>
                      <w:rPr>
                        <w:rFonts w:ascii="Times New Roman" w:hAnsi="Times New Roman" w:cs="Times New Roman"/>
                        <w:szCs w:val="21"/>
                      </w:rPr>
                    </w:pPr>
                  </w:p>
                </w:tc>
                <w:tc>
                  <w:tcPr>
                    <w:tcW w:w="827" w:type="pct"/>
                    <w:vAlign w:val="center"/>
                  </w:tcPr>
                  <w:p>
                    <w:pPr>
                      <w:widowControl w:val="0"/>
                      <w:jc w:val="right"/>
                      <w:rPr>
                        <w:rFonts w:ascii="Times New Roman" w:hAnsi="Times New Roman" w:cs="Times New Roman"/>
                        <w:szCs w:val="21"/>
                      </w:rPr>
                    </w:pPr>
                  </w:p>
                </w:tc>
                <w:tc>
                  <w:tcPr>
                    <w:tcW w:w="827" w:type="pct"/>
                    <w:vAlign w:val="center"/>
                  </w:tcPr>
                  <w:p>
                    <w:pPr>
                      <w:widowControl w:val="0"/>
                      <w:jc w:val="right"/>
                      <w:rPr>
                        <w:rFonts w:ascii="Times New Roman" w:hAnsi="Times New Roman" w:cs="Times New Roman"/>
                        <w:szCs w:val="21"/>
                      </w:rPr>
                    </w:pPr>
                  </w:p>
                </w:tc>
                <w:tc>
                  <w:tcPr>
                    <w:tcW w:w="827" w:type="pct"/>
                    <w:vAlign w:val="center"/>
                  </w:tcPr>
                  <w:p>
                    <w:pPr>
                      <w:widowControl w:val="0"/>
                      <w:jc w:val="right"/>
                      <w:rPr>
                        <w:rFonts w:ascii="Times New Roman" w:hAnsi="Times New Roman" w:cs="Times New Roman"/>
                        <w:szCs w:val="21"/>
                      </w:rPr>
                    </w:pPr>
                  </w:p>
                </w:tc>
                <w:tc>
                  <w:tcPr>
                    <w:tcW w:w="840" w:type="pct"/>
                    <w:vAlign w:val="center"/>
                  </w:tcPr>
                  <w:p>
                    <w:pPr>
                      <w:widowControl w:val="0"/>
                      <w:jc w:val="right"/>
                      <w:rPr>
                        <w:rFonts w:ascii="Times New Roman" w:hAnsi="Times New Roman" w:cs="Times New Roman"/>
                        <w:szCs w:val="21"/>
                      </w:rPr>
                    </w:pPr>
                  </w:p>
                </w:tc>
                <w:tc>
                  <w:tcPr>
                    <w:tcW w:w="879" w:type="pct"/>
                    <w:vAlign w:val="center"/>
                  </w:tcPr>
                  <w:p>
                    <w:pPr>
                      <w:widowControl w:val="0"/>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85142c73eaf41d992f4f52a1502d9a8"/>
                <w:id w:val="865725484"/>
                <w:lock w:val="sdtLocked"/>
              </w:sdtPr>
              <w:sdtEndPr>
                <w:rPr>
                  <w:rFonts w:ascii="Times New Roman" w:hAnsi="Times New Roman" w:cs="Times New Roman"/>
                </w:rPr>
              </w:sdtEndPr>
              <w:sdtContent>
                <w:tc>
                  <w:tcPr>
                    <w:tcW w:w="800" w:type="pct"/>
                    <w:vAlign w:val="center"/>
                  </w:tcPr>
                  <w:p>
                    <w:pPr>
                      <w:widowControl w:val="0"/>
                      <w:jc w:val="right"/>
                      <w:rPr>
                        <w:rFonts w:ascii="Times New Roman" w:hAnsi="Times New Roman" w:cs="Times New Roman"/>
                        <w:szCs w:val="21"/>
                      </w:rPr>
                    </w:pPr>
                    <w:r>
                      <w:rPr>
                        <w:rFonts w:ascii="Times New Roman" w:cs="Times New Roman"/>
                        <w:szCs w:val="21"/>
                      </w:rPr>
                      <w:t>合计</w:t>
                    </w:r>
                  </w:p>
                </w:tc>
              </w:sdtContent>
            </w:sdt>
            <w:tc>
              <w:tcPr>
                <w:tcW w:w="827" w:type="pct"/>
                <w:vAlign w:val="center"/>
              </w:tcPr>
              <w:p>
                <w:pPr>
                  <w:widowControl w:val="0"/>
                  <w:jc w:val="right"/>
                  <w:rPr>
                    <w:rFonts w:ascii="Times New Roman" w:hAnsi="Times New Roman" w:cs="Times New Roman"/>
                    <w:sz w:val="24"/>
                  </w:rPr>
                </w:pPr>
                <w:r>
                  <w:rPr>
                    <w:rFonts w:ascii="Times New Roman" w:hAnsi="Times New Roman" w:cs="Times New Roman"/>
                  </w:rPr>
                  <w:t>3,310,961.45</w:t>
                </w:r>
              </w:p>
            </w:tc>
            <w:tc>
              <w:tcPr>
                <w:tcW w:w="827" w:type="pct"/>
                <w:vAlign w:val="center"/>
              </w:tcPr>
              <w:p>
                <w:pPr>
                  <w:widowControl w:val="0"/>
                  <w:jc w:val="right"/>
                  <w:rPr>
                    <w:rFonts w:ascii="Times New Roman" w:hAnsi="Times New Roman" w:cs="Times New Roman"/>
                    <w:sz w:val="24"/>
                  </w:rPr>
                </w:pPr>
                <w:r>
                  <w:rPr>
                    <w:rFonts w:ascii="Times New Roman" w:hAnsi="Times New Roman" w:cs="Times New Roman"/>
                  </w:rPr>
                  <w:t>1,402,913.57</w:t>
                </w:r>
              </w:p>
            </w:tc>
            <w:tc>
              <w:tcPr>
                <w:tcW w:w="827" w:type="pct"/>
                <w:vAlign w:val="center"/>
              </w:tcPr>
              <w:p>
                <w:pPr>
                  <w:widowControl w:val="0"/>
                  <w:jc w:val="right"/>
                  <w:rPr>
                    <w:rFonts w:ascii="Times New Roman" w:hAnsi="Times New Roman" w:cs="Times New Roman"/>
                    <w:sz w:val="24"/>
                  </w:rPr>
                </w:pPr>
                <w:r>
                  <w:rPr>
                    <w:rFonts w:ascii="Times New Roman" w:hAnsi="Times New Roman" w:cs="Times New Roman"/>
                  </w:rPr>
                  <w:t>1,637,292.45</w:t>
                </w:r>
              </w:p>
            </w:tc>
            <w:tc>
              <w:tcPr>
                <w:tcW w:w="840" w:type="pct"/>
                <w:vAlign w:val="center"/>
              </w:tcPr>
              <w:p>
                <w:pPr>
                  <w:widowControl w:val="0"/>
                  <w:jc w:val="right"/>
                  <w:rPr>
                    <w:rFonts w:ascii="Times New Roman" w:hAnsi="Times New Roman" w:cs="Times New Roman"/>
                    <w:sz w:val="24"/>
                  </w:rPr>
                </w:pPr>
              </w:p>
            </w:tc>
            <w:tc>
              <w:tcPr>
                <w:tcW w:w="879" w:type="pct"/>
                <w:vAlign w:val="center"/>
              </w:tcPr>
              <w:p>
                <w:pPr>
                  <w:widowControl w:val="0"/>
                  <w:jc w:val="right"/>
                  <w:rPr>
                    <w:rFonts w:ascii="Times New Roman" w:hAnsi="Times New Roman" w:cs="Times New Roman"/>
                    <w:sz w:val="24"/>
                  </w:rPr>
                </w:pPr>
                <w:r>
                  <w:rPr>
                    <w:rFonts w:ascii="Times New Roman" w:hAnsi="Times New Roman" w:cs="Times New Roman"/>
                  </w:rPr>
                  <w:t>3,076,582.57</w:t>
                </w:r>
              </w:p>
            </w:tc>
          </w:tr>
        </w:tbl>
        <w:p>
          <w:pPr>
            <w:rPr>
              <w:szCs w:val="21"/>
            </w:rPr>
          </w:pPr>
        </w:p>
      </w:sdtContent>
    </w:sdt>
    <w:p>
      <w:pPr>
        <w:pStyle w:val="4"/>
        <w:numPr>
          <w:ilvl w:val="0"/>
          <w:numId w:val="79"/>
        </w:numPr>
        <w:tabs>
          <w:tab w:val="left" w:pos="504"/>
        </w:tabs>
        <w:rPr>
          <w:rFonts w:ascii="宋体" w:hAnsi="宋体"/>
          <w:szCs w:val="21"/>
        </w:rPr>
      </w:pPr>
      <w:r>
        <w:rPr>
          <w:rFonts w:hint="eastAsia" w:ascii="宋体" w:hAnsi="宋体"/>
          <w:szCs w:val="21"/>
        </w:rPr>
        <w:t>递延所得税资产/ 递延所得税负债</w:t>
      </w:r>
    </w:p>
    <w:sdt>
      <w:sdtPr>
        <w:rPr>
          <w:rFonts w:hint="eastAsia" w:ascii="宋体" w:hAnsi="宋体" w:eastAsia="宋体" w:cs="宋体"/>
          <w:b w:val="0"/>
          <w:bCs w:val="0"/>
          <w:kern w:val="0"/>
          <w:szCs w:val="21"/>
        </w:rPr>
        <w:alias w:val="模块:递延所得税资产和递延所得税负债不以抵销后的净额列示"/>
        <w:tag w:val="_SEC_c648f0f0efdc4d4c85ff3f48a55f50ee"/>
        <w:id w:val="865725546"/>
        <w:lock w:val="sdtLocked"/>
        <w:placeholder>
          <w:docPart w:val="GBC22222222222222222222222222222"/>
        </w:placeholder>
      </w:sdtPr>
      <w:sdtEndPr>
        <w:rPr>
          <w:rFonts w:hint="eastAsia" w:ascii="宋体" w:hAnsi="宋体" w:eastAsia="宋体" w:cstheme="minorBidi"/>
          <w:b w:val="0"/>
          <w:bCs w:val="0"/>
          <w:kern w:val="2"/>
          <w:szCs w:val="21"/>
        </w:rPr>
      </w:sdtEndPr>
      <w:sdtContent>
        <w:p>
          <w:pPr>
            <w:pStyle w:val="5"/>
            <w:numPr>
              <w:ilvl w:val="0"/>
              <w:numId w:val="96"/>
            </w:numPr>
            <w:ind w:left="426" w:hanging="426"/>
          </w:pPr>
          <w:bookmarkStart w:id="188" w:name="_Toc215903151"/>
          <w:bookmarkStart w:id="189" w:name="_Hlk24103450"/>
          <w:r>
            <w:rPr>
              <w:rFonts w:hint="eastAsia"/>
            </w:rPr>
            <w:t>未经抵销的递延所得税资产</w:t>
          </w:r>
        </w:p>
        <w:sdt>
          <w:sdtPr>
            <w:alias w:val="是否适用：未经抵销的递延所得税资产[双击切换]"/>
            <w:tag w:val="_GBC_ba4415ee4af24efe852073192d94c115"/>
            <w:id w:val="86572548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8657254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bookmarkEnd w:id="188"/>
          <w:sdt>
            <w:sdtPr>
              <w:rPr>
                <w:rFonts w:hint="eastAsia"/>
                <w:szCs w:val="21"/>
              </w:rPr>
              <w:alias w:val="币种：财务附注：已确认的递延所得税资产和递延所得税负债"/>
              <w:tag w:val="_GBC_33d1ac52f1ce463294fce1044445d46f"/>
              <w:id w:val="865725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1651"/>
            <w:gridCol w:w="1647"/>
            <w:gridCol w:w="1664"/>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e006c9e7b70844cd8ef6f2cbb5161589"/>
                <w:id w:val="865725490"/>
                <w:lock w:val="sdtLocked"/>
              </w:sdtPr>
              <w:sdtEndPr>
                <w:rPr>
                  <w:rFonts w:ascii="Times New Roman" w:hAnsi="Times New Roman" w:cs="Times New Roman"/>
                </w:rPr>
              </w:sdtEndPr>
              <w:sdtContent>
                <w:tc>
                  <w:tcPr>
                    <w:tcW w:w="1350"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9380d941020241f39819205f4df8c355"/>
                <w:id w:val="865725491"/>
                <w:lock w:val="sdtLocked"/>
              </w:sdtPr>
              <w:sdtEndPr>
                <w:rPr>
                  <w:rFonts w:ascii="Times New Roman" w:hAnsi="Times New Roman" w:cs="Times New Roman"/>
                </w:rPr>
              </w:sdtEndPr>
              <w:sdtContent>
                <w:tc>
                  <w:tcPr>
                    <w:tcW w:w="1822" w:type="pct"/>
                    <w:gridSpan w:val="2"/>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40d587838e534f37a8f9a9e7e2020671"/>
                <w:id w:val="865725492"/>
                <w:lock w:val="sdtLocked"/>
              </w:sdtPr>
              <w:sdtEndPr>
                <w:rPr>
                  <w:rFonts w:ascii="Times New Roman" w:hAnsi="Times New Roman" w:cs="Times New Roman"/>
                </w:rPr>
              </w:sdtEndPr>
              <w:sdtContent>
                <w:tc>
                  <w:tcPr>
                    <w:tcW w:w="1828" w:type="pct"/>
                    <w:gridSpan w:val="2"/>
                    <w:shd w:val="clear" w:color="auto" w:fill="auto"/>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Merge w:val="continue"/>
                <w:shd w:val="clear" w:color="auto" w:fill="auto"/>
                <w:vAlign w:val="center"/>
              </w:tcPr>
              <w:p>
                <w:pPr>
                  <w:jc w:val="center"/>
                  <w:rPr>
                    <w:rFonts w:ascii="Times New Roman" w:hAnsi="Times New Roman" w:cs="Times New Roman"/>
                    <w:b/>
                    <w:szCs w:val="21"/>
                  </w:rPr>
                </w:pPr>
              </w:p>
            </w:tc>
            <w:sdt>
              <w:sdtPr>
                <w:rPr>
                  <w:rFonts w:ascii="Times New Roman" w:hAnsi="Times New Roman" w:cs="Times New Roman"/>
                </w:rPr>
                <w:tag w:val="_PLD_c239006a5e6040d58bedd94ab36e9784"/>
                <w:id w:val="865725493"/>
                <w:lock w:val="sdtLocked"/>
              </w:sdtPr>
              <w:sdtEndPr>
                <w:rPr>
                  <w:rFonts w:ascii="Times New Roman" w:hAnsi="Times New Roman" w:cs="Times New Roman"/>
                </w:rPr>
              </w:sdtEndPr>
              <w:sdtContent>
                <w:tc>
                  <w:tcPr>
                    <w:tcW w:w="912" w:type="pct"/>
                    <w:shd w:val="clear" w:color="auto" w:fill="auto"/>
                    <w:vAlign w:val="center"/>
                  </w:tcPr>
                  <w:p>
                    <w:pPr>
                      <w:jc w:val="center"/>
                      <w:rPr>
                        <w:rFonts w:ascii="Times New Roman" w:hAnsi="Times New Roman" w:cs="Times New Roman"/>
                        <w:szCs w:val="21"/>
                      </w:rPr>
                    </w:pPr>
                    <w:r>
                      <w:rPr>
                        <w:rFonts w:ascii="Times New Roman" w:cs="Times New Roman"/>
                        <w:szCs w:val="21"/>
                      </w:rPr>
                      <w:t>可抵扣暂时性差异</w:t>
                    </w:r>
                  </w:p>
                </w:tc>
              </w:sdtContent>
            </w:sdt>
            <w:sdt>
              <w:sdtPr>
                <w:rPr>
                  <w:rFonts w:ascii="Times New Roman" w:hAnsi="Times New Roman" w:cs="Times New Roman"/>
                </w:rPr>
                <w:tag w:val="_PLD_1559717fc58743e19a1e868ac528fbc0"/>
                <w:id w:val="865725494"/>
                <w:lock w:val="sdtLocked"/>
              </w:sdtPr>
              <w:sdtEndPr>
                <w:rPr>
                  <w:rFonts w:ascii="Times New Roman" w:hAnsi="Times New Roman" w:cs="Times New Roman"/>
                </w:rPr>
              </w:sdtEndPr>
              <w:sdtContent>
                <w:tc>
                  <w:tcPr>
                    <w:tcW w:w="910" w:type="pct"/>
                    <w:shd w:val="clear" w:color="auto" w:fill="auto"/>
                    <w:vAlign w:val="center"/>
                  </w:tcPr>
                  <w:p>
                    <w:pPr>
                      <w:jc w:val="center"/>
                      <w:rPr>
                        <w:rFonts w:ascii="Times New Roman" w:hAnsi="Times New Roman" w:cs="Times New Roman"/>
                        <w:szCs w:val="21"/>
                      </w:rPr>
                    </w:pPr>
                    <w:r>
                      <w:rPr>
                        <w:rFonts w:ascii="Times New Roman" w:cs="Times New Roman"/>
                        <w:szCs w:val="21"/>
                      </w:rPr>
                      <w:t>递延所得税</w:t>
                    </w:r>
                  </w:p>
                  <w:p>
                    <w:pPr>
                      <w:jc w:val="center"/>
                      <w:rPr>
                        <w:rFonts w:ascii="Times New Roman" w:hAnsi="Times New Roman" w:cs="Times New Roman"/>
                        <w:szCs w:val="21"/>
                      </w:rPr>
                    </w:pPr>
                    <w:r>
                      <w:rPr>
                        <w:rFonts w:ascii="Times New Roman" w:cs="Times New Roman"/>
                        <w:szCs w:val="21"/>
                      </w:rPr>
                      <w:t>资产</w:t>
                    </w:r>
                  </w:p>
                </w:tc>
              </w:sdtContent>
            </w:sdt>
            <w:sdt>
              <w:sdtPr>
                <w:rPr>
                  <w:rFonts w:ascii="Times New Roman" w:hAnsi="Times New Roman" w:cs="Times New Roman"/>
                </w:rPr>
                <w:tag w:val="_PLD_de171afb73ff474dbccc47c2cec6d4f1"/>
                <w:id w:val="865725495"/>
                <w:lock w:val="sdtLocked"/>
              </w:sdtPr>
              <w:sdtEndPr>
                <w:rPr>
                  <w:rFonts w:ascii="Times New Roman" w:hAnsi="Times New Roman" w:cs="Times New Roman"/>
                </w:rPr>
              </w:sdtEndPr>
              <w:sdtContent>
                <w:tc>
                  <w:tcPr>
                    <w:tcW w:w="919" w:type="pct"/>
                    <w:shd w:val="clear" w:color="auto" w:fill="auto"/>
                    <w:vAlign w:val="center"/>
                  </w:tcPr>
                  <w:p>
                    <w:pPr>
                      <w:jc w:val="center"/>
                      <w:rPr>
                        <w:rFonts w:ascii="Times New Roman" w:hAnsi="Times New Roman" w:cs="Times New Roman"/>
                        <w:szCs w:val="21"/>
                      </w:rPr>
                    </w:pPr>
                    <w:r>
                      <w:rPr>
                        <w:rFonts w:ascii="Times New Roman" w:cs="Times New Roman"/>
                        <w:szCs w:val="21"/>
                      </w:rPr>
                      <w:t>可抵扣暂时性差异</w:t>
                    </w:r>
                  </w:p>
                </w:tc>
              </w:sdtContent>
            </w:sdt>
            <w:sdt>
              <w:sdtPr>
                <w:rPr>
                  <w:rFonts w:ascii="Times New Roman" w:hAnsi="Times New Roman" w:cs="Times New Roman"/>
                </w:rPr>
                <w:tag w:val="_PLD_bafc90864e7347e5bb50ec31a5dffe05"/>
                <w:id w:val="865725496"/>
                <w:lock w:val="sdtLocked"/>
              </w:sdtPr>
              <w:sdtEndPr>
                <w:rPr>
                  <w:rFonts w:ascii="Times New Roman" w:hAnsi="Times New Roman" w:cs="Times New Roman"/>
                </w:rPr>
              </w:sdtEndPr>
              <w:sdtContent>
                <w:tc>
                  <w:tcPr>
                    <w:tcW w:w="909" w:type="pct"/>
                    <w:shd w:val="clear" w:color="auto" w:fill="auto"/>
                    <w:vAlign w:val="center"/>
                  </w:tcPr>
                  <w:p>
                    <w:pPr>
                      <w:jc w:val="center"/>
                      <w:rPr>
                        <w:rFonts w:ascii="Times New Roman" w:hAnsi="Times New Roman" w:cs="Times New Roman"/>
                        <w:szCs w:val="21"/>
                      </w:rPr>
                    </w:pPr>
                    <w:r>
                      <w:rPr>
                        <w:rFonts w:ascii="Times New Roman" w:cs="Times New Roman"/>
                        <w:szCs w:val="21"/>
                      </w:rPr>
                      <w:t>递延所得税</w:t>
                    </w:r>
                  </w:p>
                  <w:p>
                    <w:pPr>
                      <w:jc w:val="center"/>
                      <w:rPr>
                        <w:rFonts w:ascii="Times New Roman" w:hAnsi="Times New Roman" w:cs="Times New Roman"/>
                        <w:szCs w:val="21"/>
                      </w:rPr>
                    </w:pPr>
                    <w:r>
                      <w:rPr>
                        <w:rFonts w:ascii="Times New Roman" w:cs="Times New Roman"/>
                        <w:szCs w:val="21"/>
                      </w:rPr>
                      <w:t>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a9dd5d10d8174be9a4f6ad53ac178647"/>
                <w:id w:val="865725497"/>
                <w:lock w:val="sdtLocked"/>
              </w:sdtPr>
              <w:sdtEndPr>
                <w:rPr>
                  <w:rFonts w:ascii="Times New Roman" w:hAnsi="Times New Roman" w:cs="Times New Roman"/>
                </w:rPr>
              </w:sdtEndPr>
              <w:sdtContent>
                <w:tc>
                  <w:tcPr>
                    <w:tcW w:w="1350" w:type="pct"/>
                    <w:shd w:val="clear" w:color="auto" w:fill="auto"/>
                    <w:vAlign w:val="center"/>
                  </w:tcPr>
                  <w:p>
                    <w:pPr>
                      <w:ind w:firstLine="210" w:firstLineChars="100"/>
                      <w:rPr>
                        <w:rFonts w:ascii="Times New Roman" w:hAnsi="Times New Roman" w:cs="Times New Roman"/>
                        <w:szCs w:val="21"/>
                      </w:rPr>
                    </w:pPr>
                    <w:r>
                      <w:rPr>
                        <w:rFonts w:ascii="Times New Roman" w:cs="Times New Roman"/>
                        <w:szCs w:val="21"/>
                      </w:rPr>
                      <w:t>资产减值准备</w:t>
                    </w:r>
                  </w:p>
                </w:tc>
              </w:sdtContent>
            </w:sdt>
            <w:tc>
              <w:tcPr>
                <w:tcW w:w="912" w:type="pct"/>
                <w:shd w:val="clear" w:color="auto" w:fill="auto"/>
                <w:vAlign w:val="center"/>
              </w:tcPr>
              <w:p>
                <w:pPr>
                  <w:jc w:val="right"/>
                  <w:rPr>
                    <w:rFonts w:ascii="Times New Roman" w:hAnsi="Times New Roman" w:cs="Times New Roman"/>
                    <w:sz w:val="24"/>
                  </w:rPr>
                </w:pPr>
                <w:r>
                  <w:rPr>
                    <w:rFonts w:ascii="Times New Roman" w:hAnsi="Times New Roman" w:cs="Times New Roman"/>
                  </w:rPr>
                  <w:t>24,087,609.52</w:t>
                </w:r>
              </w:p>
            </w:tc>
            <w:tc>
              <w:tcPr>
                <w:tcW w:w="910" w:type="pct"/>
                <w:shd w:val="clear" w:color="auto" w:fill="auto"/>
                <w:vAlign w:val="center"/>
              </w:tcPr>
              <w:p>
                <w:pPr>
                  <w:jc w:val="right"/>
                  <w:rPr>
                    <w:rFonts w:ascii="Times New Roman" w:hAnsi="Times New Roman" w:cs="Times New Roman"/>
                    <w:sz w:val="24"/>
                  </w:rPr>
                </w:pPr>
                <w:r>
                  <w:rPr>
                    <w:rFonts w:ascii="Times New Roman" w:hAnsi="Times New Roman" w:cs="Times New Roman"/>
                  </w:rPr>
                  <w:t>3,833,934.66</w:t>
                </w:r>
              </w:p>
            </w:tc>
            <w:tc>
              <w:tcPr>
                <w:tcW w:w="919" w:type="pct"/>
                <w:shd w:val="clear" w:color="auto" w:fill="auto"/>
                <w:vAlign w:val="center"/>
              </w:tcPr>
              <w:p>
                <w:pPr>
                  <w:jc w:val="right"/>
                  <w:rPr>
                    <w:rFonts w:ascii="Times New Roman" w:hAnsi="Times New Roman" w:cs="Times New Roman"/>
                    <w:sz w:val="24"/>
                  </w:rPr>
                </w:pPr>
                <w:r>
                  <w:rPr>
                    <w:rFonts w:ascii="Times New Roman" w:hAnsi="Times New Roman" w:cs="Times New Roman"/>
                  </w:rPr>
                  <w:t>22,788,201.19</w:t>
                </w:r>
              </w:p>
            </w:tc>
            <w:tc>
              <w:tcPr>
                <w:tcW w:w="909" w:type="pct"/>
                <w:shd w:val="clear" w:color="auto" w:fill="auto"/>
                <w:vAlign w:val="center"/>
              </w:tcPr>
              <w:p>
                <w:pPr>
                  <w:jc w:val="right"/>
                  <w:rPr>
                    <w:rFonts w:ascii="Times New Roman" w:hAnsi="Times New Roman" w:cs="Times New Roman"/>
                    <w:sz w:val="24"/>
                  </w:rPr>
                </w:pPr>
                <w:r>
                  <w:rPr>
                    <w:rFonts w:ascii="Times New Roman" w:hAnsi="Times New Roman" w:cs="Times New Roman"/>
                  </w:rPr>
                  <w:t>3,697,076.30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d888a9019bdb4ec39459c5bfe650b183"/>
                <w:id w:val="865725498"/>
                <w:lock w:val="sdtLocked"/>
              </w:sdtPr>
              <w:sdtEndPr>
                <w:rPr>
                  <w:rFonts w:ascii="Times New Roman" w:hAnsi="Times New Roman" w:cs="Times New Roman"/>
                </w:rPr>
              </w:sdtEndPr>
              <w:sdtContent>
                <w:tc>
                  <w:tcPr>
                    <w:tcW w:w="1350" w:type="pct"/>
                    <w:shd w:val="clear" w:color="auto" w:fill="auto"/>
                    <w:vAlign w:val="center"/>
                  </w:tcPr>
                  <w:p>
                    <w:pPr>
                      <w:ind w:firstLine="210" w:firstLineChars="100"/>
                      <w:rPr>
                        <w:rFonts w:ascii="Times New Roman" w:hAnsi="Times New Roman" w:cs="Times New Roman"/>
                        <w:szCs w:val="21"/>
                      </w:rPr>
                    </w:pPr>
                    <w:r>
                      <w:rPr>
                        <w:rFonts w:ascii="Times New Roman" w:cs="Times New Roman"/>
                        <w:szCs w:val="21"/>
                      </w:rPr>
                      <w:t>内部交易未实现利润</w:t>
                    </w:r>
                  </w:p>
                </w:tc>
              </w:sdtContent>
            </w:sdt>
            <w:tc>
              <w:tcPr>
                <w:tcW w:w="912" w:type="pct"/>
                <w:shd w:val="clear" w:color="auto" w:fill="auto"/>
                <w:vAlign w:val="center"/>
              </w:tcPr>
              <w:p>
                <w:pPr>
                  <w:jc w:val="right"/>
                  <w:rPr>
                    <w:rFonts w:ascii="Times New Roman" w:hAnsi="Times New Roman" w:cs="Times New Roman"/>
                    <w:szCs w:val="21"/>
                  </w:rPr>
                </w:pPr>
              </w:p>
            </w:tc>
            <w:tc>
              <w:tcPr>
                <w:tcW w:w="910" w:type="pct"/>
                <w:shd w:val="clear" w:color="auto" w:fill="auto"/>
                <w:vAlign w:val="center"/>
              </w:tcPr>
              <w:p>
                <w:pPr>
                  <w:jc w:val="right"/>
                  <w:rPr>
                    <w:rFonts w:ascii="Times New Roman" w:hAnsi="Times New Roman" w:cs="Times New Roman"/>
                    <w:szCs w:val="21"/>
                  </w:rPr>
                </w:pPr>
              </w:p>
            </w:tc>
            <w:tc>
              <w:tcPr>
                <w:tcW w:w="919" w:type="pct"/>
                <w:shd w:val="clear" w:color="auto" w:fill="auto"/>
                <w:vAlign w:val="center"/>
              </w:tcPr>
              <w:p>
                <w:pPr>
                  <w:jc w:val="right"/>
                  <w:rPr>
                    <w:rFonts w:ascii="Times New Roman" w:hAnsi="Times New Roman" w:cs="Times New Roman"/>
                    <w:szCs w:val="21"/>
                  </w:rPr>
                </w:pPr>
              </w:p>
            </w:tc>
            <w:tc>
              <w:tcPr>
                <w:tcW w:w="909"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412e3f8d0e1642ae9adf17341ca2fd4f"/>
                <w:id w:val="865725499"/>
                <w:lock w:val="sdtLocked"/>
              </w:sdtPr>
              <w:sdtEndPr>
                <w:rPr>
                  <w:rFonts w:ascii="Times New Roman" w:hAnsi="Times New Roman" w:cs="Times New Roman"/>
                </w:rPr>
              </w:sdtEndPr>
              <w:sdtContent>
                <w:tc>
                  <w:tcPr>
                    <w:tcW w:w="1350" w:type="pct"/>
                    <w:tcBorders>
                      <w:bottom w:val="single" w:color="auto" w:sz="4" w:space="0"/>
                    </w:tcBorders>
                    <w:shd w:val="clear" w:color="auto" w:fill="auto"/>
                    <w:vAlign w:val="center"/>
                  </w:tcPr>
                  <w:p>
                    <w:pPr>
                      <w:ind w:firstLine="210" w:firstLineChars="100"/>
                      <w:rPr>
                        <w:rFonts w:ascii="Times New Roman" w:hAnsi="Times New Roman" w:cs="Times New Roman"/>
                        <w:szCs w:val="21"/>
                      </w:rPr>
                    </w:pPr>
                    <w:r>
                      <w:rPr>
                        <w:rFonts w:ascii="Times New Roman" w:cs="Times New Roman"/>
                        <w:szCs w:val="21"/>
                      </w:rPr>
                      <w:t>可抵扣亏损</w:t>
                    </w:r>
                  </w:p>
                </w:tc>
              </w:sdtContent>
            </w:sdt>
            <w:tc>
              <w:tcPr>
                <w:tcW w:w="912" w:type="pct"/>
                <w:shd w:val="clear" w:color="auto" w:fill="auto"/>
                <w:vAlign w:val="center"/>
              </w:tcPr>
              <w:p>
                <w:pPr>
                  <w:jc w:val="right"/>
                  <w:rPr>
                    <w:rFonts w:ascii="Times New Roman" w:hAnsi="Times New Roman" w:cs="Times New Roman"/>
                    <w:szCs w:val="21"/>
                  </w:rPr>
                </w:pPr>
              </w:p>
            </w:tc>
            <w:tc>
              <w:tcPr>
                <w:tcW w:w="910" w:type="pct"/>
                <w:shd w:val="clear" w:color="auto" w:fill="auto"/>
                <w:vAlign w:val="center"/>
              </w:tcPr>
              <w:p>
                <w:pPr>
                  <w:jc w:val="right"/>
                  <w:rPr>
                    <w:rFonts w:ascii="Times New Roman" w:hAnsi="Times New Roman" w:cs="Times New Roman"/>
                    <w:szCs w:val="21"/>
                  </w:rPr>
                </w:pPr>
              </w:p>
            </w:tc>
            <w:tc>
              <w:tcPr>
                <w:tcW w:w="919" w:type="pct"/>
                <w:shd w:val="clear" w:color="auto" w:fill="auto"/>
                <w:vAlign w:val="center"/>
              </w:tcPr>
              <w:p>
                <w:pPr>
                  <w:jc w:val="right"/>
                  <w:rPr>
                    <w:rFonts w:ascii="Times New Roman" w:hAnsi="Times New Roman" w:cs="Times New Roman"/>
                    <w:szCs w:val="21"/>
                  </w:rPr>
                </w:pPr>
              </w:p>
            </w:tc>
            <w:tc>
              <w:tcPr>
                <w:tcW w:w="909" w:type="pct"/>
                <w:shd w:val="clear" w:color="auto" w:fill="auto"/>
                <w:vAlign w:val="center"/>
              </w:tcPr>
              <w:p>
                <w:pPr>
                  <w:jc w:val="right"/>
                  <w:rPr>
                    <w:rFonts w:ascii="Times New Roman" w:hAnsi="Times New Roman" w:cs="Times New Roman"/>
                    <w:szCs w:val="21"/>
                  </w:rPr>
                </w:pPr>
              </w:p>
            </w:tc>
          </w:tr>
          <w:sdt>
            <w:sdtPr>
              <w:rPr>
                <w:rFonts w:ascii="Times New Roman" w:hAnsi="Times New Roman" w:cs="Times New Roman"/>
                <w:szCs w:val="21"/>
              </w:rPr>
              <w:alias w:val="递延所得税资产明细"/>
              <w:tag w:val="_TUP_703575bf8b6048788dc624e748111109"/>
              <w:id w:val="86572550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rPr>
                        <w:rFonts w:ascii="Times New Roman" w:hAnsi="Times New Roman" w:cs="Times New Roman"/>
                        <w:szCs w:val="21"/>
                      </w:rPr>
                    </w:pPr>
                    <w:r>
                      <w:rPr>
                        <w:rFonts w:ascii="Times New Roman" w:cs="Times New Roman"/>
                      </w:rPr>
                      <w:t>可递延的政府补助收益</w:t>
                    </w:r>
                  </w:p>
                </w:tc>
                <w:tc>
                  <w:tcPr>
                    <w:tcW w:w="912" w:type="pct"/>
                    <w:shd w:val="clear" w:color="auto" w:fill="auto"/>
                    <w:vAlign w:val="center"/>
                  </w:tcPr>
                  <w:p>
                    <w:pPr>
                      <w:jc w:val="right"/>
                      <w:rPr>
                        <w:rFonts w:ascii="Times New Roman" w:hAnsi="Times New Roman" w:cs="Times New Roman"/>
                        <w:szCs w:val="21"/>
                      </w:rPr>
                    </w:pPr>
                    <w:r>
                      <w:rPr>
                        <w:rFonts w:ascii="Times New Roman" w:hAnsi="Times New Roman" w:cs="Times New Roman"/>
                      </w:rPr>
                      <w:t>916,693.60</w:t>
                    </w:r>
                  </w:p>
                </w:tc>
                <w:tc>
                  <w:tcPr>
                    <w:tcW w:w="910" w:type="pct"/>
                    <w:shd w:val="clear" w:color="auto" w:fill="auto"/>
                    <w:vAlign w:val="center"/>
                  </w:tcPr>
                  <w:p>
                    <w:pPr>
                      <w:jc w:val="right"/>
                      <w:rPr>
                        <w:rFonts w:ascii="Times New Roman" w:hAnsi="Times New Roman" w:cs="Times New Roman"/>
                        <w:szCs w:val="21"/>
                      </w:rPr>
                    </w:pPr>
                    <w:r>
                      <w:rPr>
                        <w:rFonts w:ascii="Times New Roman" w:hAnsi="Times New Roman" w:cs="Times New Roman"/>
                      </w:rPr>
                      <w:t>137,504.04</w:t>
                    </w:r>
                  </w:p>
                </w:tc>
                <w:tc>
                  <w:tcPr>
                    <w:tcW w:w="919" w:type="pct"/>
                    <w:shd w:val="clear" w:color="auto" w:fill="auto"/>
                    <w:vAlign w:val="center"/>
                  </w:tcPr>
                  <w:p>
                    <w:pPr>
                      <w:jc w:val="right"/>
                      <w:rPr>
                        <w:rFonts w:ascii="Times New Roman" w:hAnsi="Times New Roman" w:cs="Times New Roman"/>
                        <w:szCs w:val="21"/>
                      </w:rPr>
                    </w:pPr>
                    <w:r>
                      <w:rPr>
                        <w:rFonts w:ascii="Times New Roman" w:hAnsi="Times New Roman" w:cs="Times New Roman"/>
                      </w:rPr>
                      <w:t>1,021,882.75</w:t>
                    </w:r>
                  </w:p>
                </w:tc>
                <w:tc>
                  <w:tcPr>
                    <w:tcW w:w="909" w:type="pct"/>
                    <w:shd w:val="clear" w:color="auto" w:fill="auto"/>
                    <w:vAlign w:val="center"/>
                  </w:tcPr>
                  <w:p>
                    <w:pPr>
                      <w:jc w:val="right"/>
                      <w:rPr>
                        <w:rFonts w:ascii="Times New Roman" w:hAnsi="Times New Roman" w:cs="Times New Roman"/>
                        <w:szCs w:val="21"/>
                      </w:rPr>
                    </w:pPr>
                    <w:r>
                      <w:rPr>
                        <w:rFonts w:ascii="Times New Roman" w:hAnsi="Times New Roman" w:cs="Times New Roman"/>
                      </w:rPr>
                      <w:t>153,282.41</w:t>
                    </w:r>
                  </w:p>
                </w:tc>
              </w:tr>
            </w:sdtContent>
          </w:sdt>
          <w:sdt>
            <w:sdtPr>
              <w:rPr>
                <w:rFonts w:ascii="Times New Roman" w:hAnsi="Times New Roman" w:cs="Times New Roman"/>
                <w:szCs w:val="21"/>
              </w:rPr>
              <w:alias w:val="递延所得税资产明细"/>
              <w:tag w:val="_TUP_703575bf8b6048788dc624e748111109"/>
              <w:id w:val="86572550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rPr>
                        <w:rFonts w:ascii="Times New Roman" w:hAnsi="Times New Roman" w:cs="Times New Roman"/>
                        <w:szCs w:val="21"/>
                      </w:rPr>
                    </w:pPr>
                    <w:r>
                      <w:rPr>
                        <w:rFonts w:ascii="Times New Roman" w:cs="Times New Roman"/>
                      </w:rPr>
                      <w:t>预提费用</w:t>
                    </w:r>
                  </w:p>
                </w:tc>
                <w:tc>
                  <w:tcPr>
                    <w:tcW w:w="912" w:type="pct"/>
                    <w:shd w:val="clear" w:color="auto" w:fill="auto"/>
                    <w:vAlign w:val="center"/>
                  </w:tcPr>
                  <w:p>
                    <w:pPr>
                      <w:jc w:val="right"/>
                      <w:rPr>
                        <w:rFonts w:ascii="Times New Roman" w:hAnsi="Times New Roman" w:cs="Times New Roman"/>
                        <w:szCs w:val="21"/>
                      </w:rPr>
                    </w:pPr>
                    <w:r>
                      <w:rPr>
                        <w:rFonts w:ascii="Times New Roman" w:hAnsi="Times New Roman" w:cs="Times New Roman"/>
                      </w:rPr>
                      <w:t>4,536,654.67</w:t>
                    </w:r>
                  </w:p>
                </w:tc>
                <w:tc>
                  <w:tcPr>
                    <w:tcW w:w="910" w:type="pct"/>
                    <w:shd w:val="clear" w:color="auto" w:fill="auto"/>
                    <w:vAlign w:val="center"/>
                  </w:tcPr>
                  <w:p>
                    <w:pPr>
                      <w:jc w:val="right"/>
                      <w:rPr>
                        <w:rFonts w:ascii="Times New Roman" w:hAnsi="Times New Roman" w:cs="Times New Roman"/>
                        <w:szCs w:val="21"/>
                      </w:rPr>
                    </w:pPr>
                    <w:r>
                      <w:rPr>
                        <w:rFonts w:ascii="Times New Roman" w:hAnsi="Times New Roman" w:cs="Times New Roman"/>
                      </w:rPr>
                      <w:t>680,498.20</w:t>
                    </w:r>
                  </w:p>
                </w:tc>
                <w:tc>
                  <w:tcPr>
                    <w:tcW w:w="919" w:type="pct"/>
                    <w:shd w:val="clear" w:color="auto" w:fill="auto"/>
                    <w:vAlign w:val="center"/>
                  </w:tcPr>
                  <w:p>
                    <w:pPr>
                      <w:jc w:val="right"/>
                      <w:rPr>
                        <w:rFonts w:ascii="Times New Roman" w:hAnsi="Times New Roman" w:cs="Times New Roman"/>
                        <w:szCs w:val="21"/>
                      </w:rPr>
                    </w:pPr>
                  </w:p>
                </w:tc>
                <w:tc>
                  <w:tcPr>
                    <w:tcW w:w="909" w:type="pct"/>
                    <w:shd w:val="clear" w:color="auto" w:fill="auto"/>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6fc9224998ff4043b5f3c058cb2e9971"/>
                <w:id w:val="865725502"/>
                <w:lock w:val="sdtLocked"/>
              </w:sdtPr>
              <w:sdtEndPr>
                <w:rPr>
                  <w:rFonts w:ascii="Times New Roman" w:hAnsi="Times New Roman" w:cs="Times New Roman"/>
                </w:rPr>
              </w:sdtEndPr>
              <w:sdtContent>
                <w:tc>
                  <w:tcPr>
                    <w:tcW w:w="1350" w:type="pct"/>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912" w:type="pct"/>
                <w:shd w:val="clear" w:color="auto" w:fill="auto"/>
                <w:vAlign w:val="center"/>
              </w:tcPr>
              <w:p>
                <w:pPr>
                  <w:jc w:val="right"/>
                  <w:rPr>
                    <w:rFonts w:ascii="Times New Roman" w:hAnsi="Times New Roman" w:cs="Times New Roman"/>
                    <w:sz w:val="24"/>
                  </w:rPr>
                </w:pPr>
                <w:r>
                  <w:rPr>
                    <w:rFonts w:ascii="Times New Roman" w:hAnsi="Times New Roman" w:cs="Times New Roman"/>
                  </w:rPr>
                  <w:t>29,540,957.79</w:t>
                </w:r>
              </w:p>
            </w:tc>
            <w:tc>
              <w:tcPr>
                <w:tcW w:w="910" w:type="pct"/>
                <w:shd w:val="clear" w:color="auto" w:fill="auto"/>
                <w:vAlign w:val="center"/>
              </w:tcPr>
              <w:p>
                <w:pPr>
                  <w:jc w:val="right"/>
                  <w:rPr>
                    <w:rFonts w:ascii="Times New Roman" w:hAnsi="Times New Roman" w:cs="Times New Roman"/>
                    <w:sz w:val="24"/>
                  </w:rPr>
                </w:pPr>
                <w:r>
                  <w:rPr>
                    <w:rFonts w:ascii="Times New Roman" w:hAnsi="Times New Roman" w:cs="Times New Roman"/>
                  </w:rPr>
                  <w:t>4,651,936.90</w:t>
                </w:r>
              </w:p>
            </w:tc>
            <w:tc>
              <w:tcPr>
                <w:tcW w:w="919" w:type="pct"/>
                <w:shd w:val="clear" w:color="auto" w:fill="auto"/>
                <w:vAlign w:val="center"/>
              </w:tcPr>
              <w:p>
                <w:pPr>
                  <w:jc w:val="right"/>
                  <w:rPr>
                    <w:rFonts w:ascii="Times New Roman" w:hAnsi="Times New Roman" w:cs="Times New Roman"/>
                    <w:sz w:val="24"/>
                  </w:rPr>
                </w:pPr>
                <w:r>
                  <w:rPr>
                    <w:rFonts w:ascii="Times New Roman" w:hAnsi="Times New Roman" w:cs="Times New Roman"/>
                  </w:rPr>
                  <w:t>23,810,083.94</w:t>
                </w:r>
              </w:p>
            </w:tc>
            <w:tc>
              <w:tcPr>
                <w:tcW w:w="909" w:type="pct"/>
                <w:shd w:val="clear" w:color="auto" w:fill="auto"/>
                <w:vAlign w:val="center"/>
              </w:tcPr>
              <w:p>
                <w:pPr>
                  <w:jc w:val="right"/>
                  <w:rPr>
                    <w:rFonts w:ascii="Times New Roman" w:hAnsi="Times New Roman" w:cs="Times New Roman"/>
                    <w:sz w:val="24"/>
                  </w:rPr>
                </w:pPr>
                <w:r>
                  <w:rPr>
                    <w:rFonts w:ascii="Times New Roman" w:hAnsi="Times New Roman" w:cs="Times New Roman"/>
                  </w:rPr>
                  <w:t>3,850,358.71</w:t>
                </w:r>
              </w:p>
            </w:tc>
          </w:tr>
        </w:tbl>
        <w:p/>
        <w:p>
          <w:pPr>
            <w:pStyle w:val="5"/>
            <w:numPr>
              <w:ilvl w:val="0"/>
              <w:numId w:val="96"/>
            </w:numPr>
            <w:ind w:left="426" w:hanging="426"/>
          </w:pPr>
          <w:r>
            <w:rPr>
              <w:rFonts w:hint="eastAsia"/>
            </w:rPr>
            <w:t>未经抵销的递延所得税负债</w:t>
          </w:r>
        </w:p>
        <w:p>
          <w:sdt>
            <w:sdtPr>
              <w:alias w:val="是否适用：未经抵销的递延所得税负债[双击切换]"/>
              <w:tag w:val="_GBC_e7d8f83d611d4464afa60fcd4c2b0690"/>
              <w:id w:val="865725503"/>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经抵销的递延所得税负债"/>
              <w:tag w:val="_GBC_20c1fd2b551d429d888a1c48c5ee9c5a"/>
              <w:id w:val="8657255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8657255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2"/>
            <w:gridCol w:w="1687"/>
            <w:gridCol w:w="1652"/>
            <w:gridCol w:w="1687"/>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e9bdb30dce784b4a9efd1b5efd6964fb"/>
                <w:id w:val="865725506"/>
                <w:lock w:val="sdtLocked"/>
              </w:sdtPr>
              <w:sdtEndPr>
                <w:rPr>
                  <w:rFonts w:ascii="Times New Roman" w:hAnsi="Times New Roman" w:cs="Times New Roman"/>
                </w:rPr>
              </w:sdtEndPr>
              <w:sdtContent>
                <w:tc>
                  <w:tcPr>
                    <w:tcW w:w="1305"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600f3752c404468197724275bf44cd43"/>
                <w:id w:val="865725507"/>
                <w:lock w:val="sdtLocked"/>
              </w:sdtPr>
              <w:sdtEndPr>
                <w:rPr>
                  <w:rFonts w:ascii="Times New Roman" w:hAnsi="Times New Roman" w:cs="Times New Roman"/>
                </w:rPr>
              </w:sdtEndPr>
              <w:sdtContent>
                <w:tc>
                  <w:tcPr>
                    <w:tcW w:w="1844" w:type="pct"/>
                    <w:gridSpan w:val="2"/>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7e4b2554e2544865b74424edbdb55d4b"/>
                <w:id w:val="865725508"/>
                <w:lock w:val="sdtLocked"/>
              </w:sdtPr>
              <w:sdtEndPr>
                <w:rPr>
                  <w:rFonts w:ascii="Times New Roman" w:hAnsi="Times New Roman" w:cs="Times New Roman"/>
                </w:rPr>
              </w:sdtEndPr>
              <w:sdtContent>
                <w:tc>
                  <w:tcPr>
                    <w:tcW w:w="1851" w:type="pct"/>
                    <w:gridSpan w:val="2"/>
                    <w:shd w:val="clear" w:color="auto" w:fill="auto"/>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05" w:type="pct"/>
                <w:vMerge w:val="continue"/>
                <w:shd w:val="clear" w:color="auto" w:fill="auto"/>
                <w:vAlign w:val="center"/>
              </w:tcPr>
              <w:p>
                <w:pPr>
                  <w:jc w:val="center"/>
                  <w:rPr>
                    <w:rFonts w:ascii="Times New Roman" w:hAnsi="Times New Roman" w:cs="Times New Roman"/>
                    <w:b/>
                    <w:szCs w:val="21"/>
                  </w:rPr>
                </w:pPr>
              </w:p>
            </w:tc>
            <w:sdt>
              <w:sdtPr>
                <w:rPr>
                  <w:rFonts w:ascii="Times New Roman" w:hAnsi="Times New Roman" w:cs="Times New Roman"/>
                </w:rPr>
                <w:tag w:val="_PLD_2db432e06e184a41a8eb727ebb64ec40"/>
                <w:id w:val="865725509"/>
                <w:lock w:val="sdtLocked"/>
              </w:sdtPr>
              <w:sdtEndPr>
                <w:rPr>
                  <w:rFonts w:ascii="Times New Roman" w:hAnsi="Times New Roman" w:cs="Times New Roman"/>
                </w:rPr>
              </w:sdtEndPr>
              <w:sdtContent>
                <w:tc>
                  <w:tcPr>
                    <w:tcW w:w="932" w:type="pct"/>
                    <w:shd w:val="clear" w:color="auto" w:fill="auto"/>
                    <w:vAlign w:val="center"/>
                  </w:tcPr>
                  <w:p>
                    <w:pPr>
                      <w:jc w:val="center"/>
                      <w:rPr>
                        <w:rFonts w:ascii="Times New Roman" w:hAnsi="Times New Roman" w:cs="Times New Roman"/>
                        <w:szCs w:val="21"/>
                      </w:rPr>
                    </w:pPr>
                    <w:r>
                      <w:rPr>
                        <w:rFonts w:ascii="Times New Roman" w:hAnsi="Arial" w:cs="Times New Roman"/>
                        <w:szCs w:val="21"/>
                      </w:rPr>
                      <w:t>应纳税暂时性差异</w:t>
                    </w:r>
                  </w:p>
                </w:tc>
              </w:sdtContent>
            </w:sdt>
            <w:sdt>
              <w:sdtPr>
                <w:rPr>
                  <w:rFonts w:ascii="Times New Roman" w:hAnsi="Times New Roman" w:cs="Times New Roman"/>
                </w:rPr>
                <w:tag w:val="_PLD_b3dd3e66f628452aab8284dc189a458b"/>
                <w:id w:val="865725510"/>
                <w:lock w:val="sdtLocked"/>
              </w:sdtPr>
              <w:sdtEndPr>
                <w:rPr>
                  <w:rFonts w:ascii="Times New Roman" w:hAnsi="Times New Roman" w:cs="Times New Roman"/>
                </w:rPr>
              </w:sdtEndPr>
              <w:sdtContent>
                <w:tc>
                  <w:tcPr>
                    <w:tcW w:w="913" w:type="pct"/>
                    <w:shd w:val="clear" w:color="auto" w:fill="auto"/>
                    <w:vAlign w:val="center"/>
                  </w:tcPr>
                  <w:p>
                    <w:pPr>
                      <w:jc w:val="center"/>
                      <w:rPr>
                        <w:rFonts w:ascii="Times New Roman" w:hAnsi="Times New Roman" w:cs="Times New Roman"/>
                        <w:szCs w:val="21"/>
                      </w:rPr>
                    </w:pPr>
                    <w:r>
                      <w:rPr>
                        <w:rFonts w:ascii="Times New Roman" w:cs="Times New Roman"/>
                        <w:szCs w:val="21"/>
                      </w:rPr>
                      <w:t>递延所得税</w:t>
                    </w:r>
                  </w:p>
                  <w:p>
                    <w:pPr>
                      <w:jc w:val="center"/>
                      <w:rPr>
                        <w:rFonts w:ascii="Times New Roman" w:hAnsi="Times New Roman" w:cs="Times New Roman"/>
                        <w:szCs w:val="21"/>
                      </w:rPr>
                    </w:pPr>
                    <w:r>
                      <w:rPr>
                        <w:rFonts w:ascii="Times New Roman" w:cs="Times New Roman"/>
                        <w:szCs w:val="21"/>
                      </w:rPr>
                      <w:t>负债</w:t>
                    </w:r>
                  </w:p>
                </w:tc>
              </w:sdtContent>
            </w:sdt>
            <w:sdt>
              <w:sdtPr>
                <w:rPr>
                  <w:rFonts w:ascii="Times New Roman" w:hAnsi="Times New Roman" w:cs="Times New Roman"/>
                </w:rPr>
                <w:tag w:val="_PLD_3e69493cf6a2462eab1eaf8ece87a89d"/>
                <w:id w:val="865725511"/>
                <w:lock w:val="sdtLocked"/>
              </w:sdtPr>
              <w:sdtEndPr>
                <w:rPr>
                  <w:rFonts w:ascii="Times New Roman" w:hAnsi="Times New Roman" w:cs="Times New Roman"/>
                </w:rPr>
              </w:sdtEndPr>
              <w:sdtContent>
                <w:tc>
                  <w:tcPr>
                    <w:tcW w:w="932" w:type="pct"/>
                    <w:shd w:val="clear" w:color="auto" w:fill="auto"/>
                    <w:vAlign w:val="center"/>
                  </w:tcPr>
                  <w:p>
                    <w:pPr>
                      <w:jc w:val="center"/>
                      <w:rPr>
                        <w:rFonts w:ascii="Times New Roman" w:hAnsi="Times New Roman" w:cs="Times New Roman"/>
                        <w:szCs w:val="21"/>
                      </w:rPr>
                    </w:pPr>
                    <w:r>
                      <w:rPr>
                        <w:rFonts w:ascii="Times New Roman" w:hAnsi="Arial" w:cs="Times New Roman"/>
                        <w:szCs w:val="21"/>
                      </w:rPr>
                      <w:t>应纳税暂时性差异</w:t>
                    </w:r>
                  </w:p>
                </w:tc>
              </w:sdtContent>
            </w:sdt>
            <w:sdt>
              <w:sdtPr>
                <w:rPr>
                  <w:rFonts w:ascii="Times New Roman" w:hAnsi="Times New Roman" w:cs="Times New Roman"/>
                </w:rPr>
                <w:tag w:val="_PLD_ad4c3389a4a04a96990ace5203f3adbb"/>
                <w:id w:val="865725512"/>
                <w:lock w:val="sdtLocked"/>
              </w:sdtPr>
              <w:sdtEndPr>
                <w:rPr>
                  <w:rFonts w:ascii="Times New Roman" w:hAnsi="Times New Roman" w:cs="Times New Roman"/>
                </w:rPr>
              </w:sdtEndPr>
              <w:sdtContent>
                <w:tc>
                  <w:tcPr>
                    <w:tcW w:w="919" w:type="pct"/>
                    <w:shd w:val="clear" w:color="auto" w:fill="auto"/>
                    <w:vAlign w:val="center"/>
                  </w:tcPr>
                  <w:p>
                    <w:pPr>
                      <w:jc w:val="center"/>
                      <w:rPr>
                        <w:rFonts w:ascii="Times New Roman" w:hAnsi="Times New Roman" w:cs="Times New Roman"/>
                        <w:szCs w:val="21"/>
                      </w:rPr>
                    </w:pPr>
                    <w:r>
                      <w:rPr>
                        <w:rFonts w:ascii="Times New Roman" w:cs="Times New Roman"/>
                        <w:szCs w:val="21"/>
                      </w:rPr>
                      <w:t>递延所得税</w:t>
                    </w:r>
                  </w:p>
                  <w:p>
                    <w:pPr>
                      <w:jc w:val="center"/>
                      <w:rPr>
                        <w:rFonts w:ascii="Times New Roman" w:hAnsi="Times New Roman" w:cs="Times New Roman"/>
                        <w:szCs w:val="21"/>
                      </w:rPr>
                    </w:pPr>
                    <w:r>
                      <w:rPr>
                        <w:rFonts w:ascii="Times New Roman" w:cs="Times New Roman"/>
                        <w:szCs w:val="21"/>
                      </w:rPr>
                      <w:t>负债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4f72c377b5d94b8c89a92fff0893cc9e"/>
                <w:id w:val="865725513"/>
                <w:lock w:val="sdtLocked"/>
              </w:sdtPr>
              <w:sdtEndPr>
                <w:rPr>
                  <w:rFonts w:ascii="Times New Roman" w:hAnsi="Times New Roman" w:cs="Times New Roman"/>
                </w:rPr>
              </w:sdtEndPr>
              <w:sdtContent>
                <w:tc>
                  <w:tcPr>
                    <w:tcW w:w="1305" w:type="pct"/>
                    <w:shd w:val="clear" w:color="auto" w:fill="auto"/>
                  </w:tcPr>
                  <w:p>
                    <w:pPr>
                      <w:rPr>
                        <w:rFonts w:ascii="Times New Roman" w:hAnsi="Times New Roman" w:cs="Times New Roman"/>
                        <w:szCs w:val="21"/>
                      </w:rPr>
                    </w:pPr>
                    <w:r>
                      <w:rPr>
                        <w:rFonts w:ascii="Times New Roman" w:cs="Times New Roman"/>
                        <w:szCs w:val="21"/>
                      </w:rPr>
                      <w:t>非同一控制企业合并资产评估增值</w:t>
                    </w:r>
                  </w:p>
                </w:tc>
              </w:sdtContent>
            </w:sdt>
            <w:tc>
              <w:tcPr>
                <w:tcW w:w="932" w:type="pct"/>
                <w:shd w:val="clear" w:color="auto" w:fill="auto"/>
              </w:tcPr>
              <w:p>
                <w:pPr>
                  <w:jc w:val="right"/>
                  <w:rPr>
                    <w:rFonts w:ascii="Times New Roman" w:hAnsi="Times New Roman" w:cs="Times New Roman"/>
                    <w:szCs w:val="21"/>
                  </w:rPr>
                </w:pPr>
              </w:p>
            </w:tc>
            <w:tc>
              <w:tcPr>
                <w:tcW w:w="913" w:type="pct"/>
                <w:shd w:val="clear" w:color="auto" w:fill="auto"/>
              </w:tcPr>
              <w:p>
                <w:pPr>
                  <w:jc w:val="right"/>
                  <w:rPr>
                    <w:rFonts w:ascii="Times New Roman" w:hAnsi="Times New Roman" w:cs="Times New Roman"/>
                    <w:szCs w:val="21"/>
                  </w:rPr>
                </w:pPr>
              </w:p>
            </w:tc>
            <w:tc>
              <w:tcPr>
                <w:tcW w:w="932" w:type="pct"/>
                <w:shd w:val="clear" w:color="auto" w:fill="auto"/>
              </w:tcPr>
              <w:p>
                <w:pPr>
                  <w:jc w:val="right"/>
                  <w:rPr>
                    <w:rFonts w:ascii="Times New Roman" w:hAnsi="Times New Roman" w:cs="Times New Roman"/>
                    <w:szCs w:val="21"/>
                  </w:rPr>
                </w:pPr>
              </w:p>
            </w:tc>
            <w:tc>
              <w:tcPr>
                <w:tcW w:w="919" w:type="pct"/>
                <w:shd w:val="clear" w:color="auto" w:fill="auto"/>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05" w:type="pct"/>
                <w:shd w:val="clear" w:color="auto" w:fill="auto"/>
              </w:tcPr>
              <w:sdt>
                <w:sdtPr>
                  <w:rPr>
                    <w:rFonts w:ascii="Times New Roman" w:hAnsi="Times New Roman" w:cs="Times New Roman"/>
                  </w:rPr>
                  <w:tag w:val="_PLD_7b5da28278834ae8a18dbbf95dcb3c91"/>
                  <w:id w:val="865725514"/>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其他债权投资公允价值变动</w:t>
                    </w:r>
                  </w:p>
                </w:sdtContent>
              </w:sdt>
            </w:tc>
            <w:tc>
              <w:tcPr>
                <w:tcW w:w="932" w:type="pct"/>
                <w:shd w:val="clear" w:color="auto" w:fill="auto"/>
              </w:tcPr>
              <w:p>
                <w:pPr>
                  <w:jc w:val="right"/>
                  <w:rPr>
                    <w:rFonts w:ascii="Times New Roman" w:hAnsi="Times New Roman" w:cs="Times New Roman"/>
                    <w:szCs w:val="21"/>
                  </w:rPr>
                </w:pPr>
              </w:p>
            </w:tc>
            <w:tc>
              <w:tcPr>
                <w:tcW w:w="913" w:type="pct"/>
                <w:shd w:val="clear" w:color="auto" w:fill="auto"/>
              </w:tcPr>
              <w:p>
                <w:pPr>
                  <w:jc w:val="right"/>
                  <w:rPr>
                    <w:rFonts w:ascii="Times New Roman" w:hAnsi="Times New Roman" w:cs="Times New Roman"/>
                    <w:szCs w:val="21"/>
                  </w:rPr>
                </w:pPr>
              </w:p>
            </w:tc>
            <w:tc>
              <w:tcPr>
                <w:tcW w:w="932" w:type="pct"/>
                <w:shd w:val="clear" w:color="auto" w:fill="auto"/>
              </w:tcPr>
              <w:p>
                <w:pPr>
                  <w:jc w:val="right"/>
                  <w:rPr>
                    <w:rFonts w:ascii="Times New Roman" w:hAnsi="Times New Roman" w:cs="Times New Roman"/>
                    <w:szCs w:val="21"/>
                  </w:rPr>
                </w:pPr>
              </w:p>
            </w:tc>
            <w:tc>
              <w:tcPr>
                <w:tcW w:w="919" w:type="pct"/>
                <w:shd w:val="clear" w:color="auto" w:fill="auto"/>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05" w:type="pct"/>
                <w:shd w:val="clear" w:color="auto" w:fill="auto"/>
              </w:tcPr>
              <w:sdt>
                <w:sdtPr>
                  <w:rPr>
                    <w:rFonts w:ascii="Times New Roman" w:hAnsi="Times New Roman" w:cs="Times New Roman"/>
                  </w:rPr>
                  <w:tag w:val="_PLD_a1aad6e3a000483dac7cbcc809b72d90"/>
                  <w:id w:val="865725515"/>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其他权益工具投资公允价值变动</w:t>
                    </w:r>
                  </w:p>
                </w:sdtContent>
              </w:sdt>
            </w:tc>
            <w:tc>
              <w:tcPr>
                <w:tcW w:w="932" w:type="pct"/>
                <w:shd w:val="clear" w:color="auto" w:fill="auto"/>
              </w:tcPr>
              <w:p>
                <w:pPr>
                  <w:jc w:val="right"/>
                  <w:rPr>
                    <w:rFonts w:ascii="Times New Roman" w:hAnsi="Times New Roman" w:cs="Times New Roman"/>
                    <w:szCs w:val="21"/>
                  </w:rPr>
                </w:pPr>
              </w:p>
            </w:tc>
            <w:tc>
              <w:tcPr>
                <w:tcW w:w="913" w:type="pct"/>
                <w:shd w:val="clear" w:color="auto" w:fill="auto"/>
              </w:tcPr>
              <w:p>
                <w:pPr>
                  <w:jc w:val="right"/>
                  <w:rPr>
                    <w:rFonts w:ascii="Times New Roman" w:hAnsi="Times New Roman" w:cs="Times New Roman"/>
                    <w:szCs w:val="21"/>
                  </w:rPr>
                </w:pPr>
              </w:p>
            </w:tc>
            <w:tc>
              <w:tcPr>
                <w:tcW w:w="932" w:type="pct"/>
                <w:shd w:val="clear" w:color="auto" w:fill="auto"/>
              </w:tcPr>
              <w:p>
                <w:pPr>
                  <w:jc w:val="right"/>
                  <w:rPr>
                    <w:rFonts w:ascii="Times New Roman" w:hAnsi="Times New Roman" w:cs="Times New Roman"/>
                    <w:szCs w:val="21"/>
                  </w:rPr>
                </w:pPr>
              </w:p>
            </w:tc>
            <w:tc>
              <w:tcPr>
                <w:tcW w:w="919" w:type="pct"/>
                <w:shd w:val="clear" w:color="auto" w:fill="auto"/>
              </w:tcPr>
              <w:p>
                <w:pPr>
                  <w:jc w:val="right"/>
                  <w:rPr>
                    <w:rFonts w:ascii="Times New Roman" w:hAnsi="Times New Roman" w:cs="Times New Roman"/>
                    <w:szCs w:val="21"/>
                  </w:rPr>
                </w:pPr>
              </w:p>
            </w:tc>
          </w:tr>
          <w:sdt>
            <w:sdtPr>
              <w:rPr>
                <w:rFonts w:ascii="Times New Roman" w:hAnsi="Times New Roman" w:cs="Times New Roman"/>
                <w:szCs w:val="21"/>
              </w:rPr>
              <w:alias w:val="递延所得税负债明细"/>
              <w:tag w:val="_TUP_8036f0bdcd3a43a38ae605c99228b929"/>
              <w:id w:val="86572551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05" w:type="pct"/>
                    <w:shd w:val="clear" w:color="auto" w:fill="auto"/>
                    <w:vAlign w:val="center"/>
                  </w:tcPr>
                  <w:p>
                    <w:pPr>
                      <w:rPr>
                        <w:rFonts w:ascii="Times New Roman" w:hAnsi="Times New Roman" w:cs="Times New Roman"/>
                        <w:szCs w:val="21"/>
                      </w:rPr>
                    </w:pPr>
                    <w:r>
                      <w:rPr>
                        <w:rFonts w:ascii="Times New Roman" w:cs="Times New Roman"/>
                      </w:rPr>
                      <w:t>计入当期损益的公允价值变动</w:t>
                    </w:r>
                  </w:p>
                </w:tc>
                <w:tc>
                  <w:tcPr>
                    <w:tcW w:w="932" w:type="pct"/>
                    <w:shd w:val="clear" w:color="auto" w:fill="auto"/>
                    <w:vAlign w:val="center"/>
                  </w:tcPr>
                  <w:p>
                    <w:pPr>
                      <w:jc w:val="right"/>
                      <w:rPr>
                        <w:rFonts w:ascii="Times New Roman" w:hAnsi="Times New Roman" w:cs="Times New Roman"/>
                        <w:szCs w:val="21"/>
                      </w:rPr>
                    </w:pPr>
                    <w:r>
                      <w:rPr>
                        <w:rFonts w:ascii="Times New Roman" w:hAnsi="Times New Roman" w:cs="Times New Roman"/>
                      </w:rPr>
                      <w:t>202,887,366.15</w:t>
                    </w:r>
                  </w:p>
                </w:tc>
                <w:tc>
                  <w:tcPr>
                    <w:tcW w:w="913" w:type="pct"/>
                    <w:shd w:val="clear" w:color="auto" w:fill="auto"/>
                    <w:vAlign w:val="center"/>
                  </w:tcPr>
                  <w:p>
                    <w:pPr>
                      <w:jc w:val="right"/>
                      <w:rPr>
                        <w:rFonts w:ascii="Times New Roman" w:hAnsi="Times New Roman" w:cs="Times New Roman"/>
                        <w:szCs w:val="21"/>
                      </w:rPr>
                    </w:pPr>
                    <w:r>
                      <w:rPr>
                        <w:rFonts w:ascii="Times New Roman" w:hAnsi="Times New Roman" w:cs="Times New Roman"/>
                      </w:rPr>
                      <w:t>50,721,841.54</w:t>
                    </w:r>
                  </w:p>
                </w:tc>
                <w:tc>
                  <w:tcPr>
                    <w:tcW w:w="932" w:type="pct"/>
                    <w:shd w:val="clear" w:color="auto" w:fill="auto"/>
                    <w:vAlign w:val="center"/>
                  </w:tcPr>
                  <w:p>
                    <w:pPr>
                      <w:jc w:val="right"/>
                      <w:rPr>
                        <w:rFonts w:ascii="Times New Roman" w:hAnsi="Times New Roman" w:cs="Times New Roman"/>
                        <w:szCs w:val="21"/>
                      </w:rPr>
                    </w:pPr>
                    <w:r>
                      <w:rPr>
                        <w:rFonts w:ascii="Times New Roman" w:hAnsi="Times New Roman" w:cs="Times New Roman"/>
                      </w:rPr>
                      <w:t>228,773,466.52</w:t>
                    </w:r>
                  </w:p>
                </w:tc>
                <w:tc>
                  <w:tcPr>
                    <w:tcW w:w="919" w:type="pct"/>
                    <w:shd w:val="clear" w:color="auto" w:fill="auto"/>
                    <w:vAlign w:val="center"/>
                  </w:tcPr>
                  <w:p>
                    <w:pPr>
                      <w:jc w:val="right"/>
                      <w:rPr>
                        <w:rFonts w:ascii="Times New Roman" w:hAnsi="Times New Roman" w:cs="Times New Roman"/>
                        <w:szCs w:val="21"/>
                      </w:rPr>
                    </w:pPr>
                    <w:r>
                      <w:rPr>
                        <w:rFonts w:ascii="Times New Roman" w:hAnsi="Times New Roman" w:cs="Times New Roman"/>
                      </w:rPr>
                      <w:t>57,193,366.63</w:t>
                    </w:r>
                  </w:p>
                </w:tc>
              </w:tr>
            </w:sdtContent>
          </w:sdt>
          <w:sdt>
            <w:sdtPr>
              <w:rPr>
                <w:rFonts w:ascii="Times New Roman" w:hAnsi="Times New Roman" w:cs="Times New Roman"/>
                <w:szCs w:val="21"/>
              </w:rPr>
              <w:alias w:val="递延所得税负债明细"/>
              <w:tag w:val="_TUP_8036f0bdcd3a43a38ae605c99228b929"/>
              <w:id w:val="86572551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05" w:type="pct"/>
                    <w:shd w:val="clear" w:color="auto" w:fill="auto"/>
                    <w:vAlign w:val="center"/>
                  </w:tcPr>
                  <w:p>
                    <w:pPr>
                      <w:rPr>
                        <w:rFonts w:ascii="Times New Roman" w:hAnsi="Times New Roman" w:cs="Times New Roman"/>
                        <w:szCs w:val="21"/>
                      </w:rPr>
                    </w:pPr>
                  </w:p>
                </w:tc>
                <w:tc>
                  <w:tcPr>
                    <w:tcW w:w="932" w:type="pct"/>
                    <w:shd w:val="clear" w:color="auto" w:fill="auto"/>
                    <w:vAlign w:val="center"/>
                  </w:tcPr>
                  <w:p>
                    <w:pPr>
                      <w:jc w:val="right"/>
                      <w:rPr>
                        <w:rFonts w:ascii="Times New Roman" w:hAnsi="Times New Roman" w:cs="Times New Roman"/>
                        <w:szCs w:val="21"/>
                      </w:rPr>
                    </w:pPr>
                  </w:p>
                </w:tc>
                <w:tc>
                  <w:tcPr>
                    <w:tcW w:w="913" w:type="pct"/>
                    <w:shd w:val="clear" w:color="auto" w:fill="auto"/>
                    <w:vAlign w:val="center"/>
                  </w:tcPr>
                  <w:p>
                    <w:pPr>
                      <w:jc w:val="right"/>
                      <w:rPr>
                        <w:rFonts w:ascii="Times New Roman" w:hAnsi="Times New Roman" w:cs="Times New Roman"/>
                        <w:szCs w:val="21"/>
                      </w:rPr>
                    </w:pPr>
                  </w:p>
                </w:tc>
                <w:tc>
                  <w:tcPr>
                    <w:tcW w:w="932" w:type="pct"/>
                    <w:shd w:val="clear" w:color="auto" w:fill="auto"/>
                    <w:vAlign w:val="center"/>
                  </w:tcPr>
                  <w:p>
                    <w:pPr>
                      <w:jc w:val="right"/>
                      <w:rPr>
                        <w:rFonts w:ascii="Times New Roman" w:hAnsi="Times New Roman" w:cs="Times New Roman"/>
                        <w:szCs w:val="21"/>
                      </w:rPr>
                    </w:pPr>
                  </w:p>
                </w:tc>
                <w:tc>
                  <w:tcPr>
                    <w:tcW w:w="919" w:type="pct"/>
                    <w:shd w:val="clear" w:color="auto" w:fill="auto"/>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b75c52751ee84b8da27bd6f8290a4521"/>
                <w:id w:val="865725518"/>
                <w:lock w:val="sdtLocked"/>
              </w:sdtPr>
              <w:sdtEndPr>
                <w:rPr>
                  <w:rFonts w:ascii="Times New Roman" w:hAnsi="Times New Roman" w:cs="Times New Roman"/>
                </w:rPr>
              </w:sdtEndPr>
              <w:sdtContent>
                <w:tc>
                  <w:tcPr>
                    <w:tcW w:w="1305" w:type="pct"/>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202,887,366.15</w:t>
                </w:r>
              </w:p>
            </w:tc>
            <w:tc>
              <w:tcPr>
                <w:tcW w:w="913" w:type="pct"/>
                <w:shd w:val="clear" w:color="auto" w:fill="auto"/>
                <w:vAlign w:val="center"/>
              </w:tcPr>
              <w:p>
                <w:pPr>
                  <w:jc w:val="right"/>
                  <w:rPr>
                    <w:rFonts w:ascii="Times New Roman" w:hAnsi="Times New Roman" w:cs="Times New Roman"/>
                    <w:sz w:val="24"/>
                  </w:rPr>
                </w:pPr>
                <w:r>
                  <w:rPr>
                    <w:rFonts w:ascii="Times New Roman" w:hAnsi="Times New Roman" w:cs="Times New Roman"/>
                  </w:rPr>
                  <w:t>50,721,841.54</w:t>
                </w:r>
              </w:p>
            </w:tc>
            <w:tc>
              <w:tcPr>
                <w:tcW w:w="932" w:type="pct"/>
                <w:shd w:val="clear" w:color="auto" w:fill="auto"/>
                <w:vAlign w:val="center"/>
              </w:tcPr>
              <w:p>
                <w:pPr>
                  <w:jc w:val="right"/>
                  <w:rPr>
                    <w:rFonts w:ascii="Times New Roman" w:hAnsi="Times New Roman" w:cs="Times New Roman"/>
                    <w:sz w:val="24"/>
                  </w:rPr>
                </w:pPr>
                <w:r>
                  <w:rPr>
                    <w:rFonts w:ascii="Times New Roman" w:hAnsi="Times New Roman" w:cs="Times New Roman"/>
                  </w:rPr>
                  <w:t>228,773,466.52</w:t>
                </w:r>
              </w:p>
            </w:tc>
            <w:tc>
              <w:tcPr>
                <w:tcW w:w="919" w:type="pct"/>
                <w:shd w:val="clear" w:color="auto" w:fill="auto"/>
                <w:vAlign w:val="center"/>
              </w:tcPr>
              <w:p>
                <w:pPr>
                  <w:jc w:val="right"/>
                  <w:rPr>
                    <w:rFonts w:ascii="Times New Roman" w:hAnsi="Times New Roman" w:cs="Times New Roman"/>
                    <w:sz w:val="24"/>
                  </w:rPr>
                </w:pPr>
                <w:r>
                  <w:rPr>
                    <w:rFonts w:ascii="Times New Roman" w:hAnsi="Times New Roman" w:cs="Times New Roman"/>
                  </w:rPr>
                  <w:t>57,193,366.63</w:t>
                </w:r>
              </w:p>
            </w:tc>
          </w:tr>
        </w:tbl>
        <w:p/>
        <w:p>
          <w:pPr>
            <w:pStyle w:val="5"/>
            <w:numPr>
              <w:ilvl w:val="0"/>
              <w:numId w:val="96"/>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865725519"/>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
            <w:numPr>
              <w:ilvl w:val="0"/>
              <w:numId w:val="96"/>
            </w:numPr>
            <w:ind w:left="426" w:hanging="426"/>
          </w:pPr>
          <w:r>
            <w:rPr>
              <w:rFonts w:hint="eastAsia"/>
            </w:rPr>
            <w:t>未确认递延所得税资产明细</w:t>
          </w:r>
        </w:p>
        <w:sdt>
          <w:sdtPr>
            <w:alias w:val="是否适用：未确认递延所得税资产明细[双击切换]"/>
            <w:tag w:val="_GBC_713996bf5e4d4c6988835fbf892c5ef2"/>
            <w:id w:val="86572552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8657255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8657255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8"/>
            <w:gridCol w:w="3082"/>
            <w:gridCol w:w="3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91af0f9b93ef459d823e4bc33d9190d6"/>
                <w:id w:val="865725523"/>
                <w:lock w:val="sdtLocked"/>
              </w:sdtPr>
              <w:sdtEndPr>
                <w:rPr>
                  <w:rFonts w:ascii="Times New Roman" w:hAnsi="Times New Roman" w:cs="Times New Roman"/>
                </w:rPr>
              </w:sdtEndPr>
              <w:sdtContent>
                <w:tc>
                  <w:tcPr>
                    <w:tcW w:w="15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2c2dee2efbd6433784024156b3454ba7"/>
                <w:id w:val="865725524"/>
                <w:lock w:val="sdtLocked"/>
              </w:sdtPr>
              <w:sdtEndPr>
                <w:rPr>
                  <w:rFonts w:ascii="Times New Roman" w:hAnsi="Times New Roman" w:cs="Times New Roman"/>
                </w:rPr>
              </w:sdtEndPr>
              <w:sdtContent>
                <w:tc>
                  <w:tcPr>
                    <w:tcW w:w="170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d5059c87582d4e558703d63a8a2d5399"/>
                <w:id w:val="865725525"/>
                <w:lock w:val="sdtLocked"/>
              </w:sdtPr>
              <w:sdtEndPr>
                <w:rPr>
                  <w:rFonts w:ascii="Times New Roman" w:hAnsi="Times New Roman" w:cs="Times New Roman"/>
                </w:rPr>
              </w:sdtEndPr>
              <w:sdtContent>
                <w:tc>
                  <w:tcPr>
                    <w:tcW w:w="170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967b4d05866f48ccbd10a38bb9691c20"/>
                <w:id w:val="865725526"/>
                <w:lock w:val="sdtLocked"/>
              </w:sdtPr>
              <w:sdtEndPr>
                <w:rPr>
                  <w:rFonts w:ascii="Times New Roman" w:hAnsi="Times New Roman" w:cs="Times New Roman"/>
                </w:rPr>
              </w:sdtEndPr>
              <w:sdtContent>
                <w:tc>
                  <w:tcPr>
                    <w:tcW w:w="1596"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szCs w:val="21"/>
                      </w:rPr>
                      <w:t>可抵扣暂时性差异</w:t>
                    </w:r>
                  </w:p>
                </w:tc>
              </w:sdtContent>
            </w:sdt>
            <w:tc>
              <w:tcPr>
                <w:tcW w:w="170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95,897,274.75</w:t>
                </w:r>
              </w:p>
            </w:tc>
            <w:tc>
              <w:tcPr>
                <w:tcW w:w="17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120,725,486.95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fcfc7718db484ea1b986c6371393d8ea"/>
                <w:id w:val="865725527"/>
                <w:lock w:val="sdtLocked"/>
              </w:sdtPr>
              <w:sdtEndPr>
                <w:rPr>
                  <w:rFonts w:ascii="Times New Roman" w:hAnsi="Times New Roman" w:cs="Times New Roman"/>
                </w:rPr>
              </w:sdtEndPr>
              <w:sdtContent>
                <w:tc>
                  <w:tcPr>
                    <w:tcW w:w="1596"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szCs w:val="21"/>
                      </w:rPr>
                      <w:t>可抵扣亏损</w:t>
                    </w:r>
                  </w:p>
                </w:tc>
              </w:sdtContent>
            </w:sdt>
            <w:tc>
              <w:tcPr>
                <w:tcW w:w="170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440,893,909.68</w:t>
                </w:r>
              </w:p>
            </w:tc>
            <w:tc>
              <w:tcPr>
                <w:tcW w:w="17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429,474,395.78</w:t>
                </w:r>
              </w:p>
            </w:tc>
          </w:tr>
          <w:sdt>
            <w:sdtPr>
              <w:rPr>
                <w:rFonts w:ascii="Times New Roman" w:hAnsi="Times New Roman" w:cs="Times New Roman"/>
                <w:szCs w:val="21"/>
              </w:rPr>
              <w:alias w:val="未确认递延所得税资产明细"/>
              <w:tag w:val="_TUP_2338498f31b74bb68e5506a291ab93b9"/>
              <w:id w:val="86572552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p>
                </w:tc>
                <w:tc>
                  <w:tcPr>
                    <w:tcW w:w="170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7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未确认递延所得税资产明细"/>
              <w:tag w:val="_TUP_2338498f31b74bb68e5506a291ab93b9"/>
              <w:id w:val="86572552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p>
                </w:tc>
                <w:tc>
                  <w:tcPr>
                    <w:tcW w:w="170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7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fb4b8beb920a4500aa2e3d35f8842374"/>
                <w:id w:val="865725530"/>
                <w:lock w:val="sdtLocked"/>
              </w:sdtPr>
              <w:sdtEndPr>
                <w:rPr>
                  <w:rFonts w:ascii="Times New Roman" w:hAnsi="Times New Roman" w:cs="Times New Roman"/>
                </w:rPr>
              </w:sdtEndPr>
              <w:sdtContent>
                <w:tc>
                  <w:tcPr>
                    <w:tcW w:w="15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合计</w:t>
                    </w:r>
                  </w:p>
                </w:tc>
              </w:sdtContent>
            </w:sdt>
            <w:tc>
              <w:tcPr>
                <w:tcW w:w="170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536,791,184.43</w:t>
                </w:r>
              </w:p>
            </w:tc>
            <w:tc>
              <w:tcPr>
                <w:tcW w:w="17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550,199,882.73</w:t>
                </w:r>
              </w:p>
            </w:tc>
          </w:tr>
        </w:tbl>
        <w:p>
          <w:pPr>
            <w:rPr>
              <w:szCs w:val="21"/>
            </w:rPr>
          </w:pPr>
        </w:p>
        <w:p>
          <w:pPr>
            <w:pStyle w:val="5"/>
            <w:numPr>
              <w:ilvl w:val="0"/>
              <w:numId w:val="96"/>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86572553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8657255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8657255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2286"/>
            <w:gridCol w:w="232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c2bad95d2ced4c2f8958303268f6cd2b"/>
                <w:id w:val="865725534"/>
                <w:lock w:val="sdtLocked"/>
              </w:sdtPr>
              <w:sdtEndPr>
                <w:rPr>
                  <w:rFonts w:ascii="Times New Roman" w:hAnsi="Times New Roman" w:cs="Times New Roman"/>
                </w:rPr>
              </w:sdtEndPr>
              <w:sdtContent>
                <w:tc>
                  <w:tcPr>
                    <w:tcW w:w="115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年份</w:t>
                    </w:r>
                  </w:p>
                </w:tc>
              </w:sdtContent>
            </w:sdt>
            <w:sdt>
              <w:sdtPr>
                <w:rPr>
                  <w:rFonts w:ascii="Times New Roman" w:hAnsi="Times New Roman" w:cs="Times New Roman"/>
                </w:rPr>
                <w:tag w:val="_PLD_20395d1e877346dbbdb29c15ffdda67a"/>
                <w:id w:val="865725535"/>
                <w:lock w:val="sdtLocked"/>
              </w:sdtPr>
              <w:sdtEndPr>
                <w:rPr>
                  <w:rFonts w:ascii="Times New Roman" w:hAnsi="Times New Roman" w:cs="Times New Roman"/>
                </w:rPr>
              </w:sdtEndPr>
              <w:sdtContent>
                <w:tc>
                  <w:tcPr>
                    <w:tcW w:w="126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期末金额</w:t>
                    </w:r>
                  </w:p>
                </w:tc>
              </w:sdtContent>
            </w:sdt>
            <w:sdt>
              <w:sdtPr>
                <w:rPr>
                  <w:rFonts w:ascii="Times New Roman" w:hAnsi="Times New Roman" w:cs="Times New Roman"/>
                </w:rPr>
                <w:tag w:val="_PLD_7c3e310eca854a9283aca385397086c3"/>
                <w:id w:val="865725536"/>
                <w:lock w:val="sdtLocked"/>
              </w:sdtPr>
              <w:sdtEndPr>
                <w:rPr>
                  <w:rFonts w:ascii="Times New Roman" w:hAnsi="Times New Roman" w:cs="Times New Roman"/>
                </w:rPr>
              </w:sdtEndPr>
              <w:sdtContent>
                <w:tc>
                  <w:tcPr>
                    <w:tcW w:w="128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期初金额</w:t>
                    </w:r>
                  </w:p>
                </w:tc>
              </w:sdtContent>
            </w:sdt>
            <w:sdt>
              <w:sdtPr>
                <w:rPr>
                  <w:rFonts w:ascii="Times New Roman" w:hAnsi="Times New Roman" w:cs="Times New Roman"/>
                </w:rPr>
                <w:tag w:val="_PLD_39d10c26cbf24b4481db02bd3f33378d"/>
                <w:id w:val="865725537"/>
                <w:lock w:val="sdtLocked"/>
              </w:sdtPr>
              <w:sdtEndPr>
                <w:rPr>
                  <w:rFonts w:ascii="Times New Roman" w:hAnsi="Times New Roman" w:cs="Times New Roman"/>
                </w:rPr>
              </w:sdtEndPr>
              <w:sdtContent>
                <w:tc>
                  <w:tcPr>
                    <w:tcW w:w="130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备注</w:t>
                    </w:r>
                  </w:p>
                </w:tc>
              </w:sdtContent>
            </w:sdt>
          </w:tr>
          <w:sdt>
            <w:sdtPr>
              <w:rPr>
                <w:rFonts w:ascii="Times New Roman" w:hAnsi="Times New Roman" w:cs="Times New Roman"/>
                <w:szCs w:val="21"/>
              </w:rPr>
              <w:alias w:val="未确认递延所得税资产的可抵扣亏损到期明细"/>
              <w:tag w:val="_TUP_4069c4f2b7c24917ae9bee619d1dc277"/>
              <w:id w:val="86572553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2020</w:t>
                    </w:r>
                    <w:r>
                      <w:rPr>
                        <w:rFonts w:ascii="Times New Roman" w:cs="Times New Roman"/>
                      </w:rPr>
                      <w:t>年</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2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4,130,611.05</w:t>
                    </w:r>
                  </w:p>
                </w:tc>
                <w:tc>
                  <w:tcPr>
                    <w:tcW w:w="13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未确认递延所得税资产的可抵扣亏损到期明细"/>
              <w:tag w:val="_TUP_4069c4f2b7c24917ae9bee619d1dc277"/>
              <w:id w:val="86572553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2021</w:t>
                    </w:r>
                    <w:r>
                      <w:rPr>
                        <w:rFonts w:ascii="Times New Roman" w:cs="Times New Roman"/>
                      </w:rPr>
                      <w:t>年</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20,346,253.21</w:t>
                    </w:r>
                  </w:p>
                </w:tc>
                <w:tc>
                  <w:tcPr>
                    <w:tcW w:w="12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20,346,253.21</w:t>
                    </w:r>
                  </w:p>
                </w:tc>
                <w:tc>
                  <w:tcPr>
                    <w:tcW w:w="13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未确认递延所得税资产的可抵扣亏损到期明细"/>
              <w:tag w:val="_TUP_4069c4f2b7c24917ae9bee619d1dc277"/>
              <w:id w:val="86572554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2022</w:t>
                    </w:r>
                    <w:r>
                      <w:rPr>
                        <w:rFonts w:ascii="Times New Roman" w:cs="Times New Roman"/>
                      </w:rPr>
                      <w:t>年</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2,430,953.18</w:t>
                    </w:r>
                  </w:p>
                </w:tc>
                <w:tc>
                  <w:tcPr>
                    <w:tcW w:w="12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2,430,953.18</w:t>
                    </w:r>
                  </w:p>
                </w:tc>
                <w:tc>
                  <w:tcPr>
                    <w:tcW w:w="13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未确认递延所得税资产的可抵扣亏损到期明细"/>
              <w:tag w:val="_TUP_4069c4f2b7c24917ae9bee619d1dc277"/>
              <w:id w:val="86572554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2023</w:t>
                    </w:r>
                    <w:r>
                      <w:rPr>
                        <w:rFonts w:ascii="Times New Roman" w:cs="Times New Roman"/>
                      </w:rPr>
                      <w:t>年</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370,958,979.82</w:t>
                    </w:r>
                  </w:p>
                </w:tc>
                <w:tc>
                  <w:tcPr>
                    <w:tcW w:w="12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370,958,979.82</w:t>
                    </w:r>
                  </w:p>
                </w:tc>
                <w:tc>
                  <w:tcPr>
                    <w:tcW w:w="13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未确认递延所得税资产的可抵扣亏损到期明细"/>
              <w:tag w:val="_TUP_4069c4f2b7c24917ae9bee619d1dc277"/>
              <w:id w:val="86572554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2024</w:t>
                    </w:r>
                    <w:r>
                      <w:rPr>
                        <w:rFonts w:ascii="Times New Roman" w:cs="Times New Roman"/>
                      </w:rPr>
                      <w:t>年</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31,607,598.52</w:t>
                    </w:r>
                  </w:p>
                </w:tc>
                <w:tc>
                  <w:tcPr>
                    <w:tcW w:w="12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31,607,598.52</w:t>
                    </w:r>
                  </w:p>
                </w:tc>
                <w:tc>
                  <w:tcPr>
                    <w:tcW w:w="13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未确认递延所得税资产的可抵扣亏损到期明细"/>
              <w:tag w:val="_TUP_4069c4f2b7c24917ae9bee619d1dc277"/>
              <w:id w:val="86572554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2025</w:t>
                    </w:r>
                    <w:r>
                      <w:rPr>
                        <w:rFonts w:ascii="Times New Roman" w:cs="Times New Roman"/>
                      </w:rPr>
                      <w:t>年</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2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未确认递延所得税资产的可抵扣亏损到期明细"/>
              <w:tag w:val="_TUP_4069c4f2b7c24917ae9bee619d1dc277"/>
              <w:id w:val="86572554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2026</w:t>
                    </w:r>
                    <w:r>
                      <w:rPr>
                        <w:rFonts w:ascii="Times New Roman" w:cs="Times New Roman"/>
                      </w:rPr>
                      <w:t>年</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15,550,124.95</w:t>
                    </w:r>
                  </w:p>
                </w:tc>
                <w:tc>
                  <w:tcPr>
                    <w:tcW w:w="12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37ec918eb0c94f5e8b9115c21e913433"/>
                <w:id w:val="865725545"/>
                <w:lock w:val="sdtLocked"/>
              </w:sdtPr>
              <w:sdtEndPr>
                <w:rPr>
                  <w:rFonts w:ascii="Times New Roman" w:hAnsi="Times New Roman" w:cs="Times New Roman"/>
                </w:rPr>
              </w:sdtEndPr>
              <w:sdtContent>
                <w:tc>
                  <w:tcPr>
                    <w:tcW w:w="1152" w:type="pct"/>
                    <w:tcBorders>
                      <w:top w:val="single" w:color="auto" w:sz="4" w:space="0"/>
                      <w:left w:val="single" w:color="auto" w:sz="4" w:space="0"/>
                      <w:bottom w:val="single" w:color="auto" w:sz="4" w:space="0"/>
                      <w:right w:val="single" w:color="auto" w:sz="4" w:space="0"/>
                    </w:tcBorders>
                    <w:vAlign w:val="bottom"/>
                  </w:tcPr>
                  <w:p>
                    <w:pPr>
                      <w:jc w:val="center"/>
                      <w:rPr>
                        <w:rFonts w:ascii="Times New Roman" w:hAnsi="Times New Roman" w:cs="Times New Roman"/>
                        <w:szCs w:val="21"/>
                      </w:rPr>
                    </w:pPr>
                    <w:r>
                      <w:rPr>
                        <w:rFonts w:ascii="Times New Roman" w:cs="Times New Roman"/>
                        <w:szCs w:val="21"/>
                      </w:rPr>
                      <w:t>合计</w:t>
                    </w:r>
                  </w:p>
                </w:tc>
              </w:sdtContent>
            </w:sdt>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440,893,909.68</w:t>
                </w:r>
              </w:p>
            </w:tc>
            <w:tc>
              <w:tcPr>
                <w:tcW w:w="12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429,474,395.78</w:t>
                </w:r>
              </w:p>
            </w:tc>
            <w:tc>
              <w:tcPr>
                <w:tcW w:w="130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w:t>
                </w:r>
              </w:p>
            </w:tc>
          </w:tr>
        </w:tbl>
        <w:p/>
        <w:p>
          <w:pPr>
            <w:rPr>
              <w:color w:val="FF00FF"/>
              <w:szCs w:val="21"/>
            </w:rPr>
          </w:pPr>
        </w:p>
      </w:sdtContent>
    </w:sdt>
    <w:bookmarkEnd w:id="189"/>
    <w:sdt>
      <w:sdtPr>
        <w:rPr>
          <w:rFonts w:hint="eastAsia"/>
          <w:szCs w:val="21"/>
        </w:rPr>
        <w:alias w:val="模块:递延所得税资产和递延所得税负债的说明"/>
        <w:tag w:val="_SEC_94657e8367544e5fa63e4b88008d6713"/>
        <w:id w:val="865725548"/>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86572554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ascii="宋体" w:hAnsi="宋体" w:cs="宋体"/>
          <w:b w:val="0"/>
          <w:bCs w:val="0"/>
          <w:kern w:val="0"/>
          <w:szCs w:val="21"/>
        </w:rPr>
        <w:alias w:val="模块:其他非流动资产"/>
        <w:tag w:val="_SEC_61a5a51558394b4f935a5e79bf462096"/>
        <w:id w:val="865725569"/>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79"/>
            </w:numPr>
            <w:tabs>
              <w:tab w:val="left" w:pos="504"/>
            </w:tabs>
            <w:rPr>
              <w:szCs w:val="21"/>
            </w:rPr>
          </w:pPr>
          <w:bookmarkStart w:id="190" w:name="_Hlk533670093"/>
          <w:r>
            <w:rPr>
              <w:rFonts w:hint="eastAsia"/>
              <w:szCs w:val="21"/>
            </w:rPr>
            <w:t>其他非流动资产</w:t>
          </w:r>
        </w:p>
        <w:sdt>
          <w:sdtPr>
            <w:alias w:val="是否适用：其他非流动资产[双击切换]"/>
            <w:tag w:val="_GBC_a847828a70d64218a7f8a07dc593d18b"/>
            <w:id w:val="86572554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alias w:val="单位：财务附注：其他非流动资产"/>
              <w:tag w:val="_GBC_7c7ae7cee25948deb399f93e000e5ba2"/>
              <w:id w:val="865725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非流动资产"/>
              <w:tag w:val="_GBC_b449fdd4941b4ff8a1bda3449b257e1d"/>
              <w:id w:val="8657255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96"/>
            <w:gridCol w:w="1356"/>
            <w:gridCol w:w="1356"/>
            <w:gridCol w:w="1329"/>
            <w:gridCol w:w="1329"/>
            <w:gridCol w:w="964"/>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2b90e6e62acc45b288941c3eec3d8d88"/>
                <w:id w:val="865725552"/>
                <w:lock w:val="sdtLocked"/>
              </w:sdtPr>
              <w:sdtEndPr>
                <w:rPr>
                  <w:rFonts w:ascii="Times New Roman" w:hAnsi="Times New Roman" w:cs="Times New Roman"/>
                </w:rPr>
              </w:sdtEndPr>
              <w:sdtContent>
                <w:tc>
                  <w:tcPr>
                    <w:tcW w:w="842" w:type="pct"/>
                    <w:vMerge w:val="restart"/>
                    <w:shd w:val="clear" w:color="auto" w:fill="auto"/>
                    <w:vAlign w:val="center"/>
                  </w:tcPr>
                  <w:p>
                    <w:pPr>
                      <w:jc w:val="center"/>
                      <w:rPr>
                        <w:rFonts w:ascii="Times New Roman" w:hAnsi="Times New Roman" w:cs="Times New Roman"/>
                      </w:rPr>
                    </w:pPr>
                    <w:r>
                      <w:rPr>
                        <w:rFonts w:ascii="Times New Roman" w:cs="Times New Roman"/>
                      </w:rPr>
                      <w:t>项目</w:t>
                    </w:r>
                  </w:p>
                </w:tc>
              </w:sdtContent>
            </w:sdt>
            <w:sdt>
              <w:sdtPr>
                <w:rPr>
                  <w:rFonts w:ascii="Times New Roman" w:hAnsi="Times New Roman" w:cs="Times New Roman"/>
                </w:rPr>
                <w:tag w:val="_PLD_bb07270ad4df4c0f94d4e0af019ab46c"/>
                <w:id w:val="865725553"/>
                <w:lock w:val="sdtLocked"/>
              </w:sdtPr>
              <w:sdtEndPr>
                <w:rPr>
                  <w:rFonts w:ascii="Times New Roman" w:hAnsi="Times New Roman" w:cs="Times New Roman"/>
                </w:rPr>
              </w:sdtEndPr>
              <w:sdtContent>
                <w:tc>
                  <w:tcPr>
                    <w:tcW w:w="2244" w:type="pct"/>
                    <w:gridSpan w:val="3"/>
                  </w:tcPr>
                  <w:p>
                    <w:pPr>
                      <w:jc w:val="center"/>
                      <w:rPr>
                        <w:rFonts w:ascii="Times New Roman" w:hAnsi="Times New Roman" w:cs="Times New Roman"/>
                      </w:rPr>
                    </w:pPr>
                    <w:r>
                      <w:rPr>
                        <w:rFonts w:ascii="Times New Roman" w:cs="Times New Roman"/>
                      </w:rPr>
                      <w:t>期末余额</w:t>
                    </w:r>
                  </w:p>
                </w:tc>
              </w:sdtContent>
            </w:sdt>
            <w:sdt>
              <w:sdtPr>
                <w:rPr>
                  <w:rFonts w:ascii="Times New Roman" w:hAnsi="Times New Roman" w:cs="Times New Roman"/>
                </w:rPr>
                <w:tag w:val="_PLD_7a3b43a9fc7d404ca5a79aa8f44f7452"/>
                <w:id w:val="865725554"/>
                <w:lock w:val="sdtLocked"/>
              </w:sdtPr>
              <w:sdtEndPr>
                <w:rPr>
                  <w:rFonts w:ascii="Times New Roman" w:hAnsi="Times New Roman" w:cs="Times New Roman"/>
                </w:rPr>
              </w:sdtEndPr>
              <w:sdtContent>
                <w:tc>
                  <w:tcPr>
                    <w:tcW w:w="1915" w:type="pct"/>
                    <w:gridSpan w:val="3"/>
                  </w:tcPr>
                  <w:p>
                    <w:pPr>
                      <w:jc w:val="center"/>
                      <w:rPr>
                        <w:rFonts w:ascii="Times New Roman" w:hAnsi="Times New Roman" w:cs="Times New Roman"/>
                      </w:rPr>
                    </w:pPr>
                    <w:r>
                      <w:rPr>
                        <w:rFonts w:ascii="Times New Roman" w:cs="Times New Roman"/>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42" w:type="pct"/>
                <w:vMerge w:val="continue"/>
                <w:shd w:val="clear" w:color="auto" w:fill="auto"/>
                <w:vAlign w:val="center"/>
              </w:tcPr>
              <w:p>
                <w:pPr>
                  <w:jc w:val="center"/>
                  <w:rPr>
                    <w:rFonts w:ascii="Times New Roman" w:hAnsi="Times New Roman" w:cs="Times New Roman"/>
                  </w:rPr>
                </w:pPr>
              </w:p>
            </w:tc>
            <w:tc>
              <w:tcPr>
                <w:tcW w:w="820" w:type="pct"/>
              </w:tcPr>
              <w:sdt>
                <w:sdtPr>
                  <w:rPr>
                    <w:rFonts w:ascii="Times New Roman" w:hAnsi="Times New Roman" w:cs="Times New Roman"/>
                    <w:szCs w:val="21"/>
                  </w:rPr>
                  <w:tag w:val="_PLD_eaca5bccdac9417999d4d9af7ad1eefe"/>
                  <w:id w:val="865725555"/>
                  <w:lock w:val="sdtLocked"/>
                </w:sdtPr>
                <w:sdtEndPr>
                  <w:rPr>
                    <w:rFonts w:ascii="Times New Roman" w:hAnsi="Times New Roman" w:cs="Times New Roman"/>
                    <w:szCs w:val="21"/>
                  </w:rPr>
                </w:sdtEndPr>
                <w:sdtContent>
                  <w:p>
                    <w:pPr>
                      <w:jc w:val="center"/>
                      <w:rPr>
                        <w:rFonts w:ascii="Times New Roman" w:hAnsi="Times New Roman" w:cs="Times New Roman"/>
                      </w:rPr>
                    </w:pPr>
                    <w:r>
                      <w:rPr>
                        <w:rFonts w:ascii="Times New Roman" w:cs="Times New Roman"/>
                        <w:szCs w:val="21"/>
                      </w:rPr>
                      <w:t>账面余额</w:t>
                    </w:r>
                  </w:p>
                </w:sdtContent>
              </w:sdt>
            </w:tc>
            <w:tc>
              <w:tcPr>
                <w:tcW w:w="820" w:type="pct"/>
              </w:tcPr>
              <w:sdt>
                <w:sdtPr>
                  <w:rPr>
                    <w:rFonts w:ascii="Times New Roman" w:hAnsi="Times New Roman" w:cs="Times New Roman"/>
                  </w:rPr>
                  <w:tag w:val="_PLD_b913601a6f0c496ba876b57f7e93b40e"/>
                  <w:id w:val="865725556"/>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减值准备</w:t>
                    </w:r>
                  </w:p>
                </w:sdtContent>
              </w:sdt>
            </w:tc>
            <w:tc>
              <w:tcPr>
                <w:tcW w:w="603" w:type="pct"/>
                <w:shd w:val="clear" w:color="auto" w:fill="auto"/>
                <w:vAlign w:val="center"/>
              </w:tcPr>
              <w:sdt>
                <w:sdtPr>
                  <w:rPr>
                    <w:rFonts w:ascii="Times New Roman" w:hAnsi="Times New Roman" w:cs="Times New Roman"/>
                  </w:rPr>
                  <w:tag w:val="_PLD_22318356783c413ba8286ddb8d1cda63"/>
                  <w:id w:val="865725557"/>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账面价值</w:t>
                    </w:r>
                  </w:p>
                </w:sdtContent>
              </w:sdt>
            </w:tc>
            <w:tc>
              <w:tcPr>
                <w:tcW w:w="684" w:type="pct"/>
              </w:tcPr>
              <w:sdt>
                <w:sdtPr>
                  <w:rPr>
                    <w:rFonts w:ascii="Times New Roman" w:hAnsi="Times New Roman" w:cs="Times New Roman"/>
                  </w:rPr>
                  <w:tag w:val="_PLD_0c6f94cdfaf1457fa98b2252d3b39131"/>
                  <w:id w:val="865725558"/>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账面余额</w:t>
                    </w:r>
                  </w:p>
                </w:sdtContent>
              </w:sdt>
            </w:tc>
            <w:tc>
              <w:tcPr>
                <w:tcW w:w="604" w:type="pct"/>
              </w:tcPr>
              <w:sdt>
                <w:sdtPr>
                  <w:rPr>
                    <w:rFonts w:ascii="Times New Roman" w:hAnsi="Times New Roman" w:cs="Times New Roman"/>
                  </w:rPr>
                  <w:tag w:val="_PLD_9d7969af67514b9e93b62156119189b9"/>
                  <w:id w:val="865725559"/>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减值准备</w:t>
                    </w:r>
                  </w:p>
                </w:sdtContent>
              </w:sdt>
            </w:tc>
            <w:tc>
              <w:tcPr>
                <w:tcW w:w="627" w:type="pct"/>
                <w:shd w:val="clear" w:color="auto" w:fill="auto"/>
                <w:vAlign w:val="center"/>
              </w:tcPr>
              <w:sdt>
                <w:sdtPr>
                  <w:rPr>
                    <w:rFonts w:ascii="Times New Roman" w:hAnsi="Times New Roman" w:cs="Times New Roman"/>
                  </w:rPr>
                  <w:tag w:val="_PLD_9c8736640ddf4dc897f3c30fb690ab09"/>
                  <w:id w:val="865725560"/>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账面价值</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59863f046c3c4322ba8a3aa53414c77a"/>
                <w:id w:val="865725561"/>
                <w:lock w:val="sdtLocked"/>
              </w:sdtPr>
              <w:sdtEndPr>
                <w:rPr>
                  <w:rFonts w:ascii="Times New Roman" w:hAnsi="Times New Roman" w:cs="Times New Roman"/>
                </w:rPr>
              </w:sdtEndPr>
              <w:sdtContent>
                <w:tc>
                  <w:tcPr>
                    <w:tcW w:w="842" w:type="pct"/>
                    <w:shd w:val="clear" w:color="auto" w:fill="auto"/>
                    <w:vAlign w:val="center"/>
                  </w:tcPr>
                  <w:p>
                    <w:pPr>
                      <w:rPr>
                        <w:rFonts w:ascii="Times New Roman" w:hAnsi="Times New Roman" w:cs="Times New Roman"/>
                      </w:rPr>
                    </w:pPr>
                    <w:r>
                      <w:rPr>
                        <w:rFonts w:ascii="Times New Roman" w:cs="Times New Roman"/>
                      </w:rPr>
                      <w:t>合同取得成本</w:t>
                    </w:r>
                  </w:p>
                </w:tc>
              </w:sdtContent>
            </w:sdt>
            <w:tc>
              <w:tcPr>
                <w:tcW w:w="820" w:type="pct"/>
              </w:tcPr>
              <w:p>
                <w:pPr>
                  <w:jc w:val="right"/>
                  <w:rPr>
                    <w:rFonts w:ascii="Times New Roman" w:hAnsi="Times New Roman" w:cs="Times New Roman"/>
                  </w:rPr>
                </w:pPr>
              </w:p>
            </w:tc>
            <w:tc>
              <w:tcPr>
                <w:tcW w:w="820" w:type="pct"/>
              </w:tcPr>
              <w:p>
                <w:pPr>
                  <w:jc w:val="right"/>
                  <w:rPr>
                    <w:rFonts w:ascii="Times New Roman" w:hAnsi="Times New Roman" w:cs="Times New Roman"/>
                  </w:rPr>
                </w:pPr>
              </w:p>
            </w:tc>
            <w:tc>
              <w:tcPr>
                <w:tcW w:w="603" w:type="pct"/>
                <w:shd w:val="clear" w:color="auto" w:fill="auto"/>
                <w:vAlign w:val="center"/>
              </w:tcPr>
              <w:p>
                <w:pPr>
                  <w:jc w:val="right"/>
                  <w:rPr>
                    <w:rFonts w:ascii="Times New Roman" w:hAnsi="Times New Roman" w:cs="Times New Roman"/>
                  </w:rPr>
                </w:pPr>
              </w:p>
            </w:tc>
            <w:tc>
              <w:tcPr>
                <w:tcW w:w="684" w:type="pct"/>
              </w:tcPr>
              <w:p>
                <w:pPr>
                  <w:jc w:val="right"/>
                  <w:rPr>
                    <w:rFonts w:ascii="Times New Roman" w:hAnsi="Times New Roman" w:cs="Times New Roman"/>
                  </w:rPr>
                </w:pPr>
              </w:p>
            </w:tc>
            <w:tc>
              <w:tcPr>
                <w:tcW w:w="604" w:type="pct"/>
              </w:tcPr>
              <w:p>
                <w:pPr>
                  <w:jc w:val="right"/>
                  <w:rPr>
                    <w:rFonts w:ascii="Times New Roman" w:hAnsi="Times New Roman" w:cs="Times New Roman"/>
                  </w:rPr>
                </w:pPr>
              </w:p>
            </w:tc>
            <w:tc>
              <w:tcPr>
                <w:tcW w:w="627" w:type="pct"/>
                <w:shd w:val="clear" w:color="auto" w:fill="auto"/>
                <w:vAlign w:val="center"/>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40e7180de6f048b8bfdb82778cce3d79"/>
                <w:id w:val="865725562"/>
                <w:lock w:val="sdtLocked"/>
              </w:sdtPr>
              <w:sdtEndPr>
                <w:rPr>
                  <w:rFonts w:ascii="Times New Roman" w:hAnsi="Times New Roman" w:cs="Times New Roman"/>
                </w:rPr>
              </w:sdtEndPr>
              <w:sdtContent>
                <w:tc>
                  <w:tcPr>
                    <w:tcW w:w="842" w:type="pct"/>
                    <w:shd w:val="clear" w:color="auto" w:fill="auto"/>
                    <w:vAlign w:val="center"/>
                  </w:tcPr>
                  <w:p>
                    <w:pPr>
                      <w:rPr>
                        <w:rFonts w:ascii="Times New Roman" w:hAnsi="Times New Roman" w:cs="Times New Roman"/>
                      </w:rPr>
                    </w:pPr>
                    <w:r>
                      <w:rPr>
                        <w:rFonts w:ascii="Times New Roman" w:cs="Times New Roman"/>
                      </w:rPr>
                      <w:t>合同履约成本</w:t>
                    </w:r>
                  </w:p>
                </w:tc>
              </w:sdtContent>
            </w:sdt>
            <w:tc>
              <w:tcPr>
                <w:tcW w:w="820" w:type="pct"/>
              </w:tcPr>
              <w:p>
                <w:pPr>
                  <w:jc w:val="right"/>
                  <w:rPr>
                    <w:rFonts w:ascii="Times New Roman" w:hAnsi="Times New Roman" w:cs="Times New Roman"/>
                  </w:rPr>
                </w:pPr>
              </w:p>
            </w:tc>
            <w:tc>
              <w:tcPr>
                <w:tcW w:w="820" w:type="pct"/>
              </w:tcPr>
              <w:p>
                <w:pPr>
                  <w:jc w:val="right"/>
                  <w:rPr>
                    <w:rFonts w:ascii="Times New Roman" w:hAnsi="Times New Roman" w:cs="Times New Roman"/>
                  </w:rPr>
                </w:pPr>
              </w:p>
            </w:tc>
            <w:tc>
              <w:tcPr>
                <w:tcW w:w="603" w:type="pct"/>
                <w:shd w:val="clear" w:color="auto" w:fill="auto"/>
                <w:vAlign w:val="center"/>
              </w:tcPr>
              <w:p>
                <w:pPr>
                  <w:jc w:val="right"/>
                  <w:rPr>
                    <w:rFonts w:ascii="Times New Roman" w:hAnsi="Times New Roman" w:cs="Times New Roman"/>
                  </w:rPr>
                </w:pPr>
              </w:p>
            </w:tc>
            <w:tc>
              <w:tcPr>
                <w:tcW w:w="684" w:type="pct"/>
              </w:tcPr>
              <w:p>
                <w:pPr>
                  <w:jc w:val="right"/>
                  <w:rPr>
                    <w:rFonts w:ascii="Times New Roman" w:hAnsi="Times New Roman" w:cs="Times New Roman"/>
                  </w:rPr>
                </w:pPr>
              </w:p>
            </w:tc>
            <w:tc>
              <w:tcPr>
                <w:tcW w:w="604" w:type="pct"/>
              </w:tcPr>
              <w:p>
                <w:pPr>
                  <w:jc w:val="right"/>
                  <w:rPr>
                    <w:rFonts w:ascii="Times New Roman" w:hAnsi="Times New Roman" w:cs="Times New Roman"/>
                  </w:rPr>
                </w:pPr>
              </w:p>
            </w:tc>
            <w:tc>
              <w:tcPr>
                <w:tcW w:w="627" w:type="pct"/>
                <w:shd w:val="clear" w:color="auto" w:fill="auto"/>
                <w:vAlign w:val="center"/>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8b6151f3846a4a498b927c26ef46debd"/>
                <w:id w:val="865725563"/>
                <w:lock w:val="sdtLocked"/>
              </w:sdtPr>
              <w:sdtEndPr>
                <w:rPr>
                  <w:rFonts w:ascii="Times New Roman" w:hAnsi="Times New Roman" w:cs="Times New Roman"/>
                </w:rPr>
              </w:sdtEndPr>
              <w:sdtContent>
                <w:tc>
                  <w:tcPr>
                    <w:tcW w:w="842" w:type="pct"/>
                    <w:shd w:val="clear" w:color="auto" w:fill="auto"/>
                    <w:vAlign w:val="center"/>
                  </w:tcPr>
                  <w:p>
                    <w:pPr>
                      <w:rPr>
                        <w:rFonts w:ascii="Times New Roman" w:hAnsi="Times New Roman" w:cs="Times New Roman"/>
                      </w:rPr>
                    </w:pPr>
                    <w:r>
                      <w:rPr>
                        <w:rFonts w:ascii="Times New Roman" w:cs="Times New Roman"/>
                      </w:rPr>
                      <w:t>应收退货成本</w:t>
                    </w:r>
                  </w:p>
                </w:tc>
              </w:sdtContent>
            </w:sdt>
            <w:tc>
              <w:tcPr>
                <w:tcW w:w="820" w:type="pct"/>
              </w:tcPr>
              <w:p>
                <w:pPr>
                  <w:jc w:val="right"/>
                  <w:rPr>
                    <w:rFonts w:ascii="Times New Roman" w:hAnsi="Times New Roman" w:cs="Times New Roman"/>
                  </w:rPr>
                </w:pPr>
              </w:p>
            </w:tc>
            <w:tc>
              <w:tcPr>
                <w:tcW w:w="820" w:type="pct"/>
              </w:tcPr>
              <w:p>
                <w:pPr>
                  <w:jc w:val="right"/>
                  <w:rPr>
                    <w:rFonts w:ascii="Times New Roman" w:hAnsi="Times New Roman" w:cs="Times New Roman"/>
                  </w:rPr>
                </w:pPr>
              </w:p>
            </w:tc>
            <w:tc>
              <w:tcPr>
                <w:tcW w:w="603" w:type="pct"/>
                <w:shd w:val="clear" w:color="auto" w:fill="auto"/>
                <w:vAlign w:val="center"/>
              </w:tcPr>
              <w:p>
                <w:pPr>
                  <w:jc w:val="right"/>
                  <w:rPr>
                    <w:rFonts w:ascii="Times New Roman" w:hAnsi="Times New Roman" w:cs="Times New Roman"/>
                  </w:rPr>
                </w:pPr>
              </w:p>
            </w:tc>
            <w:tc>
              <w:tcPr>
                <w:tcW w:w="684" w:type="pct"/>
              </w:tcPr>
              <w:p>
                <w:pPr>
                  <w:jc w:val="right"/>
                  <w:rPr>
                    <w:rFonts w:ascii="Times New Roman" w:hAnsi="Times New Roman" w:cs="Times New Roman"/>
                  </w:rPr>
                </w:pPr>
              </w:p>
            </w:tc>
            <w:tc>
              <w:tcPr>
                <w:tcW w:w="604" w:type="pct"/>
              </w:tcPr>
              <w:p>
                <w:pPr>
                  <w:jc w:val="right"/>
                  <w:rPr>
                    <w:rFonts w:ascii="Times New Roman" w:hAnsi="Times New Roman" w:cs="Times New Roman"/>
                  </w:rPr>
                </w:pPr>
              </w:p>
            </w:tc>
            <w:tc>
              <w:tcPr>
                <w:tcW w:w="627" w:type="pct"/>
                <w:shd w:val="clear" w:color="auto" w:fill="auto"/>
                <w:vAlign w:val="center"/>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6bf4318a710a4573a9d949624e64b571"/>
                <w:id w:val="865725564"/>
                <w:lock w:val="sdtLocked"/>
              </w:sdtPr>
              <w:sdtEndPr>
                <w:rPr>
                  <w:rFonts w:ascii="Times New Roman" w:hAnsi="Times New Roman" w:cs="Times New Roman"/>
                </w:rPr>
              </w:sdtEndPr>
              <w:sdtContent>
                <w:tc>
                  <w:tcPr>
                    <w:tcW w:w="842" w:type="pct"/>
                    <w:shd w:val="clear" w:color="auto" w:fill="auto"/>
                    <w:vAlign w:val="center"/>
                  </w:tcPr>
                  <w:p>
                    <w:pPr>
                      <w:rPr>
                        <w:rFonts w:ascii="Times New Roman" w:hAnsi="Times New Roman" w:cs="Times New Roman"/>
                      </w:rPr>
                    </w:pPr>
                    <w:r>
                      <w:rPr>
                        <w:rFonts w:ascii="Times New Roman" w:cs="Times New Roman"/>
                      </w:rPr>
                      <w:t>合同资产</w:t>
                    </w:r>
                  </w:p>
                </w:tc>
              </w:sdtContent>
            </w:sdt>
            <w:tc>
              <w:tcPr>
                <w:tcW w:w="820" w:type="pct"/>
              </w:tcPr>
              <w:p>
                <w:pPr>
                  <w:jc w:val="right"/>
                  <w:rPr>
                    <w:rFonts w:ascii="Times New Roman" w:hAnsi="Times New Roman" w:cs="Times New Roman"/>
                  </w:rPr>
                </w:pPr>
              </w:p>
            </w:tc>
            <w:tc>
              <w:tcPr>
                <w:tcW w:w="820" w:type="pct"/>
              </w:tcPr>
              <w:p>
                <w:pPr>
                  <w:jc w:val="right"/>
                  <w:rPr>
                    <w:rFonts w:ascii="Times New Roman" w:hAnsi="Times New Roman" w:cs="Times New Roman"/>
                  </w:rPr>
                </w:pPr>
              </w:p>
            </w:tc>
            <w:tc>
              <w:tcPr>
                <w:tcW w:w="603" w:type="pct"/>
                <w:shd w:val="clear" w:color="auto" w:fill="auto"/>
                <w:vAlign w:val="center"/>
              </w:tcPr>
              <w:p>
                <w:pPr>
                  <w:jc w:val="right"/>
                  <w:rPr>
                    <w:rFonts w:ascii="Times New Roman" w:hAnsi="Times New Roman" w:cs="Times New Roman"/>
                  </w:rPr>
                </w:pPr>
              </w:p>
            </w:tc>
            <w:tc>
              <w:tcPr>
                <w:tcW w:w="684" w:type="pct"/>
              </w:tcPr>
              <w:p>
                <w:pPr>
                  <w:jc w:val="right"/>
                  <w:rPr>
                    <w:rFonts w:ascii="Times New Roman" w:hAnsi="Times New Roman" w:cs="Times New Roman"/>
                  </w:rPr>
                </w:pPr>
              </w:p>
            </w:tc>
            <w:tc>
              <w:tcPr>
                <w:tcW w:w="604" w:type="pct"/>
              </w:tcPr>
              <w:p>
                <w:pPr>
                  <w:jc w:val="right"/>
                  <w:rPr>
                    <w:rFonts w:ascii="Times New Roman" w:hAnsi="Times New Roman" w:cs="Times New Roman"/>
                  </w:rPr>
                </w:pPr>
              </w:p>
            </w:tc>
            <w:tc>
              <w:tcPr>
                <w:tcW w:w="627" w:type="pct"/>
                <w:shd w:val="clear" w:color="auto" w:fill="auto"/>
                <w:vAlign w:val="center"/>
              </w:tcPr>
              <w:p>
                <w:pPr>
                  <w:jc w:val="right"/>
                  <w:rPr>
                    <w:rFonts w:ascii="Times New Roman" w:hAnsi="Times New Roman" w:cs="Times New Roman"/>
                  </w:rPr>
                </w:pPr>
              </w:p>
            </w:tc>
          </w:tr>
          <w:sdt>
            <w:sdtPr>
              <w:rPr>
                <w:rFonts w:ascii="Times New Roman" w:hAnsi="Times New Roman" w:cs="Times New Roman"/>
              </w:rPr>
              <w:alias w:val="其他长期资产明细"/>
              <w:tag w:val="_TUP_c6dfc1e05023497e910b093bb9e7ab5f"/>
              <w:id w:val="865725565"/>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42" w:type="pct"/>
                    <w:shd w:val="clear" w:color="auto" w:fill="auto"/>
                  </w:tcPr>
                  <w:p>
                    <w:pPr>
                      <w:rPr>
                        <w:rFonts w:ascii="Times New Roman" w:hAnsi="Times New Roman" w:cs="Times New Roman"/>
                      </w:rPr>
                    </w:pPr>
                    <w:r>
                      <w:rPr>
                        <w:rFonts w:ascii="Times New Roman" w:cs="Times New Roman"/>
                      </w:rPr>
                      <w:t>预付工程及设备款等长期资产款</w:t>
                    </w:r>
                  </w:p>
                </w:tc>
                <w:tc>
                  <w:tcPr>
                    <w:tcW w:w="820" w:type="pct"/>
                    <w:vAlign w:val="center"/>
                  </w:tcPr>
                  <w:p>
                    <w:pPr>
                      <w:jc w:val="right"/>
                      <w:rPr>
                        <w:rFonts w:ascii="Times New Roman" w:hAnsi="Times New Roman" w:cs="Times New Roman"/>
                      </w:rPr>
                    </w:pPr>
                    <w:r>
                      <w:rPr>
                        <w:rFonts w:ascii="Times New Roman" w:hAnsi="Times New Roman" w:cs="Times New Roman"/>
                      </w:rPr>
                      <w:t>9,292,483.16</w:t>
                    </w:r>
                  </w:p>
                </w:tc>
                <w:tc>
                  <w:tcPr>
                    <w:tcW w:w="820" w:type="pct"/>
                    <w:vAlign w:val="center"/>
                  </w:tcPr>
                  <w:p>
                    <w:pPr>
                      <w:jc w:val="right"/>
                      <w:rPr>
                        <w:rFonts w:ascii="Times New Roman" w:hAnsi="Times New Roman" w:cs="Times New Roman"/>
                      </w:rPr>
                    </w:pPr>
                  </w:p>
                </w:tc>
                <w:tc>
                  <w:tcPr>
                    <w:tcW w:w="603" w:type="pct"/>
                    <w:shd w:val="clear" w:color="auto" w:fill="auto"/>
                    <w:vAlign w:val="center"/>
                  </w:tcPr>
                  <w:p>
                    <w:pPr>
                      <w:jc w:val="right"/>
                      <w:rPr>
                        <w:rFonts w:ascii="Times New Roman" w:hAnsi="Times New Roman" w:cs="Times New Roman"/>
                      </w:rPr>
                    </w:pPr>
                    <w:r>
                      <w:rPr>
                        <w:rFonts w:ascii="Times New Roman" w:hAnsi="Times New Roman" w:cs="Times New Roman"/>
                      </w:rPr>
                      <w:t>9,292,483.16</w:t>
                    </w:r>
                  </w:p>
                </w:tc>
                <w:tc>
                  <w:tcPr>
                    <w:tcW w:w="684" w:type="pct"/>
                    <w:vAlign w:val="center"/>
                  </w:tcPr>
                  <w:p>
                    <w:pPr>
                      <w:rPr>
                        <w:rFonts w:ascii="Times New Roman" w:hAnsi="Times New Roman" w:cs="Times New Roman"/>
                        <w:sz w:val="24"/>
                      </w:rPr>
                    </w:pPr>
                    <w:r>
                      <w:rPr>
                        <w:rFonts w:ascii="Times New Roman" w:hAnsi="Times New Roman" w:cs="Times New Roman"/>
                      </w:rPr>
                      <w:t>4,804,613.53</w:t>
                    </w:r>
                  </w:p>
                </w:tc>
                <w:tc>
                  <w:tcPr>
                    <w:tcW w:w="604" w:type="pct"/>
                  </w:tcPr>
                  <w:p>
                    <w:pPr>
                      <w:jc w:val="right"/>
                      <w:rPr>
                        <w:rFonts w:ascii="Times New Roman" w:hAnsi="Times New Roman" w:cs="Times New Roman"/>
                      </w:rPr>
                    </w:pPr>
                  </w:p>
                </w:tc>
                <w:tc>
                  <w:tcPr>
                    <w:tcW w:w="627" w:type="pct"/>
                    <w:shd w:val="clear" w:color="auto" w:fill="auto"/>
                    <w:vAlign w:val="center"/>
                  </w:tcPr>
                  <w:p>
                    <w:pPr>
                      <w:jc w:val="right"/>
                      <w:rPr>
                        <w:rFonts w:ascii="Times New Roman" w:hAnsi="Times New Roman" w:cs="Times New Roman"/>
                      </w:rPr>
                    </w:pPr>
                    <w:r>
                      <w:rPr>
                        <w:rFonts w:ascii="Times New Roman" w:hAnsi="Times New Roman" w:cs="Times New Roman"/>
                      </w:rPr>
                      <w:t>4,804,613.53</w:t>
                    </w:r>
                  </w:p>
                </w:tc>
              </w:tr>
            </w:sdtContent>
          </w:sdt>
          <w:sdt>
            <w:sdtPr>
              <w:rPr>
                <w:rFonts w:ascii="Times New Roman" w:hAnsi="Times New Roman" w:cs="Times New Roman"/>
              </w:rPr>
              <w:alias w:val="其他长期资产明细"/>
              <w:tag w:val="_TUP_c6dfc1e05023497e910b093bb9e7ab5f"/>
              <w:id w:val="865725566"/>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42" w:type="pct"/>
                    <w:shd w:val="clear" w:color="auto" w:fill="auto"/>
                  </w:tcPr>
                  <w:p>
                    <w:pPr>
                      <w:rPr>
                        <w:rFonts w:ascii="Times New Roman" w:hAnsi="Times New Roman" w:cs="Times New Roman"/>
                      </w:rPr>
                    </w:pPr>
                  </w:p>
                </w:tc>
                <w:tc>
                  <w:tcPr>
                    <w:tcW w:w="820" w:type="pct"/>
                  </w:tcPr>
                  <w:p>
                    <w:pPr>
                      <w:jc w:val="right"/>
                      <w:rPr>
                        <w:rFonts w:ascii="Times New Roman" w:hAnsi="Times New Roman" w:cs="Times New Roman"/>
                      </w:rPr>
                    </w:pPr>
                  </w:p>
                </w:tc>
                <w:tc>
                  <w:tcPr>
                    <w:tcW w:w="820" w:type="pct"/>
                  </w:tcPr>
                  <w:p>
                    <w:pPr>
                      <w:jc w:val="right"/>
                      <w:rPr>
                        <w:rFonts w:ascii="Times New Roman" w:hAnsi="Times New Roman" w:cs="Times New Roman"/>
                      </w:rPr>
                    </w:pPr>
                  </w:p>
                </w:tc>
                <w:tc>
                  <w:tcPr>
                    <w:tcW w:w="603" w:type="pct"/>
                    <w:shd w:val="clear" w:color="auto" w:fill="auto"/>
                  </w:tcPr>
                  <w:p>
                    <w:pPr>
                      <w:jc w:val="right"/>
                      <w:rPr>
                        <w:rFonts w:ascii="Times New Roman" w:hAnsi="Times New Roman" w:cs="Times New Roman"/>
                      </w:rPr>
                    </w:pPr>
                  </w:p>
                </w:tc>
                <w:tc>
                  <w:tcPr>
                    <w:tcW w:w="684" w:type="pct"/>
                    <w:vAlign w:val="center"/>
                  </w:tcPr>
                  <w:p>
                    <w:pPr>
                      <w:rPr>
                        <w:rFonts w:ascii="Times New Roman" w:hAnsi="Times New Roman" w:cs="Times New Roman"/>
                        <w:sz w:val="24"/>
                      </w:rPr>
                    </w:pPr>
                  </w:p>
                </w:tc>
                <w:tc>
                  <w:tcPr>
                    <w:tcW w:w="604" w:type="pct"/>
                  </w:tcPr>
                  <w:p>
                    <w:pPr>
                      <w:jc w:val="right"/>
                      <w:rPr>
                        <w:rFonts w:ascii="Times New Roman" w:hAnsi="Times New Roman" w:cs="Times New Roman"/>
                      </w:rPr>
                    </w:pPr>
                  </w:p>
                </w:tc>
                <w:tc>
                  <w:tcPr>
                    <w:tcW w:w="627" w:type="pct"/>
                    <w:shd w:val="clear" w:color="auto" w:fill="auto"/>
                  </w:tcPr>
                  <w:p>
                    <w:pPr>
                      <w:jc w:val="right"/>
                      <w:rPr>
                        <w:rFonts w:ascii="Times New Roman" w:hAnsi="Times New Roman" w:cs="Times New Roman"/>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2bc4ec1082504b7fb1ecb35002cc15d7"/>
                <w:id w:val="865725567"/>
                <w:lock w:val="sdtLocked"/>
              </w:sdtPr>
              <w:sdtEndPr>
                <w:rPr>
                  <w:rFonts w:ascii="Times New Roman" w:hAnsi="Times New Roman" w:cs="Times New Roman"/>
                </w:rPr>
              </w:sdtEndPr>
              <w:sdtContent>
                <w:tc>
                  <w:tcPr>
                    <w:tcW w:w="842" w:type="pct"/>
                    <w:shd w:val="clear" w:color="auto" w:fill="auto"/>
                    <w:vAlign w:val="center"/>
                  </w:tcPr>
                  <w:p>
                    <w:pPr>
                      <w:jc w:val="center"/>
                      <w:rPr>
                        <w:rFonts w:ascii="Times New Roman" w:hAnsi="Times New Roman" w:cs="Times New Roman"/>
                      </w:rPr>
                    </w:pPr>
                    <w:r>
                      <w:rPr>
                        <w:rFonts w:ascii="Times New Roman" w:cs="Times New Roman"/>
                      </w:rPr>
                      <w:t>合计</w:t>
                    </w:r>
                  </w:p>
                </w:tc>
              </w:sdtContent>
            </w:sdt>
            <w:tc>
              <w:tcPr>
                <w:tcW w:w="820" w:type="pct"/>
                <w:vAlign w:val="center"/>
              </w:tcPr>
              <w:p>
                <w:pPr>
                  <w:rPr>
                    <w:rFonts w:ascii="Times New Roman" w:hAnsi="Times New Roman" w:cs="Times New Roman"/>
                    <w:sz w:val="24"/>
                  </w:rPr>
                </w:pPr>
                <w:r>
                  <w:rPr>
                    <w:rFonts w:ascii="Times New Roman" w:hAnsi="Times New Roman" w:cs="Times New Roman"/>
                  </w:rPr>
                  <w:t>9,292,483.16</w:t>
                </w:r>
              </w:p>
            </w:tc>
            <w:tc>
              <w:tcPr>
                <w:tcW w:w="820" w:type="pct"/>
                <w:vAlign w:val="center"/>
              </w:tcPr>
              <w:p>
                <w:pPr>
                  <w:rPr>
                    <w:rFonts w:ascii="Times New Roman" w:hAnsi="Times New Roman" w:cs="Times New Roman"/>
                    <w:sz w:val="24"/>
                  </w:rPr>
                </w:pPr>
              </w:p>
            </w:tc>
            <w:tc>
              <w:tcPr>
                <w:tcW w:w="603" w:type="pct"/>
                <w:shd w:val="clear" w:color="auto" w:fill="auto"/>
              </w:tcPr>
              <w:p>
                <w:pPr>
                  <w:jc w:val="right"/>
                  <w:rPr>
                    <w:rFonts w:ascii="Times New Roman" w:hAnsi="Times New Roman" w:cs="Times New Roman"/>
                  </w:rPr>
                </w:pPr>
                <w:r>
                  <w:rPr>
                    <w:rFonts w:ascii="Times New Roman" w:hAnsi="Times New Roman" w:cs="Times New Roman"/>
                  </w:rPr>
                  <w:t>9,292,483.16</w:t>
                </w:r>
              </w:p>
            </w:tc>
            <w:tc>
              <w:tcPr>
                <w:tcW w:w="684" w:type="pct"/>
                <w:vAlign w:val="center"/>
              </w:tcPr>
              <w:p>
                <w:pPr>
                  <w:rPr>
                    <w:rFonts w:ascii="Times New Roman" w:hAnsi="Times New Roman" w:cs="Times New Roman"/>
                    <w:sz w:val="24"/>
                  </w:rPr>
                </w:pPr>
                <w:r>
                  <w:rPr>
                    <w:rFonts w:ascii="Times New Roman" w:hAnsi="Times New Roman" w:cs="Times New Roman"/>
                  </w:rPr>
                  <w:t>4,804,613.53</w:t>
                </w:r>
              </w:p>
            </w:tc>
            <w:tc>
              <w:tcPr>
                <w:tcW w:w="604" w:type="pct"/>
              </w:tcPr>
              <w:p>
                <w:pPr>
                  <w:jc w:val="right"/>
                  <w:rPr>
                    <w:rFonts w:ascii="Times New Roman" w:hAnsi="Times New Roman" w:cs="Times New Roman"/>
                  </w:rPr>
                </w:pPr>
              </w:p>
            </w:tc>
            <w:tc>
              <w:tcPr>
                <w:tcW w:w="627" w:type="pct"/>
                <w:shd w:val="clear" w:color="auto" w:fill="auto"/>
              </w:tcPr>
              <w:p>
                <w:pPr>
                  <w:jc w:val="right"/>
                  <w:rPr>
                    <w:rFonts w:ascii="Times New Roman" w:hAnsi="Times New Roman" w:cs="Times New Roman"/>
                  </w:rPr>
                </w:pPr>
                <w:r>
                  <w:rPr>
                    <w:rFonts w:ascii="Times New Roman" w:hAnsi="Times New Roman" w:cs="Times New Roman"/>
                  </w:rPr>
                  <w:t>4,804,613.53</w:t>
                </w:r>
              </w:p>
            </w:tc>
          </w:tr>
        </w:tbl>
        <w:p/>
        <w:p>
          <w:pPr>
            <w:rPr>
              <w:szCs w:val="21"/>
            </w:rPr>
          </w:pPr>
        </w:p>
      </w:sdtContent>
    </w:sdt>
    <w:bookmarkEnd w:id="190"/>
    <w:p>
      <w:pPr>
        <w:pStyle w:val="4"/>
        <w:numPr>
          <w:ilvl w:val="0"/>
          <w:numId w:val="79"/>
        </w:numPr>
        <w:tabs>
          <w:tab w:val="left" w:pos="504"/>
        </w:tabs>
        <w:rPr>
          <w:rFonts w:ascii="宋体" w:hAnsi="宋体"/>
          <w:szCs w:val="21"/>
        </w:rPr>
      </w:pPr>
      <w:bookmarkStart w:id="191" w:name="_Hlk534978811"/>
      <w:bookmarkEnd w:id="191"/>
      <w:r>
        <w:rPr>
          <w:rFonts w:hint="eastAsia" w:ascii="宋体" w:hAnsi="宋体"/>
          <w:szCs w:val="21"/>
        </w:rPr>
        <w:t>短期借款</w:t>
      </w:r>
    </w:p>
    <w:sdt>
      <w:sdtPr>
        <w:rPr>
          <w:rFonts w:hint="eastAsia" w:ascii="宋体" w:hAnsi="宋体" w:eastAsia="宋体" w:cs="宋体"/>
          <w:b w:val="0"/>
          <w:bCs w:val="0"/>
          <w:kern w:val="0"/>
          <w:szCs w:val="24"/>
        </w:rPr>
        <w:alias w:val="模块:短期借款分类"/>
        <w:tag w:val="_SEC_5e661212a7bc42d1ac34de3b0e67574d"/>
        <w:id w:val="865725577"/>
        <w:lock w:val="sdtLocked"/>
        <w:placeholder>
          <w:docPart w:val="GBC22222222222222222222222222222"/>
        </w:placeholder>
      </w:sdtPr>
      <w:sdtEndPr>
        <w:rPr>
          <w:rFonts w:hint="default" w:asciiTheme="minorEastAsia" w:hAnsiTheme="minorEastAsia" w:eastAsiaTheme="minorEastAsia" w:cstheme="minorBidi"/>
          <w:b/>
          <w:bCs/>
          <w:color w:val="000000" w:themeColor="text1"/>
          <w:kern w:val="2"/>
          <w:szCs w:val="21"/>
        </w:rPr>
      </w:sdtEndPr>
      <w:sdtContent>
        <w:p>
          <w:pPr>
            <w:pStyle w:val="5"/>
            <w:numPr>
              <w:ilvl w:val="0"/>
              <w:numId w:val="97"/>
            </w:numPr>
            <w:ind w:left="426" w:hanging="426"/>
          </w:pPr>
          <w:r>
            <w:rPr>
              <w:rFonts w:hint="eastAsia"/>
            </w:rPr>
            <w:t>短期借款分类</w:t>
          </w:r>
        </w:p>
        <w:sdt>
          <w:sdtPr>
            <w:alias w:val="是否适用：短期借款分类[双击切换]"/>
            <w:tag w:val="_GBC_d7624f1054024527b72d59c4122e81cb"/>
            <w:id w:val="865725570"/>
            <w:lock w:val="sdtLocked"/>
          </w:sdtPr>
          <w:sdtContent>
            <w:p>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短期借款分类"/>
              <w:tag w:val="_GBC_8d30fbb8785645499f9234dccd6e5b81"/>
              <w:id w:val="86572557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86572557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69"/>
            <w:gridCol w:w="3003"/>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rPr>
                  <w:rFonts w:ascii="Times New Roman" w:hAnsi="Times New Roman" w:cs="Times New Roman"/>
                </w:rPr>
                <w:tag w:val="_PLD_7d518e78e06f4dc9b46aae7b6b47fd01"/>
                <w:id w:val="865725573"/>
                <w:lock w:val="sdtLocked"/>
              </w:sdtPr>
              <w:sdtEndPr>
                <w:rPr>
                  <w:rFonts w:ascii="Times New Roman" w:hAnsi="Times New Roman" w:cs="Times New Roman"/>
                </w:rPr>
              </w:sdtEndPr>
              <w:sdtContent>
                <w:tc>
                  <w:tcPr>
                    <w:tcW w:w="1613" w:type="pct"/>
                    <w:vAlign w:val="center"/>
                  </w:tcPr>
                  <w:p>
                    <w:pPr>
                      <w:autoSpaceDE w:val="0"/>
                      <w:autoSpaceDN w:val="0"/>
                      <w:adjustRightInd w:val="0"/>
                      <w:snapToGrid w:val="0"/>
                      <w:spacing w:line="240" w:lineRule="atLeast"/>
                      <w:jc w:val="center"/>
                      <w:rPr>
                        <w:rFonts w:ascii="Times New Roman" w:hAnsi="Times New Roman" w:cs="Times New Roman"/>
                        <w:color w:val="000000" w:themeColor="text1"/>
                        <w:szCs w:val="21"/>
                      </w:rPr>
                    </w:pPr>
                    <w:r>
                      <w:rPr>
                        <w:rFonts w:ascii="Times New Roman" w:cs="Times New Roman"/>
                        <w:color w:val="000000" w:themeColor="text1"/>
                        <w:szCs w:val="21"/>
                      </w:rPr>
                      <w:t>项目</w:t>
                    </w:r>
                  </w:p>
                </w:tc>
              </w:sdtContent>
            </w:sdt>
            <w:sdt>
              <w:sdtPr>
                <w:rPr>
                  <w:rFonts w:ascii="Times New Roman" w:hAnsi="Times New Roman" w:cs="Times New Roman"/>
                </w:rPr>
                <w:tag w:val="_PLD_cda187315847461e8ed854d1807d3b14"/>
                <w:id w:val="865725574"/>
                <w:lock w:val="sdtLocked"/>
              </w:sdtPr>
              <w:sdtEndPr>
                <w:rPr>
                  <w:rFonts w:ascii="Times New Roman" w:hAnsi="Times New Roman" w:cs="Times New Roman"/>
                </w:rPr>
              </w:sdtEndPr>
              <w:sdtContent>
                <w:tc>
                  <w:tcPr>
                    <w:tcW w:w="1688" w:type="pct"/>
                    <w:vAlign w:val="center"/>
                  </w:tcPr>
                  <w:p>
                    <w:pPr>
                      <w:jc w:val="center"/>
                      <w:rPr>
                        <w:rFonts w:ascii="Times New Roman" w:hAnsi="Times New Roman" w:cs="Times New Roman"/>
                        <w:color w:val="000000" w:themeColor="text1"/>
                        <w:szCs w:val="21"/>
                      </w:rPr>
                    </w:pPr>
                    <w:r>
                      <w:rPr>
                        <w:rFonts w:ascii="Times New Roman" w:cs="Times New Roman"/>
                        <w:color w:val="000000" w:themeColor="text1"/>
                        <w:szCs w:val="21"/>
                      </w:rPr>
                      <w:t>期末余额</w:t>
                    </w:r>
                  </w:p>
                </w:tc>
              </w:sdtContent>
            </w:sdt>
            <w:sdt>
              <w:sdtPr>
                <w:rPr>
                  <w:rFonts w:ascii="Times New Roman" w:hAnsi="Times New Roman" w:cs="Times New Roman"/>
                </w:rPr>
                <w:tag w:val="_PLD_805e4b849be14c0ab0ca7f324971119b"/>
                <w:id w:val="865725575"/>
                <w:lock w:val="sdtLocked"/>
              </w:sdtPr>
              <w:sdtEndPr>
                <w:rPr>
                  <w:rFonts w:ascii="Times New Roman" w:hAnsi="Times New Roman" w:cs="Times New Roman"/>
                </w:rPr>
              </w:sdtEndPr>
              <w:sdtContent>
                <w:tc>
                  <w:tcPr>
                    <w:tcW w:w="1698" w:type="pct"/>
                    <w:vAlign w:val="center"/>
                  </w:tcPr>
                  <w:p>
                    <w:pPr>
                      <w:jc w:val="center"/>
                      <w:rPr>
                        <w:rFonts w:ascii="Times New Roman" w:hAnsi="Times New Roman" w:cs="Times New Roman"/>
                        <w:color w:val="000000" w:themeColor="text1"/>
                        <w:szCs w:val="21"/>
                      </w:rPr>
                    </w:pPr>
                    <w:r>
                      <w:rPr>
                        <w:rFonts w:ascii="Times New Roman" w:cs="Times New Roman"/>
                        <w:color w:val="000000" w:themeColor="text1"/>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pPr>
                  <w:autoSpaceDE w:val="0"/>
                  <w:autoSpaceDN w:val="0"/>
                  <w:adjustRightInd w:val="0"/>
                  <w:snapToGrid w:val="0"/>
                  <w:spacing w:line="240" w:lineRule="atLeast"/>
                  <w:jc w:val="both"/>
                  <w:rPr>
                    <w:rFonts w:ascii="Times New Roman" w:hAnsi="Times New Roman" w:cs="Times New Roman"/>
                    <w:color w:val="000000" w:themeColor="text1"/>
                    <w:szCs w:val="21"/>
                  </w:rPr>
                </w:pPr>
                <w:r>
                  <w:rPr>
                    <w:rFonts w:ascii="Times New Roman" w:cs="Times New Roman"/>
                    <w:color w:val="000000" w:themeColor="text1"/>
                    <w:szCs w:val="21"/>
                  </w:rPr>
                  <w:t>质押借款</w:t>
                </w:r>
              </w:p>
            </w:tc>
            <w:tc>
              <w:tcPr>
                <w:tcW w:w="1688" w:type="pct"/>
                <w:shd w:val="clear" w:color="auto" w:fill="auto"/>
              </w:tcPr>
              <w:p>
                <w:pPr>
                  <w:autoSpaceDE w:val="0"/>
                  <w:autoSpaceDN w:val="0"/>
                  <w:adjustRightInd w:val="0"/>
                  <w:snapToGrid w:val="0"/>
                  <w:spacing w:line="240" w:lineRule="atLeast"/>
                  <w:ind w:right="180"/>
                  <w:jc w:val="right"/>
                  <w:rPr>
                    <w:rFonts w:ascii="Times New Roman" w:hAnsi="Times New Roman" w:cs="Times New Roman"/>
                    <w:szCs w:val="21"/>
                  </w:rPr>
                </w:pPr>
              </w:p>
            </w:tc>
            <w:tc>
              <w:tcPr>
                <w:tcW w:w="1698" w:type="pct"/>
                <w:shd w:val="clear" w:color="auto" w:fill="auto"/>
              </w:tcPr>
              <w:p>
                <w:pPr>
                  <w:autoSpaceDE w:val="0"/>
                  <w:autoSpaceDN w:val="0"/>
                  <w:adjustRightInd w:val="0"/>
                  <w:snapToGrid w:val="0"/>
                  <w:spacing w:line="240" w:lineRule="atLeast"/>
                  <w:ind w:right="18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pPr>
                  <w:autoSpaceDE w:val="0"/>
                  <w:autoSpaceDN w:val="0"/>
                  <w:adjustRightInd w:val="0"/>
                  <w:snapToGrid w:val="0"/>
                  <w:spacing w:line="240" w:lineRule="atLeast"/>
                  <w:jc w:val="both"/>
                  <w:rPr>
                    <w:rFonts w:ascii="Times New Roman" w:hAnsi="Times New Roman" w:cs="Times New Roman"/>
                    <w:color w:val="000000" w:themeColor="text1"/>
                    <w:szCs w:val="21"/>
                  </w:rPr>
                </w:pPr>
                <w:r>
                  <w:rPr>
                    <w:rFonts w:ascii="Times New Roman" w:cs="Times New Roman"/>
                    <w:color w:val="000000" w:themeColor="text1"/>
                    <w:szCs w:val="21"/>
                  </w:rPr>
                  <w:t>抵押借款</w:t>
                </w:r>
              </w:p>
            </w:tc>
            <w:tc>
              <w:tcPr>
                <w:tcW w:w="1688" w:type="pct"/>
                <w:shd w:val="clear" w:color="auto" w:fill="auto"/>
                <w:vAlign w:val="center"/>
              </w:tcPr>
              <w:p>
                <w:pPr>
                  <w:autoSpaceDE w:val="0"/>
                  <w:autoSpaceDN w:val="0"/>
                  <w:adjustRightInd w:val="0"/>
                  <w:snapToGrid w:val="0"/>
                  <w:spacing w:line="240" w:lineRule="atLeast"/>
                  <w:ind w:right="180"/>
                  <w:jc w:val="right"/>
                  <w:rPr>
                    <w:rFonts w:ascii="Times New Roman" w:hAnsi="Times New Roman" w:cs="Times New Roman"/>
                    <w:szCs w:val="21"/>
                  </w:rPr>
                </w:pPr>
                <w:r>
                  <w:rPr>
                    <w:rFonts w:ascii="Times New Roman" w:hAnsi="Times New Roman" w:cs="Times New Roman"/>
                    <w:szCs w:val="21"/>
                  </w:rPr>
                  <w:t>50,000,000.00</w:t>
                </w:r>
              </w:p>
            </w:tc>
            <w:tc>
              <w:tcPr>
                <w:tcW w:w="1698" w:type="pct"/>
                <w:shd w:val="clear" w:color="auto" w:fill="auto"/>
                <w:vAlign w:val="center"/>
              </w:tcPr>
              <w:p>
                <w:pPr>
                  <w:autoSpaceDE w:val="0"/>
                  <w:autoSpaceDN w:val="0"/>
                  <w:adjustRightInd w:val="0"/>
                  <w:snapToGrid w:val="0"/>
                  <w:spacing w:line="240" w:lineRule="atLeast"/>
                  <w:ind w:right="180"/>
                  <w:jc w:val="right"/>
                  <w:rPr>
                    <w:rFonts w:ascii="Times New Roman" w:hAnsi="Times New Roman" w:cs="Times New Roman"/>
                    <w:szCs w:val="21"/>
                  </w:rPr>
                </w:pPr>
                <w:r>
                  <w:rPr>
                    <w:rFonts w:ascii="Times New Roman" w:hAnsi="Times New Roman" w:cs="Times New Roman"/>
                    <w:szCs w:val="21"/>
                  </w:rPr>
                  <w:t>60,000,000.00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pPr>
                  <w:autoSpaceDE w:val="0"/>
                  <w:autoSpaceDN w:val="0"/>
                  <w:adjustRightInd w:val="0"/>
                  <w:snapToGrid w:val="0"/>
                  <w:spacing w:line="240" w:lineRule="atLeast"/>
                  <w:jc w:val="both"/>
                  <w:rPr>
                    <w:rFonts w:ascii="Times New Roman" w:hAnsi="Times New Roman" w:cs="Times New Roman"/>
                    <w:color w:val="000000" w:themeColor="text1"/>
                    <w:szCs w:val="21"/>
                  </w:rPr>
                </w:pPr>
                <w:r>
                  <w:rPr>
                    <w:rFonts w:ascii="Times New Roman" w:cs="Times New Roman"/>
                    <w:color w:val="000000" w:themeColor="text1"/>
                    <w:szCs w:val="21"/>
                  </w:rPr>
                  <w:t>保证借款</w:t>
                </w:r>
              </w:p>
            </w:tc>
            <w:tc>
              <w:tcPr>
                <w:tcW w:w="1688" w:type="pct"/>
                <w:shd w:val="clear" w:color="auto" w:fill="auto"/>
                <w:vAlign w:val="center"/>
              </w:tcPr>
              <w:p>
                <w:pPr>
                  <w:autoSpaceDE w:val="0"/>
                  <w:autoSpaceDN w:val="0"/>
                  <w:adjustRightInd w:val="0"/>
                  <w:snapToGrid w:val="0"/>
                  <w:spacing w:line="240" w:lineRule="atLeast"/>
                  <w:ind w:right="180"/>
                  <w:jc w:val="right"/>
                  <w:rPr>
                    <w:rFonts w:ascii="Times New Roman" w:hAnsi="Times New Roman" w:cs="Times New Roman"/>
                    <w:szCs w:val="21"/>
                  </w:rPr>
                </w:pPr>
                <w:r>
                  <w:rPr>
                    <w:rFonts w:ascii="Times New Roman" w:hAnsi="Times New Roman" w:cs="Times New Roman"/>
                    <w:szCs w:val="21"/>
                  </w:rPr>
                  <w:t>25,000,000.00</w:t>
                </w:r>
              </w:p>
            </w:tc>
            <w:tc>
              <w:tcPr>
                <w:tcW w:w="1698" w:type="pct"/>
                <w:shd w:val="clear" w:color="auto" w:fill="auto"/>
                <w:vAlign w:val="center"/>
              </w:tcPr>
              <w:p>
                <w:pPr>
                  <w:autoSpaceDE w:val="0"/>
                  <w:autoSpaceDN w:val="0"/>
                  <w:adjustRightInd w:val="0"/>
                  <w:snapToGrid w:val="0"/>
                  <w:spacing w:line="240" w:lineRule="atLeast"/>
                  <w:ind w:right="180"/>
                  <w:jc w:val="right"/>
                  <w:rPr>
                    <w:rFonts w:ascii="Times New Roman" w:hAnsi="Times New Roman" w:cs="Times New Roman"/>
                    <w:szCs w:val="21"/>
                  </w:rPr>
                </w:pPr>
                <w:r>
                  <w:rPr>
                    <w:rFonts w:ascii="Times New Roman" w:hAnsi="Times New Roman" w:cs="Times New Roman"/>
                    <w:szCs w:val="21"/>
                  </w:rPr>
                  <w:t>13,000,000.00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tc>
              <w:tcPr>
                <w:tcW w:w="1613" w:type="pct"/>
                <w:shd w:val="clear" w:color="auto" w:fill="auto"/>
              </w:tcPr>
              <w:p>
                <w:pPr>
                  <w:autoSpaceDE w:val="0"/>
                  <w:autoSpaceDN w:val="0"/>
                  <w:adjustRightInd w:val="0"/>
                  <w:snapToGrid w:val="0"/>
                  <w:spacing w:line="240" w:lineRule="atLeast"/>
                  <w:jc w:val="both"/>
                  <w:rPr>
                    <w:rFonts w:ascii="Times New Roman" w:hAnsi="Times New Roman" w:cs="Times New Roman"/>
                    <w:color w:val="000000" w:themeColor="text1"/>
                    <w:szCs w:val="21"/>
                  </w:rPr>
                </w:pPr>
                <w:r>
                  <w:rPr>
                    <w:rFonts w:ascii="Times New Roman" w:cs="Times New Roman"/>
                    <w:color w:val="000000" w:themeColor="text1"/>
                    <w:szCs w:val="21"/>
                  </w:rPr>
                  <w:t>信用借款</w:t>
                </w:r>
              </w:p>
            </w:tc>
            <w:tc>
              <w:tcPr>
                <w:tcW w:w="1688" w:type="pct"/>
                <w:shd w:val="clear" w:color="auto" w:fill="auto"/>
              </w:tcPr>
              <w:p>
                <w:pPr>
                  <w:autoSpaceDE w:val="0"/>
                  <w:autoSpaceDN w:val="0"/>
                  <w:adjustRightInd w:val="0"/>
                  <w:snapToGrid w:val="0"/>
                  <w:spacing w:line="240" w:lineRule="atLeast"/>
                  <w:ind w:right="180"/>
                  <w:jc w:val="right"/>
                  <w:rPr>
                    <w:rFonts w:ascii="Times New Roman" w:hAnsi="Times New Roman" w:cs="Times New Roman"/>
                    <w:szCs w:val="21"/>
                  </w:rPr>
                </w:pPr>
              </w:p>
            </w:tc>
            <w:tc>
              <w:tcPr>
                <w:tcW w:w="1698" w:type="pct"/>
                <w:shd w:val="clear" w:color="auto" w:fill="auto"/>
              </w:tcPr>
              <w:p>
                <w:pPr>
                  <w:autoSpaceDE w:val="0"/>
                  <w:autoSpaceDN w:val="0"/>
                  <w:adjustRightInd w:val="0"/>
                  <w:snapToGrid w:val="0"/>
                  <w:spacing w:line="240" w:lineRule="atLeast"/>
                  <w:ind w:right="18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tcPr>
              <w:p>
                <w:pPr>
                  <w:autoSpaceDE w:val="0"/>
                  <w:autoSpaceDN w:val="0"/>
                  <w:adjustRightInd w:val="0"/>
                  <w:snapToGrid w:val="0"/>
                  <w:spacing w:line="240" w:lineRule="atLeast"/>
                  <w:rPr>
                    <w:rFonts w:ascii="Times New Roman" w:hAnsi="Times New Roman" w:cs="Times New Roman"/>
                    <w:szCs w:val="21"/>
                  </w:rPr>
                </w:pPr>
              </w:p>
            </w:tc>
            <w:tc>
              <w:tcPr>
                <w:tcW w:w="1688" w:type="pct"/>
              </w:tcPr>
              <w:p>
                <w:pPr>
                  <w:autoSpaceDE w:val="0"/>
                  <w:autoSpaceDN w:val="0"/>
                  <w:adjustRightInd w:val="0"/>
                  <w:snapToGrid w:val="0"/>
                  <w:spacing w:line="240" w:lineRule="atLeast"/>
                  <w:ind w:right="180"/>
                  <w:jc w:val="right"/>
                  <w:rPr>
                    <w:rFonts w:ascii="Times New Roman" w:hAnsi="Times New Roman" w:cs="Times New Roman"/>
                    <w:szCs w:val="21"/>
                  </w:rPr>
                </w:pPr>
              </w:p>
            </w:tc>
            <w:tc>
              <w:tcPr>
                <w:tcW w:w="1698" w:type="pct"/>
              </w:tcPr>
              <w:p>
                <w:pPr>
                  <w:autoSpaceDE w:val="0"/>
                  <w:autoSpaceDN w:val="0"/>
                  <w:adjustRightInd w:val="0"/>
                  <w:snapToGrid w:val="0"/>
                  <w:spacing w:line="240" w:lineRule="atLeast"/>
                  <w:ind w:right="18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tcPr>
              <w:p>
                <w:pPr>
                  <w:autoSpaceDE w:val="0"/>
                  <w:autoSpaceDN w:val="0"/>
                  <w:adjustRightInd w:val="0"/>
                  <w:snapToGrid w:val="0"/>
                  <w:spacing w:line="240" w:lineRule="atLeast"/>
                  <w:rPr>
                    <w:rFonts w:ascii="Times New Roman" w:hAnsi="Times New Roman" w:cs="Times New Roman"/>
                    <w:szCs w:val="21"/>
                  </w:rPr>
                </w:pPr>
              </w:p>
            </w:tc>
            <w:tc>
              <w:tcPr>
                <w:tcW w:w="1688" w:type="pct"/>
              </w:tcPr>
              <w:p>
                <w:pPr>
                  <w:autoSpaceDE w:val="0"/>
                  <w:autoSpaceDN w:val="0"/>
                  <w:adjustRightInd w:val="0"/>
                  <w:snapToGrid w:val="0"/>
                  <w:spacing w:line="240" w:lineRule="atLeast"/>
                  <w:ind w:right="180"/>
                  <w:jc w:val="right"/>
                  <w:rPr>
                    <w:rFonts w:ascii="Times New Roman" w:hAnsi="Times New Roman" w:cs="Times New Roman"/>
                    <w:szCs w:val="21"/>
                  </w:rPr>
                </w:pPr>
              </w:p>
            </w:tc>
            <w:tc>
              <w:tcPr>
                <w:tcW w:w="1698" w:type="pct"/>
              </w:tcPr>
              <w:p>
                <w:pPr>
                  <w:autoSpaceDE w:val="0"/>
                  <w:autoSpaceDN w:val="0"/>
                  <w:adjustRightInd w:val="0"/>
                  <w:snapToGrid w:val="0"/>
                  <w:spacing w:line="240" w:lineRule="atLeast"/>
                  <w:ind w:right="18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vAlign w:val="center"/>
              </w:tcPr>
              <w:p>
                <w:pPr>
                  <w:autoSpaceDE w:val="0"/>
                  <w:autoSpaceDN w:val="0"/>
                  <w:adjustRightInd w:val="0"/>
                  <w:snapToGrid w:val="0"/>
                  <w:spacing w:line="240" w:lineRule="atLeast"/>
                  <w:jc w:val="center"/>
                  <w:rPr>
                    <w:rFonts w:ascii="Times New Roman" w:hAnsi="Times New Roman" w:cs="Times New Roman"/>
                    <w:color w:val="000000" w:themeColor="text1"/>
                    <w:szCs w:val="21"/>
                  </w:rPr>
                </w:pPr>
                <w:r>
                  <w:rPr>
                    <w:rFonts w:ascii="Times New Roman" w:cs="Times New Roman"/>
                    <w:color w:val="000000" w:themeColor="text1"/>
                    <w:szCs w:val="21"/>
                  </w:rPr>
                  <w:t>合计</w:t>
                </w:r>
              </w:p>
            </w:tc>
            <w:tc>
              <w:tcPr>
                <w:tcW w:w="1688" w:type="pct"/>
                <w:vAlign w:val="center"/>
              </w:tcPr>
              <w:p>
                <w:pPr>
                  <w:autoSpaceDE w:val="0"/>
                  <w:autoSpaceDN w:val="0"/>
                  <w:adjustRightInd w:val="0"/>
                  <w:snapToGrid w:val="0"/>
                  <w:spacing w:line="240" w:lineRule="atLeast"/>
                  <w:ind w:right="180"/>
                  <w:jc w:val="right"/>
                  <w:rPr>
                    <w:rFonts w:ascii="Times New Roman" w:hAnsi="Times New Roman" w:cs="Times New Roman"/>
                    <w:szCs w:val="21"/>
                  </w:rPr>
                </w:pPr>
                <w:r>
                  <w:rPr>
                    <w:rFonts w:ascii="Times New Roman" w:hAnsi="Times New Roman" w:cs="Times New Roman"/>
                    <w:szCs w:val="21"/>
                  </w:rPr>
                  <w:t>75,000,000.00</w:t>
                </w:r>
              </w:p>
            </w:tc>
            <w:tc>
              <w:tcPr>
                <w:tcW w:w="1698" w:type="pct"/>
                <w:vAlign w:val="center"/>
              </w:tcPr>
              <w:p>
                <w:pPr>
                  <w:autoSpaceDE w:val="0"/>
                  <w:autoSpaceDN w:val="0"/>
                  <w:adjustRightInd w:val="0"/>
                  <w:snapToGrid w:val="0"/>
                  <w:spacing w:line="240" w:lineRule="atLeast"/>
                  <w:ind w:right="180"/>
                  <w:jc w:val="right"/>
                  <w:rPr>
                    <w:rFonts w:ascii="Times New Roman" w:hAnsi="Times New Roman" w:cs="Times New Roman"/>
                    <w:szCs w:val="21"/>
                  </w:rPr>
                </w:pPr>
                <w:r>
                  <w:rPr>
                    <w:rFonts w:ascii="Times New Roman" w:hAnsi="Times New Roman" w:cs="Times New Roman"/>
                    <w:szCs w:val="21"/>
                  </w:rPr>
                  <w:t>73,000,000.00</w:t>
                </w:r>
              </w:p>
            </w:tc>
          </w:tr>
        </w:tbl>
        <w:sdt>
          <w:sdtPr>
            <w:rPr>
              <w:szCs w:val="21"/>
            </w:rPr>
            <w:alias w:val="短期借款分类的说明"/>
            <w:tag w:val="_GBC_39c88fc069c44763b7ed661bff072142"/>
            <w:id w:val="865725576"/>
            <w:lock w:val="sdtLocked"/>
          </w:sdtPr>
          <w:sdtEndPr>
            <w:rPr>
              <w:szCs w:val="21"/>
            </w:rPr>
          </w:sdtEndPr>
          <w:sdtContent>
            <w:p>
              <w:pPr>
                <w:spacing w:line="500" w:lineRule="exact"/>
                <w:ind w:firstLine="420" w:firstLineChars="200"/>
                <w:outlineLvl w:val="0"/>
              </w:pPr>
              <w:r>
                <w:rPr>
                  <w:rFonts w:hint="eastAsia"/>
                  <w:b/>
                  <w:color w:val="000000"/>
                  <w:sz w:val="24"/>
                </w:rPr>
                <w:t xml:space="preserve">  期末短期借款余额</w:t>
              </w:r>
            </w:p>
            <w:tbl>
              <w:tblPr>
                <w:tblStyle w:val="3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077"/>
                <w:gridCol w:w="1257"/>
                <w:gridCol w:w="1115"/>
                <w:gridCol w:w="687"/>
                <w:gridCol w:w="976"/>
                <w:gridCol w:w="1387"/>
                <w:gridCol w:w="102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218" w:type="pct"/>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贷款单位</w:t>
                    </w:r>
                  </w:p>
                </w:tc>
                <w:tc>
                  <w:tcPr>
                    <w:tcW w:w="737" w:type="pct"/>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借款起始日</w:t>
                    </w:r>
                  </w:p>
                </w:tc>
                <w:tc>
                  <w:tcPr>
                    <w:tcW w:w="654" w:type="pct"/>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借款终止日</w:t>
                    </w:r>
                  </w:p>
                </w:tc>
                <w:tc>
                  <w:tcPr>
                    <w:tcW w:w="403" w:type="pct"/>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币种</w:t>
                    </w:r>
                  </w:p>
                </w:tc>
                <w:tc>
                  <w:tcPr>
                    <w:tcW w:w="572" w:type="pct"/>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利率（</w:t>
                    </w:r>
                    <w:r>
                      <w:rPr>
                        <w:rFonts w:ascii="Times New Roman" w:hAnsi="Times New Roman" w:cs="Times New Roman"/>
                        <w:color w:val="000000"/>
                        <w:sz w:val="18"/>
                        <w:szCs w:val="18"/>
                      </w:rPr>
                      <w:t>%</w:t>
                    </w:r>
                    <w:r>
                      <w:rPr>
                        <w:rFonts w:ascii="Times New Roman" w:cs="Times New Roman"/>
                        <w:color w:val="000000"/>
                        <w:sz w:val="18"/>
                        <w:szCs w:val="18"/>
                      </w:rPr>
                      <w:t>）</w:t>
                    </w:r>
                  </w:p>
                </w:tc>
                <w:tc>
                  <w:tcPr>
                    <w:tcW w:w="813" w:type="pct"/>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借款金额</w:t>
                    </w:r>
                  </w:p>
                </w:tc>
                <w:tc>
                  <w:tcPr>
                    <w:tcW w:w="603" w:type="pct"/>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借款条件</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18" w:type="pct"/>
                    <w:vAlign w:val="center"/>
                  </w:tcPr>
                  <w:p>
                    <w:pPr>
                      <w:rPr>
                        <w:rFonts w:ascii="Times New Roman" w:hAnsi="Times New Roman" w:cs="Times New Roman"/>
                        <w:sz w:val="18"/>
                        <w:szCs w:val="18"/>
                      </w:rPr>
                    </w:pPr>
                    <w:r>
                      <w:rPr>
                        <w:rFonts w:ascii="Times New Roman" w:cs="Times New Roman"/>
                        <w:sz w:val="18"/>
                        <w:szCs w:val="18"/>
                      </w:rPr>
                      <w:t>中国工商银行股份有限公司柳州市城中支行</w:t>
                    </w:r>
                  </w:p>
                </w:tc>
                <w:tc>
                  <w:tcPr>
                    <w:tcW w:w="737"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2021-8-24</w:t>
                    </w:r>
                  </w:p>
                </w:tc>
                <w:tc>
                  <w:tcPr>
                    <w:tcW w:w="654"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2022-8-23</w:t>
                    </w:r>
                  </w:p>
                </w:tc>
                <w:tc>
                  <w:tcPr>
                    <w:tcW w:w="403"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CNY</w:t>
                    </w:r>
                  </w:p>
                </w:tc>
                <w:tc>
                  <w:tcPr>
                    <w:tcW w:w="572"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4.35</w:t>
                    </w:r>
                  </w:p>
                </w:tc>
                <w:tc>
                  <w:tcPr>
                    <w:tcW w:w="813" w:type="pct"/>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20,000,000.00</w:t>
                    </w:r>
                  </w:p>
                </w:tc>
                <w:tc>
                  <w:tcPr>
                    <w:tcW w:w="603"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cs="Times New Roman" w:hAnsiTheme="minorEastAsia" w:eastAsiaTheme="minorEastAsia"/>
                        <w:color w:val="000000"/>
                        <w:sz w:val="18"/>
                        <w:szCs w:val="18"/>
                      </w:rPr>
                      <w:t>抵押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18" w:type="pct"/>
                    <w:vAlign w:val="center"/>
                  </w:tcPr>
                  <w:p>
                    <w:pPr>
                      <w:rPr>
                        <w:rFonts w:ascii="Times New Roman" w:hAnsi="Times New Roman" w:cs="Times New Roman"/>
                        <w:sz w:val="18"/>
                        <w:szCs w:val="18"/>
                      </w:rPr>
                    </w:pPr>
                    <w:r>
                      <w:rPr>
                        <w:rFonts w:ascii="Times New Roman" w:cs="Times New Roman"/>
                        <w:sz w:val="18"/>
                        <w:szCs w:val="18"/>
                      </w:rPr>
                      <w:t>中国工商银行股份有限公司柳州市城中支行</w:t>
                    </w:r>
                  </w:p>
                </w:tc>
                <w:tc>
                  <w:tcPr>
                    <w:tcW w:w="737"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2021-12-1</w:t>
                    </w:r>
                  </w:p>
                </w:tc>
                <w:tc>
                  <w:tcPr>
                    <w:tcW w:w="654"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2022-11-9</w:t>
                    </w:r>
                  </w:p>
                </w:tc>
                <w:tc>
                  <w:tcPr>
                    <w:tcW w:w="403"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CNY</w:t>
                    </w:r>
                  </w:p>
                </w:tc>
                <w:tc>
                  <w:tcPr>
                    <w:tcW w:w="572"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4.35</w:t>
                    </w:r>
                  </w:p>
                </w:tc>
                <w:tc>
                  <w:tcPr>
                    <w:tcW w:w="813" w:type="pct"/>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10,000,000.00</w:t>
                    </w:r>
                  </w:p>
                </w:tc>
                <w:tc>
                  <w:tcPr>
                    <w:tcW w:w="603"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cs="Times New Roman" w:hAnsiTheme="minorEastAsia" w:eastAsiaTheme="minorEastAsia"/>
                        <w:color w:val="000000"/>
                        <w:sz w:val="18"/>
                        <w:szCs w:val="18"/>
                      </w:rPr>
                      <w:t>抵押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18" w:type="pct"/>
                    <w:vAlign w:val="center"/>
                  </w:tcPr>
                  <w:p>
                    <w:pPr>
                      <w:rPr>
                        <w:rFonts w:ascii="Times New Roman" w:hAnsi="Times New Roman" w:cs="Times New Roman"/>
                        <w:sz w:val="18"/>
                        <w:szCs w:val="18"/>
                      </w:rPr>
                    </w:pPr>
                    <w:r>
                      <w:rPr>
                        <w:rFonts w:ascii="Times New Roman" w:cs="Times New Roman"/>
                        <w:sz w:val="18"/>
                        <w:szCs w:val="18"/>
                      </w:rPr>
                      <w:t>中国银行股份有限公司柳州市八一支行</w:t>
                    </w:r>
                  </w:p>
                </w:tc>
                <w:tc>
                  <w:tcPr>
                    <w:tcW w:w="737"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2021-11-26</w:t>
                    </w:r>
                  </w:p>
                </w:tc>
                <w:tc>
                  <w:tcPr>
                    <w:tcW w:w="654"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2022-10-21</w:t>
                    </w:r>
                  </w:p>
                </w:tc>
                <w:tc>
                  <w:tcPr>
                    <w:tcW w:w="403"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CNY</w:t>
                    </w:r>
                  </w:p>
                </w:tc>
                <w:tc>
                  <w:tcPr>
                    <w:tcW w:w="572"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4.35</w:t>
                    </w:r>
                  </w:p>
                </w:tc>
                <w:tc>
                  <w:tcPr>
                    <w:tcW w:w="813" w:type="pct"/>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20,000,000.00</w:t>
                    </w:r>
                  </w:p>
                </w:tc>
                <w:tc>
                  <w:tcPr>
                    <w:tcW w:w="603"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cs="Times New Roman" w:hAnsiTheme="minorEastAsia" w:eastAsiaTheme="minorEastAsia"/>
                        <w:color w:val="000000"/>
                        <w:sz w:val="18"/>
                        <w:szCs w:val="18"/>
                      </w:rPr>
                      <w:t>抵押</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18" w:type="pct"/>
                    <w:vAlign w:val="center"/>
                  </w:tcPr>
                  <w:p>
                    <w:pPr>
                      <w:rPr>
                        <w:rFonts w:ascii="Times New Roman" w:hAnsi="Times New Roman" w:cs="Times New Roman"/>
                        <w:sz w:val="18"/>
                        <w:szCs w:val="18"/>
                      </w:rPr>
                    </w:pPr>
                    <w:r>
                      <w:rPr>
                        <w:rFonts w:ascii="Times New Roman" w:cs="Times New Roman"/>
                        <w:sz w:val="18"/>
                        <w:szCs w:val="18"/>
                      </w:rPr>
                      <w:t>柳州银行股份有限公司胜利支行</w:t>
                    </w:r>
                  </w:p>
                </w:tc>
                <w:tc>
                  <w:tcPr>
                    <w:tcW w:w="737"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2021-1-19</w:t>
                    </w:r>
                  </w:p>
                </w:tc>
                <w:tc>
                  <w:tcPr>
                    <w:tcW w:w="654"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2022-1-14</w:t>
                    </w:r>
                  </w:p>
                </w:tc>
                <w:tc>
                  <w:tcPr>
                    <w:tcW w:w="403"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CNY</w:t>
                    </w:r>
                  </w:p>
                </w:tc>
                <w:tc>
                  <w:tcPr>
                    <w:tcW w:w="572"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1.35</w:t>
                    </w:r>
                  </w:p>
                </w:tc>
                <w:tc>
                  <w:tcPr>
                    <w:tcW w:w="813" w:type="pct"/>
                    <w:vAlign w:val="center"/>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13,000,000.00</w:t>
                    </w:r>
                  </w:p>
                </w:tc>
                <w:tc>
                  <w:tcPr>
                    <w:tcW w:w="603" w:type="pct"/>
                    <w:vAlign w:val="center"/>
                  </w:tcPr>
                  <w:p>
                    <w:pPr>
                      <w:spacing w:line="480" w:lineRule="exact"/>
                      <w:jc w:val="center"/>
                      <w:rPr>
                        <w:rFonts w:ascii="Times New Roman" w:hAnsi="Times New Roman" w:cs="Times New Roman" w:eastAsiaTheme="minorEastAsia"/>
                        <w:color w:val="000000"/>
                        <w:sz w:val="18"/>
                        <w:szCs w:val="18"/>
                      </w:rPr>
                    </w:pPr>
                    <w:r>
                      <w:rPr>
                        <w:rFonts w:hint="eastAsia" w:ascii="Times New Roman" w:cs="Times New Roman" w:hAnsiTheme="minorEastAsia" w:eastAsiaTheme="minorEastAsia"/>
                        <w:color w:val="000000"/>
                        <w:sz w:val="18"/>
                        <w:szCs w:val="18"/>
                      </w:rPr>
                      <w:t>保证</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18" w:type="pct"/>
                    <w:vAlign w:val="center"/>
                  </w:tcPr>
                  <w:p>
                    <w:pPr>
                      <w:rPr>
                        <w:rFonts w:ascii="Times New Roman" w:hAnsi="Times New Roman" w:cs="Times New Roman"/>
                        <w:sz w:val="18"/>
                        <w:szCs w:val="18"/>
                      </w:rPr>
                    </w:pPr>
                    <w:r>
                      <w:rPr>
                        <w:rFonts w:ascii="Times New Roman" w:cs="Times New Roman"/>
                        <w:sz w:val="18"/>
                        <w:szCs w:val="18"/>
                      </w:rPr>
                      <w:t>柳州银行股份有限公司胜利支行</w:t>
                    </w:r>
                  </w:p>
                </w:tc>
                <w:tc>
                  <w:tcPr>
                    <w:tcW w:w="737"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2021-8-30</w:t>
                    </w:r>
                  </w:p>
                </w:tc>
                <w:tc>
                  <w:tcPr>
                    <w:tcW w:w="654"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2022-8-19</w:t>
                    </w:r>
                  </w:p>
                </w:tc>
                <w:tc>
                  <w:tcPr>
                    <w:tcW w:w="403" w:type="pct"/>
                    <w:vAlign w:val="center"/>
                  </w:tcPr>
                  <w:p>
                    <w:pPr>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CNY</w:t>
                    </w:r>
                  </w:p>
                </w:tc>
                <w:tc>
                  <w:tcPr>
                    <w:tcW w:w="572" w:type="pct"/>
                    <w:vAlign w:val="center"/>
                  </w:tcPr>
                  <w:p>
                    <w:pPr>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1.35</w:t>
                    </w:r>
                  </w:p>
                </w:tc>
                <w:tc>
                  <w:tcPr>
                    <w:tcW w:w="813" w:type="pct"/>
                    <w:vAlign w:val="center"/>
                  </w:tcPr>
                  <w:p>
                    <w:pPr>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12,000,000.00</w:t>
                    </w:r>
                  </w:p>
                </w:tc>
                <w:tc>
                  <w:tcPr>
                    <w:tcW w:w="603" w:type="pct"/>
                    <w:vAlign w:val="center"/>
                  </w:tcPr>
                  <w:p>
                    <w:pPr>
                      <w:jc w:val="center"/>
                      <w:rPr>
                        <w:rFonts w:ascii="Times New Roman" w:hAnsi="Times New Roman" w:cs="Times New Roman" w:eastAsiaTheme="minorEastAsia"/>
                        <w:color w:val="000000"/>
                        <w:sz w:val="18"/>
                        <w:szCs w:val="18"/>
                      </w:rPr>
                    </w:pPr>
                    <w:r>
                      <w:rPr>
                        <w:rFonts w:hint="eastAsia" w:ascii="Times New Roman" w:cs="Times New Roman" w:hAnsiTheme="minorEastAsia" w:eastAsiaTheme="minorEastAsia"/>
                        <w:color w:val="000000"/>
                        <w:sz w:val="18"/>
                        <w:szCs w:val="18"/>
                      </w:rPr>
                      <w:t>保证</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30" w:type="dxa"/>
                    <w:bottom w:w="0" w:type="dxa"/>
                    <w:right w:w="30" w:type="dxa"/>
                  </w:tblCellMar>
                </w:tblPrEx>
                <w:trPr>
                  <w:trHeight w:val="340" w:hRule="atLeast"/>
                  <w:jc w:val="center"/>
                </w:trPr>
                <w:tc>
                  <w:tcPr>
                    <w:tcW w:w="1218" w:type="pct"/>
                    <w:vAlign w:val="center"/>
                  </w:tcPr>
                  <w:p>
                    <w:pPr>
                      <w:widowControl w:val="0"/>
                      <w:spacing w:line="480" w:lineRule="exact"/>
                      <w:jc w:val="center"/>
                      <w:rPr>
                        <w:rFonts w:ascii="Times New Roman" w:hAnsi="Times New Roman" w:cs="Times New Roman"/>
                        <w:sz w:val="18"/>
                        <w:szCs w:val="18"/>
                      </w:rPr>
                    </w:pPr>
                    <w:r>
                      <w:rPr>
                        <w:rFonts w:ascii="Times New Roman" w:cs="Times New Roman"/>
                        <w:sz w:val="18"/>
                        <w:szCs w:val="18"/>
                      </w:rPr>
                      <w:t>合计</w:t>
                    </w:r>
                  </w:p>
                </w:tc>
                <w:tc>
                  <w:tcPr>
                    <w:tcW w:w="737" w:type="pct"/>
                    <w:vAlign w:val="center"/>
                  </w:tcPr>
                  <w:p>
                    <w:pPr>
                      <w:widowControl w:val="0"/>
                      <w:spacing w:line="480" w:lineRule="exact"/>
                      <w:jc w:val="right"/>
                      <w:rPr>
                        <w:rFonts w:ascii="Times New Roman" w:hAnsi="Times New Roman" w:cs="Times New Roman" w:eastAsiaTheme="minorEastAsia"/>
                        <w:color w:val="000000"/>
                        <w:sz w:val="18"/>
                        <w:szCs w:val="18"/>
                      </w:rPr>
                    </w:pPr>
                  </w:p>
                </w:tc>
                <w:tc>
                  <w:tcPr>
                    <w:tcW w:w="654" w:type="pct"/>
                    <w:vAlign w:val="center"/>
                  </w:tcPr>
                  <w:p>
                    <w:pPr>
                      <w:widowControl w:val="0"/>
                      <w:spacing w:line="480" w:lineRule="exact"/>
                      <w:jc w:val="right"/>
                      <w:rPr>
                        <w:rFonts w:ascii="Times New Roman" w:hAnsi="Times New Roman" w:cs="Times New Roman" w:eastAsiaTheme="minorEastAsia"/>
                        <w:color w:val="000000"/>
                        <w:sz w:val="18"/>
                        <w:szCs w:val="18"/>
                      </w:rPr>
                    </w:pPr>
                  </w:p>
                </w:tc>
                <w:tc>
                  <w:tcPr>
                    <w:tcW w:w="403" w:type="pct"/>
                    <w:vAlign w:val="center"/>
                  </w:tcPr>
                  <w:p>
                    <w:pPr>
                      <w:widowControl w:val="0"/>
                      <w:spacing w:line="480" w:lineRule="exact"/>
                      <w:jc w:val="right"/>
                      <w:rPr>
                        <w:rFonts w:ascii="Times New Roman" w:hAnsi="Times New Roman" w:cs="Times New Roman" w:eastAsiaTheme="minorEastAsia"/>
                        <w:color w:val="000000"/>
                        <w:sz w:val="18"/>
                        <w:szCs w:val="18"/>
                      </w:rPr>
                    </w:pPr>
                  </w:p>
                </w:tc>
                <w:tc>
                  <w:tcPr>
                    <w:tcW w:w="572" w:type="pct"/>
                    <w:vAlign w:val="center"/>
                  </w:tcPr>
                  <w:p>
                    <w:pPr>
                      <w:widowControl w:val="0"/>
                      <w:spacing w:line="480" w:lineRule="exact"/>
                      <w:jc w:val="right"/>
                      <w:rPr>
                        <w:rFonts w:ascii="Times New Roman" w:hAnsi="Times New Roman" w:cs="Times New Roman" w:eastAsiaTheme="minorEastAsia"/>
                        <w:color w:val="000000"/>
                        <w:sz w:val="18"/>
                        <w:szCs w:val="18"/>
                      </w:rPr>
                    </w:pPr>
                  </w:p>
                </w:tc>
                <w:tc>
                  <w:tcPr>
                    <w:tcW w:w="813" w:type="pct"/>
                    <w:vAlign w:val="center"/>
                  </w:tcPr>
                  <w:p>
                    <w:pPr>
                      <w:widowControl w:val="0"/>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75,000,000.00</w:t>
                    </w:r>
                  </w:p>
                </w:tc>
                <w:tc>
                  <w:tcPr>
                    <w:tcW w:w="603" w:type="pct"/>
                    <w:vAlign w:val="center"/>
                  </w:tcPr>
                  <w:p>
                    <w:pPr>
                      <w:widowControl w:val="0"/>
                      <w:spacing w:line="480" w:lineRule="exact"/>
                      <w:jc w:val="right"/>
                      <w:rPr>
                        <w:rFonts w:ascii="Times New Roman" w:hAnsi="Times New Roman" w:cs="Times New Roman" w:eastAsiaTheme="minorEastAsia"/>
                        <w:color w:val="000000"/>
                        <w:sz w:val="18"/>
                        <w:szCs w:val="18"/>
                      </w:rPr>
                    </w:pPr>
                    <w:r>
                      <w:rPr>
                        <w:rFonts w:ascii="Times New Roman" w:cs="Times New Roman" w:hAnsiTheme="minorEastAsia" w:eastAsiaTheme="minorEastAsia"/>
                        <w:color w:val="000000"/>
                        <w:sz w:val="18"/>
                        <w:szCs w:val="18"/>
                      </w:rPr>
                      <w:t>　</w:t>
                    </w:r>
                  </w:p>
                </w:tc>
              </w:tr>
            </w:tbl>
            <w:p>
              <w:pPr>
                <w:pStyle w:val="116"/>
                <w:widowControl w:val="0"/>
                <w:tabs>
                  <w:tab w:val="left" w:pos="196"/>
                  <w:tab w:val="left" w:pos="426"/>
                </w:tabs>
                <w:spacing w:line="400" w:lineRule="exact"/>
                <w:ind w:left="0" w:firstLine="420" w:firstLineChars="200"/>
                <w:jc w:val="both"/>
                <w:outlineLvl w:val="9"/>
                <w:rPr>
                  <w:rFonts w:ascii="Times New Roman" w:hAnsi="Times New Roman" w:eastAsiaTheme="minorEastAsia"/>
                  <w:b w:val="0"/>
                </w:rPr>
              </w:pPr>
              <w:r>
                <w:rPr>
                  <w:rFonts w:ascii="Times New Roman" w:hAnsiTheme="minorEastAsia" w:eastAsiaTheme="minorEastAsia"/>
                  <w:b w:val="0"/>
                </w:rPr>
                <w:t>注：（</w:t>
              </w:r>
              <w:r>
                <w:rPr>
                  <w:rFonts w:ascii="Times New Roman" w:hAnsi="Times New Roman" w:eastAsiaTheme="minorEastAsia"/>
                  <w:b w:val="0"/>
                </w:rPr>
                <w:t>1</w:t>
              </w:r>
              <w:r>
                <w:rPr>
                  <w:rFonts w:ascii="Times New Roman" w:hAnsiTheme="minorEastAsia" w:eastAsiaTheme="minorEastAsia"/>
                  <w:b w:val="0"/>
                </w:rPr>
                <w:t>）公司与中国工商银行股份有限公司柳州支行城中支行签订《最高额抵押合同》，自</w:t>
              </w:r>
              <w:r>
                <w:rPr>
                  <w:rFonts w:ascii="Times New Roman" w:hAnsi="Times New Roman" w:eastAsiaTheme="minorEastAsia"/>
                  <w:b w:val="0"/>
                </w:rPr>
                <w:t>2019</w:t>
              </w:r>
              <w:r>
                <w:rPr>
                  <w:rFonts w:ascii="Times New Roman" w:hAnsiTheme="minorEastAsia" w:eastAsiaTheme="minorEastAsia"/>
                  <w:b w:val="0"/>
                </w:rPr>
                <w:t>年</w:t>
              </w:r>
              <w:r>
                <w:rPr>
                  <w:rFonts w:ascii="Times New Roman" w:hAnsi="Times New Roman" w:eastAsiaTheme="minorEastAsia"/>
                  <w:b w:val="0"/>
                </w:rPr>
                <w:t>5</w:t>
              </w:r>
              <w:r>
                <w:rPr>
                  <w:rFonts w:ascii="Times New Roman" w:hAnsiTheme="minorEastAsia" w:eastAsiaTheme="minorEastAsia"/>
                  <w:b w:val="0"/>
                </w:rPr>
                <w:t>月</w:t>
              </w:r>
              <w:r>
                <w:rPr>
                  <w:rFonts w:ascii="Times New Roman" w:hAnsi="Times New Roman" w:eastAsiaTheme="minorEastAsia"/>
                  <w:b w:val="0"/>
                </w:rPr>
                <w:t>20</w:t>
              </w:r>
              <w:r>
                <w:rPr>
                  <w:rFonts w:ascii="Times New Roman" w:hAnsiTheme="minorEastAsia" w:eastAsiaTheme="minorEastAsia"/>
                  <w:b w:val="0"/>
                </w:rPr>
                <w:t>日至</w:t>
              </w:r>
              <w:r>
                <w:rPr>
                  <w:rFonts w:ascii="Times New Roman" w:hAnsi="Times New Roman" w:eastAsiaTheme="minorEastAsia"/>
                  <w:b w:val="0"/>
                </w:rPr>
                <w:t>2024</w:t>
              </w:r>
              <w:r>
                <w:rPr>
                  <w:rFonts w:ascii="Times New Roman" w:hAnsiTheme="minorEastAsia" w:eastAsiaTheme="minorEastAsia"/>
                  <w:b w:val="0"/>
                </w:rPr>
                <w:t>年</w:t>
              </w:r>
              <w:r>
                <w:rPr>
                  <w:rFonts w:ascii="Times New Roman" w:hAnsi="Times New Roman" w:eastAsiaTheme="minorEastAsia"/>
                  <w:b w:val="0"/>
                </w:rPr>
                <w:t>5</w:t>
              </w:r>
              <w:r>
                <w:rPr>
                  <w:rFonts w:ascii="Times New Roman" w:hAnsiTheme="minorEastAsia" w:eastAsiaTheme="minorEastAsia"/>
                  <w:b w:val="0"/>
                </w:rPr>
                <w:t>月</w:t>
              </w:r>
              <w:r>
                <w:rPr>
                  <w:rFonts w:ascii="Times New Roman" w:hAnsi="Times New Roman" w:eastAsiaTheme="minorEastAsia"/>
                  <w:b w:val="0"/>
                </w:rPr>
                <w:t>31</w:t>
              </w:r>
              <w:r>
                <w:rPr>
                  <w:rFonts w:ascii="Times New Roman" w:hAnsiTheme="minorEastAsia" w:eastAsiaTheme="minorEastAsia"/>
                  <w:b w:val="0"/>
                </w:rPr>
                <w:t>日期间，在人民币</w:t>
              </w:r>
              <w:r>
                <w:rPr>
                  <w:rFonts w:ascii="Times New Roman" w:hAnsi="Times New Roman" w:eastAsiaTheme="minorEastAsia"/>
                  <w:b w:val="0"/>
                </w:rPr>
                <w:t>9,800</w:t>
              </w:r>
              <w:r>
                <w:rPr>
                  <w:rFonts w:ascii="Times New Roman" w:hAnsiTheme="minorEastAsia" w:eastAsiaTheme="minorEastAsia"/>
                  <w:b w:val="0"/>
                </w:rPr>
                <w:t>万元的最高本金余额内借款。公司抵押房屋建筑物（柳房权证字第</w:t>
              </w:r>
              <w:r>
                <w:rPr>
                  <w:rFonts w:ascii="Times New Roman" w:hAnsi="Times New Roman" w:eastAsiaTheme="minorEastAsia"/>
                  <w:b w:val="0"/>
                </w:rPr>
                <w:t>D0155913</w:t>
              </w:r>
              <w:r>
                <w:rPr>
                  <w:rFonts w:ascii="Times New Roman" w:hAnsiTheme="minorEastAsia" w:eastAsiaTheme="minorEastAsia"/>
                  <w:b w:val="0"/>
                </w:rPr>
                <w:t>号、柳房权证字第</w:t>
              </w:r>
              <w:r>
                <w:rPr>
                  <w:rFonts w:ascii="Times New Roman" w:hAnsi="Times New Roman" w:eastAsiaTheme="minorEastAsia"/>
                  <w:b w:val="0"/>
                </w:rPr>
                <w:t>D0205393</w:t>
              </w:r>
              <w:r>
                <w:rPr>
                  <w:rFonts w:ascii="Times New Roman" w:hAnsiTheme="minorEastAsia" w:eastAsiaTheme="minorEastAsia"/>
                  <w:b w:val="0"/>
                </w:rPr>
                <w:t>号）的原值为</w:t>
              </w:r>
              <w:r>
                <w:rPr>
                  <w:rFonts w:ascii="Times New Roman" w:hAnsi="Times New Roman" w:eastAsiaTheme="minorEastAsia"/>
                  <w:b w:val="0"/>
                </w:rPr>
                <w:t>90,498,034.69</w:t>
              </w:r>
              <w:r>
                <w:rPr>
                  <w:rFonts w:ascii="Times New Roman" w:hAnsiTheme="minorEastAsia" w:eastAsiaTheme="minorEastAsia"/>
                  <w:b w:val="0"/>
                </w:rPr>
                <w:t>元，账面价值为</w:t>
              </w:r>
              <w:r>
                <w:rPr>
                  <w:rFonts w:ascii="Times New Roman" w:hAnsi="Times New Roman" w:eastAsiaTheme="minorEastAsia"/>
                  <w:b w:val="0"/>
                </w:rPr>
                <w:t>67,121,406.81</w:t>
              </w:r>
              <w:r>
                <w:rPr>
                  <w:rFonts w:ascii="Times New Roman" w:hAnsiTheme="minorEastAsia" w:eastAsiaTheme="minorEastAsia"/>
                  <w:b w:val="0"/>
                </w:rPr>
                <w:t>元；土地使用权（柳国用</w:t>
              </w:r>
              <w:r>
                <w:rPr>
                  <w:rFonts w:ascii="Times New Roman" w:hAnsi="Times New Roman" w:eastAsiaTheme="minorEastAsia"/>
                  <w:b w:val="0"/>
                </w:rPr>
                <w:t>[2005]</w:t>
              </w:r>
              <w:r>
                <w:rPr>
                  <w:rFonts w:ascii="Times New Roman" w:hAnsiTheme="minorEastAsia" w:eastAsiaTheme="minorEastAsia"/>
                  <w:b w:val="0"/>
                </w:rPr>
                <w:t>第</w:t>
              </w:r>
              <w:r>
                <w:rPr>
                  <w:rFonts w:ascii="Times New Roman" w:hAnsi="Times New Roman" w:eastAsiaTheme="minorEastAsia"/>
                  <w:b w:val="0"/>
                </w:rPr>
                <w:t>117099</w:t>
              </w:r>
              <w:r>
                <w:rPr>
                  <w:rFonts w:ascii="Times New Roman" w:hAnsiTheme="minorEastAsia" w:eastAsiaTheme="minorEastAsia"/>
                  <w:b w:val="0"/>
                </w:rPr>
                <w:t>号），账面原值</w:t>
              </w:r>
              <w:r>
                <w:rPr>
                  <w:rFonts w:ascii="Times New Roman" w:hAnsi="Times New Roman" w:eastAsiaTheme="minorEastAsia"/>
                  <w:b w:val="0"/>
                </w:rPr>
                <w:t>31,783,047.60</w:t>
              </w:r>
              <w:r>
                <w:rPr>
                  <w:rFonts w:ascii="Times New Roman" w:hAnsiTheme="minorEastAsia" w:eastAsiaTheme="minorEastAsia"/>
                  <w:b w:val="0"/>
                </w:rPr>
                <w:t>元，账面价值为</w:t>
              </w:r>
              <w:r>
                <w:rPr>
                  <w:rFonts w:ascii="Times New Roman" w:hAnsi="Times New Roman" w:eastAsiaTheme="minorEastAsia"/>
                  <w:b w:val="0"/>
                </w:rPr>
                <w:t>22,968,766.23</w:t>
              </w:r>
              <w:r>
                <w:rPr>
                  <w:rFonts w:ascii="Times New Roman" w:hAnsiTheme="minorEastAsia" w:eastAsiaTheme="minorEastAsia"/>
                  <w:b w:val="0"/>
                </w:rPr>
                <w:t>元。</w:t>
              </w:r>
            </w:p>
            <w:p>
              <w:pPr>
                <w:pStyle w:val="116"/>
                <w:widowControl w:val="0"/>
                <w:tabs>
                  <w:tab w:val="left" w:pos="196"/>
                  <w:tab w:val="left" w:pos="426"/>
                </w:tabs>
                <w:spacing w:line="400" w:lineRule="exact"/>
                <w:ind w:left="0" w:firstLine="420" w:firstLineChars="200"/>
                <w:jc w:val="both"/>
                <w:outlineLvl w:val="9"/>
                <w:rPr>
                  <w:rFonts w:ascii="Times New Roman" w:hAnsi="Times New Roman" w:eastAsiaTheme="minorEastAsia"/>
                  <w:b w:val="0"/>
                </w:rPr>
              </w:pPr>
              <w:r>
                <w:rPr>
                  <w:rFonts w:ascii="Times New Roman" w:hAnsiTheme="minorEastAsia" w:eastAsiaTheme="minorEastAsia"/>
                  <w:b w:val="0"/>
                </w:rPr>
                <w:t>（</w:t>
              </w:r>
              <w:r>
                <w:rPr>
                  <w:rFonts w:ascii="Times New Roman" w:hAnsi="Times New Roman" w:eastAsiaTheme="minorEastAsia"/>
                  <w:b w:val="0"/>
                </w:rPr>
                <w:t>2</w:t>
              </w:r>
              <w:r>
                <w:rPr>
                  <w:rFonts w:ascii="Times New Roman" w:hAnsiTheme="minorEastAsia" w:eastAsiaTheme="minorEastAsia"/>
                  <w:b w:val="0"/>
                </w:rPr>
                <w:t>）公司与中国银行股份有限公司柳州分行八一支行签订《最高额抵押合同》，自</w:t>
              </w:r>
              <w:r>
                <w:rPr>
                  <w:rFonts w:ascii="Times New Roman" w:hAnsi="Times New Roman" w:eastAsiaTheme="minorEastAsia"/>
                  <w:b w:val="0"/>
                </w:rPr>
                <w:t>2019</w:t>
              </w:r>
              <w:r>
                <w:rPr>
                  <w:rFonts w:ascii="Times New Roman" w:hAnsiTheme="minorEastAsia" w:eastAsiaTheme="minorEastAsia"/>
                  <w:b w:val="0"/>
                </w:rPr>
                <w:t>年</w:t>
              </w:r>
              <w:r>
                <w:rPr>
                  <w:rFonts w:ascii="Times New Roman" w:hAnsi="Times New Roman" w:eastAsiaTheme="minorEastAsia"/>
                  <w:b w:val="0"/>
                </w:rPr>
                <w:t>10</w:t>
              </w:r>
              <w:r>
                <w:rPr>
                  <w:rFonts w:ascii="Times New Roman" w:hAnsiTheme="minorEastAsia" w:eastAsiaTheme="minorEastAsia"/>
                  <w:b w:val="0"/>
                </w:rPr>
                <w:t>月</w:t>
              </w:r>
              <w:r>
                <w:rPr>
                  <w:rFonts w:ascii="Times New Roman" w:hAnsi="Times New Roman" w:eastAsiaTheme="minorEastAsia"/>
                  <w:b w:val="0"/>
                </w:rPr>
                <w:t>24</w:t>
              </w:r>
              <w:r>
                <w:rPr>
                  <w:rFonts w:ascii="Times New Roman" w:hAnsiTheme="minorEastAsia" w:eastAsiaTheme="minorEastAsia"/>
                  <w:b w:val="0"/>
                </w:rPr>
                <w:t>日至</w:t>
              </w:r>
              <w:r>
                <w:rPr>
                  <w:rFonts w:ascii="Times New Roman" w:hAnsi="Times New Roman" w:eastAsiaTheme="minorEastAsia"/>
                  <w:b w:val="0"/>
                </w:rPr>
                <w:t>2022</w:t>
              </w:r>
              <w:r>
                <w:rPr>
                  <w:rFonts w:ascii="Times New Roman" w:hAnsiTheme="minorEastAsia" w:eastAsiaTheme="minorEastAsia"/>
                  <w:b w:val="0"/>
                </w:rPr>
                <w:t>年</w:t>
              </w:r>
              <w:r>
                <w:rPr>
                  <w:rFonts w:ascii="Times New Roman" w:hAnsi="Times New Roman" w:eastAsiaTheme="minorEastAsia"/>
                  <w:b w:val="0"/>
                </w:rPr>
                <w:t>10</w:t>
              </w:r>
              <w:r>
                <w:rPr>
                  <w:rFonts w:ascii="Times New Roman" w:hAnsiTheme="minorEastAsia" w:eastAsiaTheme="minorEastAsia"/>
                  <w:b w:val="0"/>
                </w:rPr>
                <w:t>月</w:t>
              </w:r>
              <w:r>
                <w:rPr>
                  <w:rFonts w:ascii="Times New Roman" w:hAnsi="Times New Roman" w:eastAsiaTheme="minorEastAsia"/>
                  <w:b w:val="0"/>
                </w:rPr>
                <w:t>23</w:t>
              </w:r>
              <w:r>
                <w:rPr>
                  <w:rFonts w:ascii="Times New Roman" w:hAnsiTheme="minorEastAsia" w:eastAsiaTheme="minorEastAsia"/>
                  <w:b w:val="0"/>
                </w:rPr>
                <w:t>日期间，在人民币</w:t>
              </w:r>
              <w:r>
                <w:rPr>
                  <w:rFonts w:ascii="Times New Roman" w:hAnsi="Times New Roman" w:eastAsiaTheme="minorEastAsia"/>
                  <w:b w:val="0"/>
                </w:rPr>
                <w:t>5,385</w:t>
              </w:r>
              <w:r>
                <w:rPr>
                  <w:rFonts w:ascii="Times New Roman" w:hAnsiTheme="minorEastAsia" w:eastAsiaTheme="minorEastAsia"/>
                  <w:b w:val="0"/>
                </w:rPr>
                <w:t>万元的最高本金余额内借款。公司抵押房屋建筑物（柳房权证字第</w:t>
              </w:r>
              <w:r>
                <w:rPr>
                  <w:rFonts w:ascii="Times New Roman" w:hAnsi="Times New Roman" w:eastAsiaTheme="minorEastAsia"/>
                  <w:b w:val="0"/>
                </w:rPr>
                <w:t>1028651</w:t>
              </w:r>
              <w:r>
                <w:rPr>
                  <w:rFonts w:ascii="Times New Roman" w:hAnsiTheme="minorEastAsia" w:eastAsiaTheme="minorEastAsia"/>
                  <w:b w:val="0"/>
                </w:rPr>
                <w:t>号、柳房权证字第</w:t>
              </w:r>
              <w:r>
                <w:rPr>
                  <w:rFonts w:ascii="Times New Roman" w:hAnsi="Times New Roman" w:eastAsiaTheme="minorEastAsia"/>
                  <w:b w:val="0"/>
                </w:rPr>
                <w:t>1028654</w:t>
              </w:r>
              <w:r>
                <w:rPr>
                  <w:rFonts w:ascii="Times New Roman" w:hAnsiTheme="minorEastAsia" w:eastAsiaTheme="minorEastAsia"/>
                  <w:b w:val="0"/>
                </w:rPr>
                <w:t>号、柳房权证字第</w:t>
              </w:r>
              <w:r>
                <w:rPr>
                  <w:rFonts w:ascii="Times New Roman" w:hAnsi="Times New Roman" w:eastAsiaTheme="minorEastAsia"/>
                  <w:b w:val="0"/>
                </w:rPr>
                <w:t>1028656</w:t>
              </w:r>
              <w:r>
                <w:rPr>
                  <w:rFonts w:ascii="Times New Roman" w:hAnsiTheme="minorEastAsia" w:eastAsiaTheme="minorEastAsia"/>
                  <w:b w:val="0"/>
                </w:rPr>
                <w:t>号、柳房权证字第</w:t>
              </w:r>
              <w:r>
                <w:rPr>
                  <w:rFonts w:ascii="Times New Roman" w:hAnsi="Times New Roman" w:eastAsiaTheme="minorEastAsia"/>
                  <w:b w:val="0"/>
                </w:rPr>
                <w:t>1044071</w:t>
              </w:r>
              <w:r>
                <w:rPr>
                  <w:rFonts w:ascii="Times New Roman" w:hAnsiTheme="minorEastAsia" w:eastAsiaTheme="minorEastAsia"/>
                  <w:b w:val="0"/>
                </w:rPr>
                <w:t>号、柳房权证字第</w:t>
              </w:r>
              <w:r>
                <w:rPr>
                  <w:rFonts w:ascii="Times New Roman" w:hAnsi="Times New Roman" w:eastAsiaTheme="minorEastAsia"/>
                  <w:b w:val="0"/>
                </w:rPr>
                <w:t>1106801</w:t>
              </w:r>
              <w:r>
                <w:rPr>
                  <w:rFonts w:ascii="Times New Roman" w:hAnsiTheme="minorEastAsia" w:eastAsiaTheme="minorEastAsia"/>
                  <w:b w:val="0"/>
                </w:rPr>
                <w:t>号、柳房权证字第</w:t>
              </w:r>
              <w:r>
                <w:rPr>
                  <w:rFonts w:ascii="Times New Roman" w:hAnsi="Times New Roman" w:eastAsiaTheme="minorEastAsia"/>
                  <w:b w:val="0"/>
                </w:rPr>
                <w:t>A0067718</w:t>
              </w:r>
              <w:r>
                <w:rPr>
                  <w:rFonts w:ascii="Times New Roman" w:hAnsiTheme="minorEastAsia" w:eastAsiaTheme="minorEastAsia"/>
                  <w:b w:val="0"/>
                </w:rPr>
                <w:t>号）的原值为</w:t>
              </w:r>
              <w:r>
                <w:rPr>
                  <w:rFonts w:ascii="Times New Roman" w:hAnsi="Times New Roman" w:eastAsiaTheme="minorEastAsia"/>
                  <w:b w:val="0"/>
                </w:rPr>
                <w:t>63,588,846.54</w:t>
              </w:r>
              <w:r>
                <w:rPr>
                  <w:rFonts w:ascii="Times New Roman" w:hAnsiTheme="minorEastAsia" w:eastAsiaTheme="minorEastAsia"/>
                  <w:b w:val="0"/>
                </w:rPr>
                <w:t>元、账面价值为</w:t>
              </w:r>
              <w:r>
                <w:rPr>
                  <w:rFonts w:ascii="Times New Roman" w:hAnsi="Times New Roman" w:eastAsiaTheme="minorEastAsia"/>
                  <w:b w:val="0"/>
                </w:rPr>
                <w:t>28,285,710.80</w:t>
              </w:r>
              <w:r>
                <w:rPr>
                  <w:rFonts w:ascii="Times New Roman" w:hAnsiTheme="minorEastAsia" w:eastAsiaTheme="minorEastAsia"/>
                  <w:b w:val="0"/>
                </w:rPr>
                <w:t>元；土地使用权（柳国用</w:t>
              </w:r>
              <w:r>
                <w:rPr>
                  <w:rFonts w:ascii="Times New Roman" w:hAnsi="Times New Roman" w:eastAsiaTheme="minorEastAsia"/>
                  <w:b w:val="0"/>
                </w:rPr>
                <w:t>[94</w:t>
              </w:r>
              <w:r>
                <w:rPr>
                  <w:rFonts w:ascii="Times New Roman" w:hAnsiTheme="minorEastAsia" w:eastAsiaTheme="minorEastAsia"/>
                  <w:b w:val="0"/>
                </w:rPr>
                <w:t>公</w:t>
              </w:r>
              <w:r>
                <w:rPr>
                  <w:rFonts w:ascii="Times New Roman" w:hAnsi="Times New Roman" w:eastAsiaTheme="minorEastAsia"/>
                  <w:b w:val="0"/>
                </w:rPr>
                <w:t>]</w:t>
              </w:r>
              <w:r>
                <w:rPr>
                  <w:rFonts w:ascii="Times New Roman" w:hAnsiTheme="minorEastAsia" w:eastAsiaTheme="minorEastAsia"/>
                  <w:b w:val="0"/>
                </w:rPr>
                <w:t>字第</w:t>
              </w:r>
              <w:r>
                <w:rPr>
                  <w:rFonts w:ascii="Times New Roman" w:hAnsi="Times New Roman" w:eastAsiaTheme="minorEastAsia"/>
                  <w:b w:val="0"/>
                </w:rPr>
                <w:t>03472</w:t>
              </w:r>
              <w:r>
                <w:rPr>
                  <w:rFonts w:ascii="Times New Roman" w:hAnsiTheme="minorEastAsia" w:eastAsiaTheme="minorEastAsia"/>
                  <w:b w:val="0"/>
                </w:rPr>
                <w:t>号），该土地使用权价值早期在固定资产核算，无法分拆出其账面价值。</w:t>
              </w:r>
            </w:p>
            <w:p>
              <w:pPr>
                <w:pStyle w:val="116"/>
                <w:widowControl w:val="0"/>
                <w:tabs>
                  <w:tab w:val="left" w:pos="196"/>
                  <w:tab w:val="left" w:pos="426"/>
                </w:tabs>
                <w:spacing w:line="400" w:lineRule="exact"/>
                <w:ind w:left="0" w:firstLine="420" w:firstLineChars="200"/>
                <w:jc w:val="both"/>
                <w:outlineLvl w:val="9"/>
                <w:rPr>
                  <w:rFonts w:ascii="Times New Roman" w:hAnsi="Times New Roman" w:eastAsiaTheme="minorEastAsia"/>
                  <w:b w:val="0"/>
                </w:rPr>
              </w:pPr>
              <w:r>
                <w:rPr>
                  <w:rFonts w:ascii="Times New Roman" w:hAnsiTheme="minorEastAsia" w:eastAsiaTheme="minorEastAsia"/>
                  <w:b w:val="0"/>
                </w:rPr>
                <w:t>（</w:t>
              </w:r>
              <w:r>
                <w:rPr>
                  <w:rFonts w:ascii="Times New Roman" w:hAnsi="Times New Roman" w:eastAsiaTheme="minorEastAsia"/>
                  <w:b w:val="0"/>
                </w:rPr>
                <w:t>3</w:t>
              </w:r>
              <w:r>
                <w:rPr>
                  <w:rFonts w:ascii="Times New Roman" w:hAnsiTheme="minorEastAsia" w:eastAsiaTheme="minorEastAsia"/>
                  <w:b w:val="0"/>
                </w:rPr>
                <w:t>）本公司为子公司广西两面针亿康药业股份有限公司</w:t>
              </w:r>
              <w:r>
                <w:rPr>
                  <w:rFonts w:ascii="Times New Roman" w:hAnsi="Times New Roman" w:eastAsiaTheme="minorEastAsia"/>
                  <w:b w:val="0"/>
                </w:rPr>
                <w:t>2500</w:t>
              </w:r>
              <w:r>
                <w:rPr>
                  <w:rFonts w:ascii="Times New Roman" w:hAnsiTheme="minorEastAsia" w:eastAsiaTheme="minorEastAsia"/>
                  <w:b w:val="0"/>
                </w:rPr>
                <w:t>万元借款向柳州银行股份有限公司提供保证担保。</w:t>
              </w:r>
            </w:p>
            <w:p>
              <w:pPr>
                <w:snapToGrid w:val="0"/>
                <w:spacing w:line="240" w:lineRule="atLeast"/>
                <w:rPr>
                  <w:szCs w:val="21"/>
                </w:rPr>
              </w:pPr>
            </w:p>
          </w:sdtContent>
        </w:sdt>
        <w:p>
          <w:pPr>
            <w:snapToGrid w:val="0"/>
            <w:spacing w:line="240" w:lineRule="atLeast"/>
            <w:rPr>
              <w:color w:val="000000" w:themeColor="text1"/>
              <w:szCs w:val="21"/>
            </w:rPr>
          </w:pPr>
        </w:p>
        <w:p>
          <w:pPr>
            <w:pStyle w:val="5"/>
            <w:rPr>
              <w:color w:val="000000" w:themeColor="text1"/>
              <w:szCs w:val="21"/>
            </w:rPr>
          </w:pPr>
        </w:p>
      </w:sdtContent>
    </w:sdt>
    <w:sdt>
      <w:sdtPr>
        <w:rPr>
          <w:rFonts w:hint="eastAsia" w:ascii="宋体" w:hAnsi="宋体" w:eastAsia="宋体" w:cs="宋体"/>
          <w:b w:val="0"/>
          <w:bCs w:val="0"/>
          <w:kern w:val="0"/>
          <w:szCs w:val="24"/>
        </w:rPr>
        <w:alias w:val="模块:已到期未偿还的短期借款情况"/>
        <w:tag w:val="_SEC_b35d2ea88a124242b0bd88394a858993"/>
        <w:id w:val="865725580"/>
        <w:lock w:val="sdtLocked"/>
        <w:placeholder>
          <w:docPart w:val="GBC22222222222222222222222222222"/>
        </w:placeholder>
      </w:sdtPr>
      <w:sdtEndPr>
        <w:rPr>
          <w:rFonts w:hint="default" w:ascii="宋体" w:hAnsi="宋体" w:eastAsia="宋体" w:cstheme="minorBidi"/>
          <w:b w:val="0"/>
          <w:bCs w:val="0"/>
          <w:color w:val="000000" w:themeColor="text1"/>
          <w:kern w:val="2"/>
          <w:szCs w:val="21"/>
        </w:rPr>
      </w:sdtEndPr>
      <w:sdtContent>
        <w:p>
          <w:pPr>
            <w:pStyle w:val="5"/>
            <w:numPr>
              <w:ilvl w:val="0"/>
              <w:numId w:val="97"/>
            </w:numPr>
            <w:ind w:left="426" w:hanging="426"/>
          </w:pPr>
          <w:r>
            <w:rPr>
              <w:rFonts w:hint="eastAsia"/>
            </w:rPr>
            <w:t>已逾期未偿还的短期借款情况</w:t>
          </w:r>
        </w:p>
        <w:sdt>
          <w:sdtPr>
            <w:alias w:val="是否适用：已逾期未偿还的短期借款情况[双击切换]"/>
            <w:tag w:val="_GBC_b92057263cbf4b81a96df7b9d664c576"/>
            <w:id w:val="86572557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
          <w:r>
            <w:t>其中重要的已逾期未偿还的短期借款情况如下：</w:t>
          </w:r>
        </w:p>
        <w:sdt>
          <w:sdtPr>
            <w:alias w:val="是否适用：其中重要的已逾期未偿还的短期借款情况[双击切换]"/>
            <w:tag w:val="_GBC_7c9437a678604c0382802a3e97f4d126"/>
            <w:id w:val="865725579"/>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865725582"/>
        <w:lock w:val="sdtLocked"/>
        <w:placeholder>
          <w:docPart w:val="GBC22222222222222222222222222222"/>
        </w:placeholder>
      </w:sdtPr>
      <w:sdtEndPr>
        <w:rPr>
          <w:rFonts w:hint="eastAsia"/>
          <w:szCs w:val="21"/>
        </w:rPr>
      </w:sdtEndPr>
      <w:sdtContent>
        <w:p>
          <w:pPr>
            <w:rPr>
              <w:szCs w:val="21"/>
            </w:rPr>
          </w:pPr>
          <w:r>
            <w:rPr>
              <w:rFonts w:hint="eastAsia"/>
              <w:szCs w:val="21"/>
            </w:rPr>
            <w:t>其他说明</w:t>
          </w:r>
        </w:p>
        <w:sdt>
          <w:sdtPr>
            <w:rPr>
              <w:szCs w:val="21"/>
            </w:rPr>
            <w:alias w:val="是否适用：短期借款的说明[双击切换]"/>
            <w:tag w:val="_GBC_c52256f82238457bbb4708bc99652730"/>
            <w:id w:val="86572558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cs="宋体"/>
          <w:b w:val="0"/>
          <w:bCs w:val="0"/>
          <w:kern w:val="0"/>
          <w:szCs w:val="21"/>
        </w:rPr>
        <w:alias w:val="模块:交易性金融负债"/>
        <w:tag w:val="_SEC_76cb151d14e6437cbef4c8c5df1588bd"/>
        <w:id w:val="865725584"/>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79"/>
            </w:numPr>
            <w:tabs>
              <w:tab w:val="left" w:pos="504"/>
            </w:tabs>
            <w:rPr>
              <w:szCs w:val="21"/>
            </w:rPr>
          </w:pPr>
          <w:bookmarkStart w:id="192" w:name="_Hlk533422954"/>
          <w:bookmarkStart w:id="193" w:name="_Hlk533670147"/>
          <w:r>
            <w:rPr>
              <w:rFonts w:hint="eastAsia"/>
              <w:szCs w:val="21"/>
            </w:rPr>
            <w:t>交易性金融负债</w:t>
          </w:r>
        </w:p>
        <w:sdt>
          <w:sdtPr>
            <w:rPr>
              <w:szCs w:val="21"/>
            </w:rPr>
            <w:alias w:val="是否适用：交易性金融负债[双击切换]"/>
            <w:tag w:val="_GBC_c7e98597070f45a4a30160e35e818445"/>
            <w:id w:val="86572558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pPr>
        </w:p>
      </w:sdtContent>
    </w:sdt>
    <w:bookmarkEnd w:id="192"/>
    <w:bookmarkEnd w:id="193"/>
    <w:sdt>
      <w:sdtPr>
        <w:rPr>
          <w:rFonts w:hint="eastAsia" w:ascii="宋体" w:hAnsi="宋体" w:cs="宋体"/>
          <w:b w:val="0"/>
          <w:bCs w:val="0"/>
          <w:kern w:val="0"/>
          <w:szCs w:val="21"/>
        </w:rPr>
        <w:alias w:val="模块:衍生金融负债"/>
        <w:tag w:val="_SEC_55cf02a075b245feae9823bc0e924f07"/>
        <w:id w:val="865725586"/>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79"/>
            </w:numPr>
            <w:tabs>
              <w:tab w:val="left" w:pos="504"/>
            </w:tabs>
            <w:rPr>
              <w:szCs w:val="21"/>
            </w:rPr>
          </w:pPr>
          <w:r>
            <w:rPr>
              <w:rFonts w:hint="eastAsia"/>
              <w:szCs w:val="21"/>
            </w:rPr>
            <w:t>衍生</w:t>
          </w:r>
          <w:r>
            <w:rPr>
              <w:rFonts w:hint="eastAsia"/>
            </w:rPr>
            <w:t>金融</w:t>
          </w:r>
          <w:r>
            <w:rPr>
              <w:rFonts w:hint="eastAsia"/>
              <w:szCs w:val="21"/>
            </w:rPr>
            <w:t>负债</w:t>
          </w:r>
        </w:p>
        <w:p>
          <w:pPr>
            <w:rPr>
              <w:szCs w:val="21"/>
            </w:rPr>
          </w:pPr>
          <w:sdt>
            <w:sdtPr>
              <w:rPr>
                <w:szCs w:val="21"/>
              </w:rPr>
              <w:alias w:val="是否适用：衍生金融负债[双击切换]"/>
              <w:tag w:val="_GBC_9a70de9cca174edeb1bce62f4a47d15c"/>
              <w:id w:val="865725585"/>
              <w:lock w:val="sdtLocked"/>
              <w:placeholder>
                <w:docPart w:val="GBC22222222222222222222222222222"/>
              </w:placeholder>
            </w:sdtPr>
            <w:sdtEndPr>
              <w:rPr>
                <w:szCs w:val="21"/>
              </w:rPr>
            </w:sdtEnd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rPr>
              <w:szCs w:val="21"/>
            </w:rPr>
          </w:pPr>
        </w:p>
        <w:p>
          <w:pPr>
            <w:rPr>
              <w:szCs w:val="21"/>
            </w:rPr>
          </w:pPr>
        </w:p>
      </w:sdtContent>
    </w:sdt>
    <w:p>
      <w:pPr>
        <w:pStyle w:val="4"/>
        <w:numPr>
          <w:ilvl w:val="0"/>
          <w:numId w:val="79"/>
        </w:numPr>
        <w:tabs>
          <w:tab w:val="left" w:pos="504"/>
        </w:tabs>
        <w:rPr>
          <w:szCs w:val="21"/>
        </w:rPr>
      </w:pPr>
      <w:r>
        <w:rPr>
          <w:rFonts w:hint="eastAsia"/>
        </w:rPr>
        <w:t>应付票据</w:t>
      </w:r>
    </w:p>
    <w:p>
      <w:pPr>
        <w:pStyle w:val="5"/>
        <w:numPr>
          <w:ilvl w:val="0"/>
          <w:numId w:val="98"/>
        </w:numPr>
        <w:ind w:left="426" w:hanging="426"/>
      </w:pPr>
      <w:r>
        <w:rPr>
          <w:rFonts w:hint="eastAsia"/>
        </w:rPr>
        <w:t>应付票据列示</w:t>
      </w:r>
    </w:p>
    <w:sdt>
      <w:sdtPr>
        <w:alias w:val="是否适用：应付票据[双击切换]"/>
        <w:tag w:val="_GBC_c0116f9cd6f34dcfa483a1f112dac85a"/>
        <w:id w:val="865725587"/>
        <w:lock w:val="sdtConten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应付票据"/>
        <w:tag w:val="_SEC_42d38d00af52480383edb08e04ca3f9e"/>
        <w:id w:val="865725599"/>
        <w:lock w:val="sdtLocked"/>
        <w:placeholder>
          <w:docPart w:val="GBC22222222222222222222222222222"/>
        </w:placeholder>
      </w:sdtPr>
      <w:sdtEndPr>
        <w:rPr>
          <w:rFonts w:hint="default" w:cstheme="minorBidi"/>
          <w:b w:val="0"/>
          <w:bCs w:val="0"/>
          <w:szCs w:val="21"/>
        </w:rPr>
      </w:sdtEndPr>
      <w:sdtContent>
        <w:p>
          <w:pPr>
            <w:jc w:val="right"/>
          </w:pPr>
          <w:bookmarkStart w:id="194" w:name="_Hlk24103817"/>
          <w:r>
            <w:rPr>
              <w:rFonts w:hint="eastAsia"/>
            </w:rPr>
            <w:t>单位：</w:t>
          </w:r>
          <w:sdt>
            <w:sdtPr>
              <w:rPr>
                <w:rFonts w:hint="eastAsia"/>
              </w:rPr>
              <w:alias w:val="单位：财务附注：应付票据"/>
              <w:tag w:val="_GBC_15d55f1cad24473fb8cfaa98468213e2"/>
              <w:id w:val="8657255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865725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351"/>
            <w:gridCol w:w="3397"/>
            <w:gridCol w:w="33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sdt>
              <w:sdtPr>
                <w:rPr>
                  <w:rFonts w:ascii="Times New Roman" w:hAnsi="Times New Roman" w:cs="Times New Roman"/>
                </w:rPr>
                <w:tag w:val="_PLD_73e624e5fe424f71bbf918594e2a1c9a"/>
                <w:id w:val="865725590"/>
                <w:lock w:val="sdtLocked"/>
              </w:sdtPr>
              <w:sdtEndPr>
                <w:rPr>
                  <w:rFonts w:ascii="Times New Roman" w:hAnsi="Times New Roman" w:cs="Times New Roman"/>
                </w:rPr>
              </w:sdtEndPr>
              <w:sdtContent>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种类</w:t>
                    </w:r>
                  </w:p>
                </w:tc>
              </w:sdtContent>
            </w:sdt>
            <w:sdt>
              <w:sdtPr>
                <w:rPr>
                  <w:rFonts w:ascii="Times New Roman" w:hAnsi="Times New Roman" w:cs="Times New Roman"/>
                </w:rPr>
                <w:tag w:val="_PLD_cca40679bdc548d8af0315d52fd2660e"/>
                <w:id w:val="865725591"/>
                <w:lock w:val="sdtLocked"/>
              </w:sdtPr>
              <w:sdtEndPr>
                <w:rPr>
                  <w:rFonts w:ascii="Times New Roman" w:hAnsi="Times New Roman" w:cs="Times New Roman"/>
                </w:rPr>
              </w:sdtEndPr>
              <w:sdtContent>
                <w:tc>
                  <w:tcPr>
                    <w:tcW w:w="18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6429209ce46840dba67a32ae31e71913"/>
                <w:id w:val="865725592"/>
                <w:lock w:val="sdtLocked"/>
              </w:sdtPr>
              <w:sdtEndPr>
                <w:rPr>
                  <w:rFonts w:ascii="Times New Roman" w:hAnsi="Times New Roman" w:cs="Times New Roman"/>
                </w:rPr>
              </w:sdtEndPr>
              <w:sdtContent>
                <w:tc>
                  <w:tcPr>
                    <w:tcW w:w="182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sdt>
              <w:sdtPr>
                <w:rPr>
                  <w:rFonts w:ascii="Times New Roman" w:hAnsi="Times New Roman" w:cs="Times New Roman"/>
                </w:rPr>
                <w:tag w:val="_PLD_8355a82a67d34753a3fc963fb2f86238"/>
                <w:id w:val="865725593"/>
                <w:lock w:val="sdtLocked"/>
              </w:sdtPr>
              <w:sdtEndPr>
                <w:rPr>
                  <w:rFonts w:ascii="Times New Roman" w:hAnsi="Times New Roman" w:cs="Times New Roman"/>
                </w:rPr>
              </w:sdtEndPr>
              <w:sdtContent>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商业承兑汇票</w:t>
                    </w:r>
                  </w:p>
                </w:tc>
              </w:sdtContent>
            </w:sdt>
            <w:tc>
              <w:tcPr>
                <w:tcW w:w="1877" w:type="pct"/>
                <w:tcBorders>
                  <w:top w:val="single" w:color="auto" w:sz="6" w:space="0"/>
                  <w:left w:val="single" w:color="auto" w:sz="6" w:space="0"/>
                  <w:bottom w:val="single" w:color="auto" w:sz="6" w:space="0"/>
                  <w:right w:val="single" w:color="auto" w:sz="6" w:space="0"/>
                </w:tcBorders>
                <w:shd w:val="clear" w:color="auto" w:fill="auto"/>
              </w:tcPr>
              <w:p>
                <w:pPr>
                  <w:ind w:right="13"/>
                  <w:jc w:val="right"/>
                  <w:rPr>
                    <w:rFonts w:ascii="Times New Roman" w:hAnsi="Times New Roman" w:cs="Times New Roman"/>
                    <w:szCs w:val="21"/>
                  </w:rPr>
                </w:pPr>
              </w:p>
            </w:tc>
            <w:tc>
              <w:tcPr>
                <w:tcW w:w="1824"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sdt>
              <w:sdtPr>
                <w:rPr>
                  <w:rFonts w:ascii="Times New Roman" w:hAnsi="Times New Roman" w:cs="Times New Roman"/>
                </w:rPr>
                <w:tag w:val="_PLD_f377c5f3aa1b4c669a448f31632245aa"/>
                <w:id w:val="865725594"/>
                <w:lock w:val="sdtLocked"/>
              </w:sdtPr>
              <w:sdtEndPr>
                <w:rPr>
                  <w:rFonts w:ascii="Times New Roman" w:hAnsi="Times New Roman" w:cs="Times New Roman"/>
                </w:rPr>
              </w:sdtEndPr>
              <w:sdtContent>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银行承兑汇票</w:t>
                    </w:r>
                  </w:p>
                </w:tc>
              </w:sdtContent>
            </w:sdt>
            <w:tc>
              <w:tcPr>
                <w:tcW w:w="1877"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5,376,546.43</w:t>
                </w:r>
              </w:p>
            </w:tc>
            <w:tc>
              <w:tcPr>
                <w:tcW w:w="1824"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16,976,065.26</w:t>
                </w:r>
              </w:p>
            </w:tc>
          </w:tr>
          <w:sdt>
            <w:sdtPr>
              <w:rPr>
                <w:rFonts w:ascii="Times New Roman" w:hAnsi="Times New Roman" w:cs="Times New Roman"/>
              </w:rPr>
              <w:alias w:val="应付票据明细"/>
              <w:tag w:val="_TUP_2617b8494e134e94b74596015ded9389"/>
              <w:id w:val="865725595"/>
              <w:lock w:val="sdtLocked"/>
            </w:sdtPr>
            <w:sdtEndPr>
              <w:rPr>
                <w:rFonts w:ascii="Times New Roman" w:hAnsi="Times New Roman" w:cs="Times New Roman"/>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rPr>
                        <w:rFonts w:ascii="Times New Roman" w:hAnsi="Times New Roman" w:cs="Times New Roman"/>
                      </w:rPr>
                    </w:pPr>
                  </w:p>
                </w:tc>
                <w:tc>
                  <w:tcPr>
                    <w:tcW w:w="1877" w:type="pct"/>
                    <w:tcBorders>
                      <w:top w:val="single" w:color="auto" w:sz="6" w:space="0"/>
                      <w:left w:val="single" w:color="auto" w:sz="6" w:space="0"/>
                      <w:bottom w:val="single" w:color="auto" w:sz="6" w:space="0"/>
                      <w:right w:val="single" w:color="auto" w:sz="6" w:space="0"/>
                    </w:tcBorders>
                    <w:shd w:val="clear" w:color="auto" w:fill="auto"/>
                    <w:vAlign w:val="center"/>
                  </w:tcPr>
                  <w:p>
                    <w:pPr>
                      <w:ind w:right="13"/>
                      <w:jc w:val="right"/>
                      <w:rPr>
                        <w:rFonts w:ascii="Times New Roman" w:hAnsi="Times New Roman" w:cs="Times New Roman"/>
                        <w:szCs w:val="21"/>
                      </w:rPr>
                    </w:pPr>
                  </w:p>
                </w:tc>
                <w:tc>
                  <w:tcPr>
                    <w:tcW w:w="1824"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Times New Roman" w:hAnsi="Times New Roman" w:cs="Times New Roman"/>
                        <w:szCs w:val="21"/>
                      </w:rPr>
                    </w:pPr>
                  </w:p>
                </w:tc>
              </w:tr>
            </w:sdtContent>
          </w:sdt>
          <w:sdt>
            <w:sdtPr>
              <w:rPr>
                <w:rFonts w:ascii="Times New Roman" w:hAnsi="Times New Roman" w:cs="Times New Roman"/>
              </w:rPr>
              <w:alias w:val="应付票据明细"/>
              <w:tag w:val="_TUP_2617b8494e134e94b74596015ded9389"/>
              <w:id w:val="865725596"/>
              <w:lock w:val="sdtLocked"/>
            </w:sdtPr>
            <w:sdtEndPr>
              <w:rPr>
                <w:rFonts w:ascii="Times New Roman" w:hAnsi="Times New Roman" w:cs="Times New Roman"/>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rPr>
                        <w:rFonts w:ascii="Times New Roman" w:hAnsi="Times New Roman" w:cs="Times New Roman"/>
                      </w:rPr>
                    </w:pPr>
                  </w:p>
                </w:tc>
                <w:tc>
                  <w:tcPr>
                    <w:tcW w:w="1877" w:type="pct"/>
                    <w:tcBorders>
                      <w:top w:val="single" w:color="auto" w:sz="6" w:space="0"/>
                      <w:left w:val="single" w:color="auto" w:sz="6" w:space="0"/>
                      <w:bottom w:val="single" w:color="auto" w:sz="6" w:space="0"/>
                      <w:right w:val="single" w:color="auto" w:sz="6" w:space="0"/>
                    </w:tcBorders>
                    <w:shd w:val="clear" w:color="auto" w:fill="auto"/>
                    <w:vAlign w:val="center"/>
                  </w:tcPr>
                  <w:p>
                    <w:pPr>
                      <w:ind w:right="13"/>
                      <w:jc w:val="right"/>
                      <w:rPr>
                        <w:rFonts w:ascii="Times New Roman" w:hAnsi="Times New Roman" w:cs="Times New Roman"/>
                        <w:szCs w:val="21"/>
                      </w:rPr>
                    </w:pPr>
                  </w:p>
                </w:tc>
                <w:tc>
                  <w:tcPr>
                    <w:tcW w:w="1824"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Times New Roman" w:hAnsi="Times New Roman" w:cs="Times New Roman"/>
                        <w:szCs w:val="21"/>
                      </w:rPr>
                    </w:pP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sdt>
              <w:sdtPr>
                <w:rPr>
                  <w:rFonts w:ascii="Times New Roman" w:hAnsi="Times New Roman" w:cs="Times New Roman"/>
                </w:rPr>
                <w:tag w:val="_PLD_d9ecb67ca389423d99aef124c2e3d0b9"/>
                <w:id w:val="865725597"/>
                <w:lock w:val="sdtLocked"/>
              </w:sdtPr>
              <w:sdtEndPr>
                <w:rPr>
                  <w:rFonts w:ascii="Times New Roman" w:hAnsi="Times New Roman" w:cs="Times New Roman"/>
                </w:rPr>
              </w:sdtEndPr>
              <w:sdtContent>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合计</w:t>
                    </w:r>
                  </w:p>
                </w:tc>
              </w:sdtContent>
            </w:sdt>
            <w:tc>
              <w:tcPr>
                <w:tcW w:w="187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5,376,546.43</w:t>
                </w:r>
              </w:p>
            </w:tc>
            <w:tc>
              <w:tcPr>
                <w:tcW w:w="1824"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16,976,065.26</w:t>
                </w:r>
              </w:p>
            </w:tc>
          </w:tr>
          <w:bookmarkEnd w:id="194"/>
        </w:tbl>
      </w:sdtContent>
    </w:sdt>
    <w:p>
      <w:pPr>
        <w:pStyle w:val="4"/>
        <w:numPr>
          <w:ilvl w:val="0"/>
          <w:numId w:val="79"/>
        </w:numPr>
        <w:tabs>
          <w:tab w:val="left" w:pos="504"/>
        </w:tabs>
      </w:pPr>
      <w:r>
        <w:rPr>
          <w:rFonts w:hint="eastAsia"/>
        </w:rPr>
        <w:t>应付账款</w:t>
      </w:r>
    </w:p>
    <w:sdt>
      <w:sdtPr>
        <w:rPr>
          <w:rFonts w:hint="eastAsia" w:ascii="宋体" w:hAnsi="宋体" w:eastAsia="宋体" w:cs="宋体"/>
          <w:b w:val="0"/>
          <w:bCs w:val="0"/>
          <w:kern w:val="0"/>
          <w:szCs w:val="24"/>
        </w:rPr>
        <w:alias w:val="模块:应付账款情况"/>
        <w:tag w:val="_SEC_6983b90893c6404eb7c7286ec627bbd3"/>
        <w:id w:val="865725609"/>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99"/>
            </w:numPr>
            <w:ind w:left="426" w:hanging="426"/>
          </w:pPr>
          <w:r>
            <w:rPr>
              <w:rFonts w:hint="eastAsia"/>
            </w:rPr>
            <w:t>应付账款列示</w:t>
          </w:r>
        </w:p>
        <w:sdt>
          <w:sdtPr>
            <w:alias w:val="是否适用：应付账款列示[双击切换]"/>
            <w:tag w:val="_GBC_dfb190a9e762454c9f89eb6be64b6eae"/>
            <w:id w:val="86572560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付账款情况"/>
              <w:tag w:val="_GBC_c14fe17937b74139aa7e100941fb21e9"/>
              <w:id w:val="8657256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8657256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67"/>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270d78e97cf4a1cb18154c5c5dafe58"/>
                <w:id w:val="865725603"/>
                <w:lock w:val="sdtLocked"/>
              </w:sdtPr>
              <w:sdtEndPr>
                <w:rPr>
                  <w:rFonts w:ascii="Times New Roman" w:hAnsi="Times New Roman" w:cs="Times New Roman"/>
                </w:rPr>
              </w:sdtEndPr>
              <w:sdtContent>
                <w:tc>
                  <w:tcPr>
                    <w:tcW w:w="1570" w:type="pct"/>
                    <w:shd w:val="clear" w:color="auto" w:fill="auto"/>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56127cd5754c44aaacae0a1320139a7a"/>
                <w:id w:val="865725604"/>
                <w:lock w:val="sdtLocked"/>
              </w:sdtPr>
              <w:sdtEndPr>
                <w:rPr>
                  <w:rFonts w:ascii="Times New Roman" w:hAnsi="Times New Roman" w:cs="Times New Roman"/>
                </w:rPr>
              </w:sdtEndPr>
              <w:sdtContent>
                <w:tc>
                  <w:tcPr>
                    <w:tcW w:w="1584" w:type="pct"/>
                    <w:shd w:val="clear" w:color="auto" w:fill="auto"/>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27c6d2ca479446539fe00ab23ee1dc13"/>
                <w:id w:val="865725605"/>
                <w:lock w:val="sdtLocked"/>
              </w:sdtPr>
              <w:sdtEndPr>
                <w:rPr>
                  <w:rFonts w:ascii="Times New Roman" w:hAnsi="Times New Roman" w:cs="Times New Roman"/>
                </w:rPr>
              </w:sdtEndPr>
              <w:sdtContent>
                <w:tc>
                  <w:tcPr>
                    <w:tcW w:w="1846" w:type="pct"/>
                    <w:shd w:val="clear" w:color="auto" w:fill="auto"/>
                  </w:tcPr>
                  <w:p>
                    <w:pPr>
                      <w:jc w:val="center"/>
                      <w:rPr>
                        <w:rFonts w:ascii="Times New Roman" w:hAnsi="Times New Roman" w:cs="Times New Roman"/>
                        <w:szCs w:val="21"/>
                      </w:rPr>
                    </w:pPr>
                    <w:r>
                      <w:rPr>
                        <w:rFonts w:ascii="Times New Roman" w:cs="Times New Roman"/>
                        <w:szCs w:val="21"/>
                      </w:rPr>
                      <w:t>期初余额</w:t>
                    </w:r>
                  </w:p>
                </w:tc>
              </w:sdtContent>
            </w:sdt>
          </w:tr>
          <w:sdt>
            <w:sdtPr>
              <w:rPr>
                <w:rFonts w:ascii="Times New Roman" w:hAnsi="Times New Roman" w:cs="Times New Roman"/>
                <w:szCs w:val="21"/>
              </w:rPr>
              <w:alias w:val="应付账款情况明细"/>
              <w:tag w:val="_TUP_f092ddb351f143359436bc8808c3f1ee"/>
              <w:id w:val="86572560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rFonts w:ascii="Times New Roman" w:hAnsi="Times New Roman" w:cs="Times New Roman"/>
                        <w:szCs w:val="21"/>
                      </w:rPr>
                    </w:pPr>
                    <w:r>
                      <w:rPr>
                        <w:rFonts w:ascii="Times New Roman" w:hAnsi="Times New Roman" w:cs="Times New Roman"/>
                      </w:rPr>
                      <w:t>1</w:t>
                    </w:r>
                    <w:r>
                      <w:rPr>
                        <w:rFonts w:ascii="Times New Roman" w:cs="Times New Roman"/>
                      </w:rPr>
                      <w:t>年以内（含</w:t>
                    </w:r>
                    <w:r>
                      <w:rPr>
                        <w:rFonts w:ascii="Times New Roman" w:hAnsi="Times New Roman" w:cs="Times New Roman"/>
                      </w:rPr>
                      <w:t>1</w:t>
                    </w:r>
                    <w:r>
                      <w:rPr>
                        <w:rFonts w:ascii="Times New Roman" w:cs="Times New Roman"/>
                      </w:rPr>
                      <w:t>年）</w:t>
                    </w:r>
                  </w:p>
                </w:tc>
                <w:tc>
                  <w:tcPr>
                    <w:tcW w:w="1584" w:type="pct"/>
                    <w:shd w:val="clear" w:color="auto" w:fill="auto"/>
                    <w:vAlign w:val="center"/>
                  </w:tcPr>
                  <w:p>
                    <w:pPr>
                      <w:jc w:val="right"/>
                      <w:rPr>
                        <w:rFonts w:ascii="Times New Roman" w:hAnsi="Times New Roman" w:cs="Times New Roman"/>
                        <w:szCs w:val="21"/>
                      </w:rPr>
                    </w:pPr>
                    <w:r>
                      <w:rPr>
                        <w:rFonts w:ascii="Times New Roman" w:hAnsi="Times New Roman" w:cs="Times New Roman"/>
                      </w:rPr>
                      <w:t>128,653,416.59</w:t>
                    </w:r>
                  </w:p>
                </w:tc>
                <w:tc>
                  <w:tcPr>
                    <w:tcW w:w="1846" w:type="pct"/>
                    <w:shd w:val="clear" w:color="auto" w:fill="auto"/>
                    <w:vAlign w:val="center"/>
                  </w:tcPr>
                  <w:p>
                    <w:pPr>
                      <w:jc w:val="right"/>
                      <w:rPr>
                        <w:rFonts w:ascii="Times New Roman" w:hAnsi="Times New Roman" w:cs="Times New Roman"/>
                        <w:szCs w:val="21"/>
                      </w:rPr>
                    </w:pPr>
                    <w:r>
                      <w:rPr>
                        <w:rFonts w:ascii="Times New Roman" w:hAnsi="Times New Roman" w:cs="Times New Roman"/>
                      </w:rPr>
                      <w:t>127,766,183.41</w:t>
                    </w:r>
                  </w:p>
                </w:tc>
              </w:tr>
            </w:sdtContent>
          </w:sdt>
          <w:sdt>
            <w:sdtPr>
              <w:rPr>
                <w:rFonts w:ascii="Times New Roman" w:hAnsi="Times New Roman" w:cs="Times New Roman"/>
                <w:szCs w:val="21"/>
              </w:rPr>
              <w:alias w:val="应付账款情况明细"/>
              <w:tag w:val="_TUP_f092ddb351f143359436bc8808c3f1ee"/>
              <w:id w:val="86572560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rFonts w:ascii="Times New Roman" w:hAnsi="Times New Roman" w:cs="Times New Roman"/>
                        <w:szCs w:val="21"/>
                      </w:rPr>
                    </w:pPr>
                    <w:r>
                      <w:rPr>
                        <w:rFonts w:ascii="Times New Roman" w:hAnsi="Times New Roman" w:cs="Times New Roman"/>
                      </w:rPr>
                      <w:t>1</w:t>
                    </w:r>
                    <w:r>
                      <w:rPr>
                        <w:rFonts w:ascii="Times New Roman" w:cs="Times New Roman"/>
                      </w:rPr>
                      <w:t>年以上</w:t>
                    </w:r>
                  </w:p>
                </w:tc>
                <w:tc>
                  <w:tcPr>
                    <w:tcW w:w="1584" w:type="pct"/>
                    <w:shd w:val="clear" w:color="auto" w:fill="auto"/>
                    <w:vAlign w:val="center"/>
                  </w:tcPr>
                  <w:p>
                    <w:pPr>
                      <w:jc w:val="right"/>
                      <w:rPr>
                        <w:rFonts w:ascii="Times New Roman" w:hAnsi="Times New Roman" w:cs="Times New Roman"/>
                        <w:szCs w:val="21"/>
                      </w:rPr>
                    </w:pPr>
                    <w:r>
                      <w:rPr>
                        <w:rFonts w:ascii="Times New Roman" w:hAnsi="Times New Roman" w:cs="Times New Roman"/>
                      </w:rPr>
                      <w:t>17,465,300.07</w:t>
                    </w:r>
                  </w:p>
                </w:tc>
                <w:tc>
                  <w:tcPr>
                    <w:tcW w:w="1846" w:type="pct"/>
                    <w:shd w:val="clear" w:color="auto" w:fill="auto"/>
                    <w:vAlign w:val="center"/>
                  </w:tcPr>
                  <w:p>
                    <w:pPr>
                      <w:jc w:val="right"/>
                      <w:rPr>
                        <w:rFonts w:ascii="Times New Roman" w:hAnsi="Times New Roman" w:cs="Times New Roman"/>
                        <w:szCs w:val="21"/>
                      </w:rPr>
                    </w:pPr>
                    <w:r>
                      <w:rPr>
                        <w:rFonts w:ascii="Times New Roman" w:hAnsi="Times New Roman" w:cs="Times New Roman"/>
                      </w:rPr>
                      <w:t>15,074,503.86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c494311a3a446fa9ed8956bb8a7f277"/>
                <w:id w:val="865725608"/>
                <w:lock w:val="sdtLocked"/>
              </w:sdtPr>
              <w:sdtEndPr>
                <w:rPr>
                  <w:rFonts w:ascii="Times New Roman" w:hAnsi="Times New Roman" w:cs="Times New Roman"/>
                </w:rPr>
              </w:sdtEndPr>
              <w:sdtContent>
                <w:tc>
                  <w:tcPr>
                    <w:tcW w:w="1570" w:type="pct"/>
                    <w:shd w:val="clear" w:color="auto" w:fill="auto"/>
                  </w:tcPr>
                  <w:p>
                    <w:pPr>
                      <w:jc w:val="center"/>
                      <w:rPr>
                        <w:rFonts w:ascii="Times New Roman" w:hAnsi="Times New Roman" w:cs="Times New Roman"/>
                        <w:color w:val="000000" w:themeColor="text1"/>
                        <w:szCs w:val="21"/>
                      </w:rPr>
                    </w:pPr>
                    <w:r>
                      <w:rPr>
                        <w:rFonts w:ascii="Times New Roman" w:cs="Times New Roman"/>
                        <w:color w:val="000000" w:themeColor="text1"/>
                        <w:szCs w:val="21"/>
                      </w:rPr>
                      <w:t>合计</w:t>
                    </w:r>
                  </w:p>
                </w:tc>
              </w:sdtContent>
            </w:sdt>
            <w:tc>
              <w:tcPr>
                <w:tcW w:w="1584" w:type="pct"/>
                <w:shd w:val="clear" w:color="auto" w:fill="auto"/>
                <w:vAlign w:val="center"/>
              </w:tcPr>
              <w:p>
                <w:pPr>
                  <w:jc w:val="right"/>
                  <w:rPr>
                    <w:rFonts w:ascii="Times New Roman" w:hAnsi="Times New Roman" w:cs="Times New Roman"/>
                    <w:sz w:val="24"/>
                  </w:rPr>
                </w:pPr>
                <w:r>
                  <w:rPr>
                    <w:rFonts w:ascii="Times New Roman" w:hAnsi="Times New Roman" w:cs="Times New Roman"/>
                  </w:rPr>
                  <w:t>146,118,716.66</w:t>
                </w:r>
              </w:p>
            </w:tc>
            <w:tc>
              <w:tcPr>
                <w:tcW w:w="1846" w:type="pct"/>
                <w:shd w:val="clear" w:color="auto" w:fill="auto"/>
                <w:vAlign w:val="center"/>
              </w:tcPr>
              <w:p>
                <w:pPr>
                  <w:jc w:val="right"/>
                  <w:rPr>
                    <w:rFonts w:ascii="Times New Roman" w:hAnsi="Times New Roman" w:cs="Times New Roman"/>
                    <w:sz w:val="24"/>
                  </w:rPr>
                </w:pPr>
                <w:r>
                  <w:rPr>
                    <w:rFonts w:ascii="Times New Roman" w:hAnsi="Times New Roman" w:cs="Times New Roman"/>
                  </w:rPr>
                  <w:t>142,840,687.27</w:t>
                </w:r>
              </w:p>
            </w:tc>
          </w:tr>
        </w:tbl>
        <w:p/>
        <w:p/>
      </w:sdtContent>
    </w:sdt>
    <w:sdt>
      <w:sdtPr>
        <w:rPr>
          <w:rFonts w:hint="eastAsia" w:eastAsia="宋体" w:asciiTheme="minorHAnsi" w:hAnsiTheme="minorHAnsi" w:cstheme="minorBidi"/>
          <w:b w:val="0"/>
          <w:bCs w:val="0"/>
          <w:kern w:val="0"/>
          <w:szCs w:val="22"/>
        </w:rPr>
        <w:alias w:val="模块:重要的账龄超过1年的应付账款单位：元币种：人民币项目期末..."/>
        <w:tag w:val="_SEC_f6472fc9df314a45ae6f3743495113f0"/>
        <w:id w:val="865725619"/>
        <w:lock w:val="sdtLocked"/>
        <w:placeholder>
          <w:docPart w:val="GBC22222222222222222222222222222"/>
        </w:placeholder>
      </w:sdtPr>
      <w:sdtEndPr>
        <w:rPr>
          <w:rFonts w:hint="eastAsia" w:eastAsia="宋体" w:asciiTheme="minorHAnsi" w:hAnsiTheme="minorHAnsi" w:cstheme="minorBidi"/>
          <w:b w:val="0"/>
          <w:bCs w:val="0"/>
          <w:kern w:val="0"/>
          <w:szCs w:val="22"/>
        </w:rPr>
      </w:sdtEndPr>
      <w:sdtContent>
        <w:p>
          <w:pPr>
            <w:pStyle w:val="5"/>
            <w:numPr>
              <w:ilvl w:val="0"/>
              <w:numId w:val="99"/>
            </w:numPr>
            <w:ind w:left="426" w:hanging="426"/>
          </w:pPr>
          <w:r>
            <w:rPr>
              <w:rFonts w:hint="eastAsia"/>
            </w:rPr>
            <w:t>账龄超过</w:t>
          </w:r>
          <w:r>
            <w:t>1年的重要应付账款</w:t>
          </w:r>
        </w:p>
        <w:sdt>
          <w:sdtPr>
            <w:alias w:val="是否适用：账龄超过1年的重要应付账款[双击切换]"/>
            <w:tag w:val="_GBC_0eff470980a54dc3a4ea5996ab7721ce"/>
            <w:id w:val="86572561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账龄超过1年的应付账款"/>
              <w:tag w:val="_GBC_400afb873eea4650b57e850422f00616"/>
              <w:id w:val="8657256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8657256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2827"/>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fdad43e863d14167af7eeaf4873d2a72"/>
                <w:id w:val="865725613"/>
                <w:lock w:val="sdtLocked"/>
              </w:sdtPr>
              <w:sdtEndPr>
                <w:rPr>
                  <w:rFonts w:ascii="Times New Roman" w:hAnsi="Times New Roman" w:cs="Times New Roman"/>
                </w:rPr>
              </w:sdtEndPr>
              <w:sdtContent>
                <w:tc>
                  <w:tcPr>
                    <w:tcW w:w="1814" w:type="pc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cd3e87440a294e4685cb5994a6fce19b"/>
                <w:id w:val="865725614"/>
                <w:lock w:val="sdtLocked"/>
              </w:sdtPr>
              <w:sdtEndPr>
                <w:rPr>
                  <w:rFonts w:ascii="Times New Roman" w:hAnsi="Times New Roman" w:cs="Times New Roman"/>
                </w:rPr>
              </w:sdtEndPr>
              <w:sdtContent>
                <w:tc>
                  <w:tcPr>
                    <w:tcW w:w="1562" w:type="pct"/>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3948dc08dbd84dbd875d1bd042c28c03"/>
                <w:id w:val="865725615"/>
                <w:lock w:val="sdtLocked"/>
              </w:sdtPr>
              <w:sdtEndPr>
                <w:rPr>
                  <w:rFonts w:ascii="Times New Roman" w:hAnsi="Times New Roman" w:cs="Times New Roman"/>
                </w:rPr>
              </w:sdtEndPr>
              <w:sdtContent>
                <w:tc>
                  <w:tcPr>
                    <w:tcW w:w="1624" w:type="pct"/>
                    <w:shd w:val="clear" w:color="auto" w:fill="auto"/>
                    <w:vAlign w:val="center"/>
                  </w:tcPr>
                  <w:p>
                    <w:pPr>
                      <w:jc w:val="center"/>
                      <w:rPr>
                        <w:rFonts w:ascii="Times New Roman" w:hAnsi="Times New Roman" w:cs="Times New Roman"/>
                        <w:szCs w:val="21"/>
                      </w:rPr>
                    </w:pPr>
                    <w:r>
                      <w:rPr>
                        <w:rFonts w:ascii="Times New Roman" w:cs="Times New Roman"/>
                        <w:szCs w:val="21"/>
                      </w:rPr>
                      <w:t>未偿还或结转的原因</w:t>
                    </w:r>
                  </w:p>
                </w:tc>
              </w:sdtContent>
            </w:sdt>
          </w:tr>
          <w:sdt>
            <w:sdtPr>
              <w:rPr>
                <w:rFonts w:ascii="Times New Roman" w:hAnsi="Times New Roman" w:cs="Times New Roman"/>
                <w:szCs w:val="21"/>
              </w:rPr>
              <w:alias w:val="重要的账龄超过1年的应付账款明细"/>
              <w:tag w:val="_TUP_eb35159b40154d30921830d673015213"/>
              <w:id w:val="86572561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vAlign w:val="center"/>
                  </w:tcPr>
                  <w:p>
                    <w:pPr>
                      <w:jc w:val="both"/>
                      <w:rPr>
                        <w:rFonts w:ascii="Times New Roman" w:hAnsi="Times New Roman" w:cs="Times New Roman"/>
                        <w:szCs w:val="21"/>
                      </w:rPr>
                    </w:pPr>
                    <w:r>
                      <w:rPr>
                        <w:rFonts w:ascii="Times New Roman" w:cs="Times New Roman"/>
                      </w:rPr>
                      <w:t>汕头方大印刷包装科技有限公司</w:t>
                    </w:r>
                  </w:p>
                </w:tc>
                <w:tc>
                  <w:tcPr>
                    <w:tcW w:w="1562" w:type="pct"/>
                    <w:shd w:val="clear" w:color="auto" w:fill="auto"/>
                    <w:vAlign w:val="center"/>
                  </w:tcPr>
                  <w:p>
                    <w:pPr>
                      <w:jc w:val="right"/>
                      <w:rPr>
                        <w:rFonts w:ascii="Times New Roman" w:hAnsi="Times New Roman" w:cs="Times New Roman"/>
                        <w:szCs w:val="21"/>
                      </w:rPr>
                    </w:pPr>
                    <w:r>
                      <w:rPr>
                        <w:rFonts w:ascii="Times New Roman" w:hAnsi="Times New Roman" w:cs="Times New Roman"/>
                      </w:rPr>
                      <w:t>2,498,215.13</w:t>
                    </w:r>
                  </w:p>
                </w:tc>
                <w:tc>
                  <w:tcPr>
                    <w:tcW w:w="1624" w:type="pct"/>
                    <w:shd w:val="clear" w:color="auto" w:fill="auto"/>
                    <w:vAlign w:val="center"/>
                  </w:tcPr>
                  <w:p>
                    <w:pPr>
                      <w:jc w:val="right"/>
                      <w:rPr>
                        <w:rFonts w:ascii="Times New Roman" w:hAnsi="Times New Roman" w:cs="Times New Roman"/>
                        <w:szCs w:val="21"/>
                      </w:rPr>
                    </w:pPr>
                    <w:r>
                      <w:rPr>
                        <w:rFonts w:ascii="Times New Roman" w:hAnsi="Times New Roman" w:cs="Times New Roman"/>
                      </w:rPr>
                      <w:t>2010</w:t>
                    </w:r>
                    <w:r>
                      <w:rPr>
                        <w:rFonts w:ascii="Times New Roman" w:cs="Times New Roman"/>
                      </w:rPr>
                      <w:t>年以及</w:t>
                    </w:r>
                    <w:r>
                      <w:rPr>
                        <w:rFonts w:ascii="Times New Roman" w:hAnsi="Times New Roman" w:cs="Times New Roman"/>
                      </w:rPr>
                      <w:t>2010</w:t>
                    </w:r>
                    <w:r>
                      <w:rPr>
                        <w:rFonts w:ascii="Times New Roman" w:cs="Times New Roman"/>
                      </w:rPr>
                      <w:t>年前发生的购包装盒欠款</w:t>
                    </w:r>
                  </w:p>
                </w:tc>
              </w:tr>
            </w:sdtContent>
          </w:sdt>
          <w:sdt>
            <w:sdtPr>
              <w:rPr>
                <w:rFonts w:ascii="Times New Roman" w:hAnsi="Times New Roman" w:cs="Times New Roman"/>
                <w:szCs w:val="21"/>
              </w:rPr>
              <w:alias w:val="重要的账龄超过1年的应付账款明细"/>
              <w:tag w:val="_TUP_eb35159b40154d30921830d673015213"/>
              <w:id w:val="86572561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vAlign w:val="center"/>
                  </w:tcPr>
                  <w:p>
                    <w:pPr>
                      <w:jc w:val="both"/>
                      <w:rPr>
                        <w:rFonts w:ascii="Times New Roman" w:hAnsi="Times New Roman" w:cs="Times New Roman"/>
                        <w:szCs w:val="21"/>
                      </w:rPr>
                    </w:pPr>
                    <w:r>
                      <w:rPr>
                        <w:rFonts w:ascii="Times New Roman" w:cs="Times New Roman"/>
                      </w:rPr>
                      <w:t>安徽芳草日化股份有限公司遗留</w:t>
                    </w:r>
                    <w:r>
                      <w:rPr>
                        <w:rFonts w:ascii="Times New Roman" w:hAnsi="Times New Roman" w:cs="Times New Roman"/>
                      </w:rPr>
                      <w:t>77</w:t>
                    </w:r>
                    <w:r>
                      <w:rPr>
                        <w:rFonts w:ascii="Times New Roman" w:cs="Times New Roman"/>
                      </w:rPr>
                      <w:t>户老账款</w:t>
                    </w:r>
                  </w:p>
                </w:tc>
                <w:tc>
                  <w:tcPr>
                    <w:tcW w:w="1562" w:type="pct"/>
                    <w:shd w:val="clear" w:color="auto" w:fill="auto"/>
                    <w:vAlign w:val="center"/>
                  </w:tcPr>
                  <w:p>
                    <w:pPr>
                      <w:jc w:val="right"/>
                      <w:rPr>
                        <w:rFonts w:ascii="Times New Roman" w:hAnsi="Times New Roman" w:cs="Times New Roman"/>
                        <w:szCs w:val="21"/>
                      </w:rPr>
                    </w:pPr>
                    <w:r>
                      <w:rPr>
                        <w:rFonts w:ascii="Times New Roman" w:hAnsi="Times New Roman" w:cs="Times New Roman"/>
                      </w:rPr>
                      <w:t>3,020,822.94</w:t>
                    </w:r>
                  </w:p>
                </w:tc>
                <w:tc>
                  <w:tcPr>
                    <w:tcW w:w="1624" w:type="pct"/>
                    <w:shd w:val="clear" w:color="auto" w:fill="auto"/>
                    <w:vAlign w:val="center"/>
                  </w:tcPr>
                  <w:p>
                    <w:pPr>
                      <w:jc w:val="right"/>
                      <w:rPr>
                        <w:rFonts w:ascii="Times New Roman" w:hAnsi="Times New Roman" w:cs="Times New Roman"/>
                        <w:szCs w:val="21"/>
                      </w:rPr>
                    </w:pPr>
                    <w:r>
                      <w:rPr>
                        <w:rFonts w:ascii="Times New Roman" w:cs="Times New Roman"/>
                      </w:rPr>
                      <w:t>安徽芳草日化股份有限公司</w:t>
                    </w:r>
                    <w:r>
                      <w:rPr>
                        <w:rFonts w:ascii="Times New Roman" w:hAnsi="Times New Roman" w:cs="Times New Roman"/>
                      </w:rPr>
                      <w:t>2006</w:t>
                    </w:r>
                    <w:r>
                      <w:rPr>
                        <w:rFonts w:ascii="Times New Roman" w:cs="Times New Roman"/>
                      </w:rPr>
                      <w:t>年改制成安徽两面针</w:t>
                    </w:r>
                    <w:r>
                      <w:rPr>
                        <w:rFonts w:ascii="Times New Roman" w:hAnsi="Times New Roman" w:cs="Times New Roman"/>
                      </w:rPr>
                      <w:t>•</w:t>
                    </w:r>
                    <w:r>
                      <w:rPr>
                        <w:rFonts w:ascii="Times New Roman" w:cs="Times New Roman"/>
                      </w:rPr>
                      <w:t>芳草日化有限公司时遗留</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758d2b659b1497e80249fe4dcd9da2a"/>
                <w:id w:val="865725618"/>
                <w:lock w:val="sdtLocked"/>
              </w:sdtPr>
              <w:sdtEndPr>
                <w:rPr>
                  <w:rFonts w:ascii="Times New Roman" w:hAnsi="Times New Roman" w:cs="Times New Roman"/>
                </w:rPr>
              </w:sdtEndPr>
              <w:sdtContent>
                <w:tc>
                  <w:tcPr>
                    <w:tcW w:w="1814" w:type="pct"/>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1562" w:type="pct"/>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5,519,038.07</w:t>
                </w:r>
              </w:p>
            </w:tc>
            <w:tc>
              <w:tcPr>
                <w:tcW w:w="1624" w:type="pct"/>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w:t>
                </w:r>
              </w:p>
            </w:tc>
          </w:tr>
        </w:tbl>
        <w:p/>
        <w:p/>
      </w:sdtContent>
    </w:sdt>
    <w:sdt>
      <w:sdtPr>
        <w:rPr>
          <w:rFonts w:hint="eastAsia"/>
          <w:b/>
          <w:bCs/>
        </w:rPr>
        <w:alias w:val="模块:应付账款的其他说明"/>
        <w:tag w:val="_SEC_11f269c09d754458a6354680b3ca0c0b"/>
        <w:id w:val="865725622"/>
        <w:lock w:val="sdtLocked"/>
        <w:placeholder>
          <w:docPart w:val="GBC22222222222222222222222222222"/>
        </w:placeholder>
      </w:sdtPr>
      <w:sdtEndPr>
        <w:rPr>
          <w:rFonts w:hint="default" w:cstheme="minorBidi"/>
          <w:b w:val="0"/>
          <w:bCs w:val="0"/>
          <w:kern w:val="2"/>
          <w:szCs w:val="21"/>
        </w:rPr>
      </w:sdtEndPr>
      <w:sdtContent>
        <w:p>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86572562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napToGrid w:val="0"/>
        <w:spacing w:line="240" w:lineRule="atLeast"/>
        <w:rPr>
          <w:szCs w:val="21"/>
        </w:rPr>
      </w:pPr>
    </w:p>
    <w:p>
      <w:pPr>
        <w:pStyle w:val="4"/>
        <w:numPr>
          <w:ilvl w:val="0"/>
          <w:numId w:val="79"/>
        </w:numPr>
        <w:tabs>
          <w:tab w:val="left" w:pos="504"/>
        </w:tabs>
        <w:rPr>
          <w:rFonts w:ascii="宋体" w:hAnsi="宋体"/>
          <w:szCs w:val="21"/>
        </w:rPr>
      </w:pPr>
      <w:r>
        <w:rPr>
          <w:rFonts w:hint="eastAsia" w:ascii="宋体" w:hAnsi="宋体"/>
          <w:szCs w:val="21"/>
        </w:rPr>
        <w:t>预收款项</w:t>
      </w:r>
    </w:p>
    <w:sdt>
      <w:sdtPr>
        <w:rPr>
          <w:rFonts w:hint="eastAsia" w:ascii="宋体" w:hAnsi="宋体" w:eastAsia="宋体" w:cs="宋体"/>
          <w:b w:val="0"/>
          <w:bCs w:val="0"/>
          <w:kern w:val="0"/>
          <w:szCs w:val="24"/>
        </w:rPr>
        <w:alias w:val="模块:预收账款情况"/>
        <w:tag w:val="_SEC_6c51b7b8aad944a6a7343a7c4468bc35"/>
        <w:id w:val="865725624"/>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100"/>
            </w:numPr>
          </w:pPr>
          <w:r>
            <w:rPr>
              <w:rFonts w:hint="eastAsia"/>
            </w:rPr>
            <w:t>预收账款项列示</w:t>
          </w:r>
        </w:p>
        <w:sdt>
          <w:sdtPr>
            <w:alias w:val="是否适用：预收账款项列示[双击切换]"/>
            <w:tag w:val="_GBC_87fabe8d5b22400ca19233d7f82c54fc"/>
            <w:id w:val="86572562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theme="minorBidi"/>
          <w:b w:val="0"/>
          <w:bCs w:val="0"/>
          <w:kern w:val="0"/>
          <w:szCs w:val="21"/>
        </w:rPr>
        <w:alias w:val="模块:账龄超过1年的重要预收款项"/>
        <w:tag w:val="_SEC_1558d55950074b35a4413fcf746a38ce"/>
        <w:id w:val="865725626"/>
        <w:lock w:val="sdtLocked"/>
        <w:placeholder>
          <w:docPart w:val="GBC22222222222222222222222222222"/>
        </w:placeholder>
      </w:sdtPr>
      <w:sdtEndPr>
        <w:rPr>
          <w:rFonts w:hint="eastAsia" w:ascii="宋体" w:hAnsi="宋体" w:eastAsia="宋体" w:cstheme="minorBidi"/>
          <w:b w:val="0"/>
          <w:bCs w:val="0"/>
          <w:kern w:val="0"/>
          <w:szCs w:val="21"/>
        </w:rPr>
      </w:sdtEndPr>
      <w:sdtContent>
        <w:p>
          <w:pPr>
            <w:pStyle w:val="5"/>
            <w:numPr>
              <w:ilvl w:val="0"/>
              <w:numId w:val="100"/>
            </w:numPr>
          </w:pPr>
          <w:r>
            <w:rPr>
              <w:rFonts w:hint="eastAsia"/>
            </w:rPr>
            <w:t>账龄超过</w:t>
          </w:r>
          <w:r>
            <w:t>1年的重要预收款项</w:t>
          </w:r>
        </w:p>
        <w:sdt>
          <w:sdtPr>
            <w:alias w:val="是否适用：账龄超过1年的重要预收款项[双击切换]"/>
            <w:tag w:val="_GBC_79146ea4ecd2426b824d2bcf21203a69"/>
            <w:id w:val="865725625"/>
            <w:lock w:val="sdtLocked"/>
            <w:placeholder>
              <w:docPart w:val="GBC22222222222222222222222222222"/>
            </w:placeholder>
          </w:sdtPr>
          <w:sdtContent>
            <w:p>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865725629"/>
        <w:lock w:val="sdtLocked"/>
        <w:placeholder>
          <w:docPart w:val="GBC22222222222222222222222222222"/>
        </w:placeholder>
      </w:sdtPr>
      <w:sdtEndPr>
        <w:rPr>
          <w:rFonts w:hint="default" w:cstheme="minorBidi"/>
          <w:b w:val="0"/>
          <w:bCs w:val="0"/>
          <w:color w:val="000000" w:themeColor="text1"/>
          <w:kern w:val="2"/>
          <w:szCs w:val="21"/>
        </w:rPr>
      </w:sdtEndPr>
      <w:sdtContent>
        <w:p>
          <w:r>
            <w:rPr>
              <w:rFonts w:hint="eastAsia"/>
            </w:rPr>
            <w:t>其他说明</w:t>
          </w:r>
        </w:p>
        <w:sdt>
          <w:sdtPr>
            <w:alias w:val="是否适用：预收账款的其他说明[双击切换]"/>
            <w:tag w:val="_GBC_c0e961ba454e4e2cb91293bde731349d"/>
            <w:id w:val="865725627"/>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color w:val="000000" w:themeColor="text1"/>
              <w:kern w:val="2"/>
              <w:szCs w:val="21"/>
            </w:rPr>
          </w:pPr>
        </w:p>
      </w:sdtContent>
    </w:sdt>
    <w:sdt>
      <w:sdtPr>
        <w:rPr>
          <w:rFonts w:hint="eastAsia" w:ascii="宋体" w:hAnsi="宋体" w:cs="宋体"/>
          <w:b w:val="0"/>
          <w:bCs w:val="0"/>
          <w:kern w:val="0"/>
          <w:szCs w:val="21"/>
        </w:rPr>
        <w:alias w:val="模块:合同负债"/>
        <w:tag w:val="_SEC_50463584535c4393bb0c203aa88e74ea"/>
        <w:id w:val="865725639"/>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79"/>
            </w:numPr>
            <w:tabs>
              <w:tab w:val="left" w:pos="504"/>
            </w:tabs>
            <w:rPr>
              <w:szCs w:val="21"/>
            </w:rPr>
          </w:pPr>
          <w:r>
            <w:rPr>
              <w:rFonts w:hint="eastAsia"/>
              <w:szCs w:val="21"/>
            </w:rPr>
            <w:t>合同负债</w:t>
          </w:r>
        </w:p>
        <w:p>
          <w:pPr>
            <w:pStyle w:val="5"/>
            <w:numPr>
              <w:ilvl w:val="0"/>
              <w:numId w:val="101"/>
            </w:numPr>
          </w:pPr>
          <w:r>
            <w:rPr>
              <w:rFonts w:hint="eastAsia"/>
            </w:rPr>
            <w:t>合同负债情况</w:t>
          </w:r>
        </w:p>
        <w:sdt>
          <w:sdtPr>
            <w:alias w:val="是否适用：合同负债情况[双击切换]"/>
            <w:tag w:val="_GBC_257112066c884c67acfede3a1536844a"/>
            <w:id w:val="865725630"/>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ind w:left="360"/>
            <w:jc w:val="right"/>
          </w:pPr>
          <w:r>
            <w:rPr>
              <w:rFonts w:hint="eastAsia"/>
            </w:rPr>
            <w:t>单位：</w:t>
          </w:r>
          <w:sdt>
            <w:sdtPr>
              <w:rPr>
                <w:rFonts w:hint="eastAsia"/>
              </w:rPr>
              <w:alias w:val="单位：合同负债情况"/>
              <w:tag w:val="_GBC_ea58ca5e76b74f328a4691ca7c6cc941"/>
              <w:id w:val="86572563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8657256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imes New Roman" w:hAnsi="Times New Roman" w:cs="Times New Roman"/>
                </w:rPr>
                <w:tag w:val="_PLD_c331ae60cae44b02b2a16eccd02434b1"/>
                <w:id w:val="865725633"/>
                <w:lock w:val="sdtLocked"/>
              </w:sdtPr>
              <w:sdtEndPr>
                <w:rPr>
                  <w:rFonts w:ascii="Times New Roman" w:hAnsi="Times New Roman" w:cs="Times New Roman"/>
                </w:rPr>
              </w:sdtEndPr>
              <w:sdtContent>
                <w:tc>
                  <w:tcPr>
                    <w:tcW w:w="1601" w:type="pct"/>
                    <w:shd w:val="clear" w:color="auto" w:fill="auto"/>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1619b2dd861a497cbc814256ed0e2957"/>
                <w:id w:val="865725634"/>
                <w:lock w:val="sdtLocked"/>
              </w:sdtPr>
              <w:sdtEndPr>
                <w:rPr>
                  <w:rFonts w:ascii="Times New Roman" w:hAnsi="Times New Roman" w:cs="Times New Roman"/>
                </w:rPr>
              </w:sdtEndPr>
              <w:sdtContent>
                <w:tc>
                  <w:tcPr>
                    <w:tcW w:w="1701" w:type="pct"/>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6341013bed194ee78619c433ebd01fda"/>
                <w:id w:val="865725635"/>
                <w:lock w:val="sdtLocked"/>
              </w:sdtPr>
              <w:sdtEndPr>
                <w:rPr>
                  <w:rFonts w:ascii="Times New Roman" w:hAnsi="Times New Roman" w:cs="Times New Roman"/>
                </w:rPr>
              </w:sdtEndPr>
              <w:sdtContent>
                <w:tc>
                  <w:tcPr>
                    <w:tcW w:w="1698" w:type="pct"/>
                    <w:shd w:val="clear" w:color="auto" w:fill="auto"/>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期初余额</w:t>
                    </w:r>
                  </w:p>
                </w:tc>
              </w:sdtContent>
            </w:sdt>
          </w:tr>
          <w:sdt>
            <w:sdtPr>
              <w:rPr>
                <w:rFonts w:ascii="Times New Roman" w:hAnsi="Times New Roman" w:cs="Times New Roman"/>
                <w:color w:val="000000"/>
                <w:szCs w:val="21"/>
              </w:rPr>
              <w:alias w:val="合同负债明细"/>
              <w:tag w:val="_TUP_d67f2b4ee3494c068d1ece80b5bc3fb5"/>
              <w:id w:val="865725636"/>
              <w:lock w:val="sdtLocked"/>
            </w:sdtPr>
            <w:sdtEndPr>
              <w:rPr>
                <w:rFonts w:ascii="Times New Roman" w:hAnsi="Times New Roman" w:cs="Times New Roman"/>
                <w:color w:val="00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rPr>
                        <w:rFonts w:ascii="Times New Roman" w:hAnsi="Times New Roman" w:cs="Times New Roman"/>
                        <w:szCs w:val="21"/>
                      </w:rPr>
                    </w:pPr>
                    <w:r>
                      <w:rPr>
                        <w:rFonts w:ascii="Times New Roman" w:cs="Times New Roman"/>
                      </w:rPr>
                      <w:t>预收销售款</w:t>
                    </w:r>
                  </w:p>
                </w:tc>
                <w:tc>
                  <w:tcPr>
                    <w:tcW w:w="1701" w:type="pct"/>
                    <w:shd w:val="clear" w:color="auto" w:fill="auto"/>
                  </w:tcPr>
                  <w:p>
                    <w:pPr>
                      <w:jc w:val="right"/>
                      <w:rPr>
                        <w:rFonts w:ascii="Times New Roman" w:hAnsi="Times New Roman" w:cs="Times New Roman"/>
                        <w:szCs w:val="21"/>
                      </w:rPr>
                    </w:pPr>
                    <w:r>
                      <w:rPr>
                        <w:rFonts w:ascii="Times New Roman" w:hAnsi="Times New Roman" w:cs="Times New Roman"/>
                      </w:rPr>
                      <w:t>35,846,125.40</w:t>
                    </w:r>
                  </w:p>
                </w:tc>
                <w:tc>
                  <w:tcPr>
                    <w:tcW w:w="1698" w:type="pct"/>
                    <w:shd w:val="clear" w:color="auto" w:fill="auto"/>
                  </w:tcPr>
                  <w:p>
                    <w:pPr>
                      <w:jc w:val="right"/>
                      <w:rPr>
                        <w:rFonts w:ascii="Times New Roman" w:hAnsi="Times New Roman" w:cs="Times New Roman"/>
                        <w:szCs w:val="21"/>
                      </w:rPr>
                    </w:pPr>
                    <w:r>
                      <w:rPr>
                        <w:rFonts w:ascii="Times New Roman" w:hAnsi="Times New Roman" w:cs="Times New Roman"/>
                      </w:rPr>
                      <w:t>59,871,086.74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e3bb8ab3c904307b3e330dc2e7b09a4"/>
                <w:id w:val="865725638"/>
                <w:lock w:val="sdtLocked"/>
              </w:sdtPr>
              <w:sdtEndPr>
                <w:rPr>
                  <w:rFonts w:ascii="Times New Roman" w:hAnsi="Times New Roman" w:cs="Times New Roman"/>
                </w:rPr>
              </w:sdtEndPr>
              <w:sdtContent>
                <w:tc>
                  <w:tcPr>
                    <w:tcW w:w="1601" w:type="pct"/>
                    <w:shd w:val="clear" w:color="auto" w:fill="auto"/>
                  </w:tcPr>
                  <w:p>
                    <w:pPr>
                      <w:jc w:val="center"/>
                      <w:rPr>
                        <w:rFonts w:ascii="Times New Roman" w:hAnsi="Times New Roman" w:cs="Times New Roman"/>
                        <w:color w:val="000000"/>
                        <w:szCs w:val="21"/>
                      </w:rPr>
                    </w:pPr>
                    <w:r>
                      <w:rPr>
                        <w:rFonts w:ascii="Times New Roman" w:cs="Times New Roman"/>
                        <w:color w:val="000000"/>
                        <w:szCs w:val="21"/>
                      </w:rPr>
                      <w:t>合计</w:t>
                    </w:r>
                  </w:p>
                </w:tc>
              </w:sdtContent>
            </w:sdt>
            <w:tc>
              <w:tcPr>
                <w:tcW w:w="1701" w:type="pct"/>
                <w:shd w:val="clear" w:color="auto" w:fill="auto"/>
                <w:vAlign w:val="center"/>
              </w:tcPr>
              <w:p>
                <w:pPr>
                  <w:jc w:val="right"/>
                  <w:rPr>
                    <w:rFonts w:ascii="Times New Roman" w:hAnsi="Times New Roman" w:cs="Times New Roman"/>
                    <w:szCs w:val="21"/>
                  </w:rPr>
                </w:pPr>
                <w:r>
                  <w:rPr>
                    <w:rFonts w:ascii="Times New Roman" w:hAnsi="Times New Roman" w:cs="Times New Roman"/>
                  </w:rPr>
                  <w:t>35,846,125.40</w:t>
                </w:r>
              </w:p>
            </w:tc>
            <w:tc>
              <w:tcPr>
                <w:tcW w:w="1698" w:type="pct"/>
                <w:shd w:val="clear" w:color="auto" w:fill="auto"/>
                <w:vAlign w:val="center"/>
              </w:tcPr>
              <w:p>
                <w:pPr>
                  <w:jc w:val="right"/>
                  <w:rPr>
                    <w:rFonts w:ascii="Times New Roman" w:hAnsi="Times New Roman" w:cs="Times New Roman"/>
                    <w:szCs w:val="21"/>
                  </w:rPr>
                </w:pPr>
                <w:r>
                  <w:rPr>
                    <w:rFonts w:ascii="Times New Roman" w:hAnsi="Times New Roman" w:cs="Times New Roman"/>
                  </w:rPr>
                  <w:t>59,871,086.74</w:t>
                </w:r>
              </w:p>
            </w:tc>
          </w:tr>
        </w:tbl>
        <w:p>
          <w:pPr>
            <w:spacing w:line="500" w:lineRule="exact"/>
            <w:ind w:firstLine="482" w:firstLineChars="200"/>
            <w:outlineLvl w:val="0"/>
            <w:rPr>
              <w:b/>
              <w:color w:val="000000"/>
              <w:sz w:val="24"/>
            </w:rPr>
          </w:pPr>
          <w:r>
            <w:rPr>
              <w:rFonts w:hint="eastAsia"/>
              <w:b/>
              <w:color w:val="000000"/>
              <w:sz w:val="24"/>
            </w:rPr>
            <w:t>合同负债账龄列示</w:t>
          </w:r>
        </w:p>
        <w:tbl>
          <w:tblPr>
            <w:tblStyle w:val="3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842"/>
            <w:gridCol w:w="2843"/>
            <w:gridCol w:w="284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1666" w:type="pct"/>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sz w:val="18"/>
                    <w:szCs w:val="18"/>
                  </w:rPr>
                </w:pPr>
                <w:r>
                  <w:rPr>
                    <w:rFonts w:ascii="Times New Roman" w:hAnsi="Arial Narrow" w:cs="Times New Roman"/>
                    <w:sz w:val="18"/>
                    <w:szCs w:val="18"/>
                  </w:rPr>
                  <w:t>项目</w:t>
                </w:r>
              </w:p>
            </w:tc>
            <w:tc>
              <w:tcPr>
                <w:tcW w:w="1667" w:type="pct"/>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sz w:val="18"/>
                    <w:szCs w:val="18"/>
                  </w:rPr>
                </w:pPr>
                <w:r>
                  <w:rPr>
                    <w:rFonts w:ascii="Times New Roman" w:hAnsi="Arial Narrow" w:cs="Times New Roman"/>
                    <w:sz w:val="18"/>
                    <w:szCs w:val="18"/>
                  </w:rPr>
                  <w:t>期末余额</w:t>
                </w:r>
              </w:p>
            </w:tc>
            <w:tc>
              <w:tcPr>
                <w:tcW w:w="1667" w:type="pct"/>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sz w:val="18"/>
                    <w:szCs w:val="18"/>
                  </w:rPr>
                </w:pPr>
                <w:r>
                  <w:rPr>
                    <w:rFonts w:ascii="Times New Roman" w:hAnsi="Arial Narrow" w:cs="Times New Roman"/>
                    <w:sz w:val="18"/>
                    <w:szCs w:val="18"/>
                  </w:rPr>
                  <w:t>期初余额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666" w:type="pct"/>
                <w:shd w:val="clear" w:color="auto" w:fill="auto"/>
                <w:vAlign w:val="center"/>
              </w:tcPr>
              <w:p>
                <w:pPr>
                  <w:widowControl w:val="0"/>
                  <w:snapToGrid w:val="0"/>
                  <w:spacing w:line="480" w:lineRule="exact"/>
                  <w:jc w:val="both"/>
                  <w:rPr>
                    <w:rFonts w:ascii="Times New Roman" w:hAnsi="Times New Roman" w:cs="Times New Roman"/>
                    <w:sz w:val="18"/>
                    <w:szCs w:val="18"/>
                  </w:rPr>
                </w:pPr>
                <w:r>
                  <w:rPr>
                    <w:rFonts w:ascii="Times New Roman" w:hAnsi="Times New Roman" w:cs="Times New Roman"/>
                    <w:sz w:val="18"/>
                    <w:szCs w:val="18"/>
                  </w:rPr>
                  <w:t>1</w:t>
                </w:r>
                <w:r>
                  <w:rPr>
                    <w:rFonts w:ascii="Times New Roman" w:cs="Times New Roman"/>
                    <w:sz w:val="18"/>
                    <w:szCs w:val="18"/>
                  </w:rPr>
                  <w:t>年以内（含</w:t>
                </w:r>
                <w:r>
                  <w:rPr>
                    <w:rFonts w:ascii="Times New Roman" w:hAnsi="Times New Roman" w:cs="Times New Roman"/>
                    <w:sz w:val="18"/>
                    <w:szCs w:val="18"/>
                  </w:rPr>
                  <w:t>1</w:t>
                </w:r>
                <w:r>
                  <w:rPr>
                    <w:rFonts w:ascii="Times New Roman" w:cs="Times New Roman"/>
                    <w:sz w:val="18"/>
                    <w:szCs w:val="18"/>
                  </w:rPr>
                  <w:t>年）</w:t>
                </w:r>
              </w:p>
            </w:tc>
            <w:tc>
              <w:tcPr>
                <w:tcW w:w="1667" w:type="pct"/>
                <w:shd w:val="clear" w:color="auto" w:fill="auto"/>
                <w:vAlign w:val="bottom"/>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29,460,406.74</w:t>
                </w:r>
              </w:p>
            </w:tc>
            <w:tc>
              <w:tcPr>
                <w:tcW w:w="1667" w:type="pct"/>
                <w:shd w:val="clear" w:color="auto" w:fill="auto"/>
                <w:vAlign w:val="bottom"/>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49,305,097.39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666" w:type="pct"/>
                <w:shd w:val="clear" w:color="auto" w:fill="auto"/>
                <w:vAlign w:val="center"/>
              </w:tcPr>
              <w:p>
                <w:pPr>
                  <w:widowControl w:val="0"/>
                  <w:snapToGrid w:val="0"/>
                  <w:spacing w:line="480" w:lineRule="exact"/>
                  <w:jc w:val="both"/>
                  <w:rPr>
                    <w:rFonts w:ascii="Times New Roman" w:hAnsi="Times New Roman" w:cs="Times New Roman"/>
                    <w:sz w:val="18"/>
                    <w:szCs w:val="18"/>
                  </w:rPr>
                </w:pPr>
                <w:r>
                  <w:rPr>
                    <w:rFonts w:ascii="Times New Roman" w:hAnsi="Times New Roman" w:cs="Times New Roman"/>
                    <w:sz w:val="18"/>
                    <w:szCs w:val="18"/>
                  </w:rPr>
                  <w:t>1</w:t>
                </w:r>
                <w:r>
                  <w:rPr>
                    <w:rFonts w:ascii="Times New Roman" w:cs="Times New Roman"/>
                    <w:sz w:val="18"/>
                    <w:szCs w:val="18"/>
                  </w:rPr>
                  <w:t>年以上</w:t>
                </w:r>
              </w:p>
            </w:tc>
            <w:tc>
              <w:tcPr>
                <w:tcW w:w="1667" w:type="pct"/>
                <w:shd w:val="clear" w:color="auto" w:fill="auto"/>
                <w:vAlign w:val="bottom"/>
              </w:tcPr>
              <w:p>
                <w:pPr>
                  <w:spacing w:line="480" w:lineRule="exact"/>
                  <w:jc w:val="right"/>
                  <w:rPr>
                    <w:rFonts w:ascii="Times New Roman" w:hAnsi="Times New Roman" w:cs="Times New Roman" w:eastAsiaTheme="minorEastAsia"/>
                    <w:color w:val="000000"/>
                    <w:sz w:val="20"/>
                    <w:szCs w:val="20"/>
                  </w:rPr>
                </w:pPr>
                <w:r>
                  <w:rPr>
                    <w:rFonts w:ascii="Times New Roman" w:hAnsi="Times New Roman" w:cs="Times New Roman"/>
                    <w:sz w:val="20"/>
                    <w:szCs w:val="20"/>
                  </w:rPr>
                  <w:t>6,385,718.66</w:t>
                </w:r>
              </w:p>
            </w:tc>
            <w:tc>
              <w:tcPr>
                <w:tcW w:w="1667" w:type="pct"/>
                <w:shd w:val="clear" w:color="auto" w:fill="auto"/>
                <w:vAlign w:val="bottom"/>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10,565,989.35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666" w:type="pct"/>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sz w:val="18"/>
                    <w:szCs w:val="18"/>
                  </w:rPr>
                </w:pPr>
                <w:r>
                  <w:rPr>
                    <w:rFonts w:ascii="Times New Roman" w:hAnsi="Arial Narrow" w:cs="Times New Roman"/>
                    <w:sz w:val="18"/>
                    <w:szCs w:val="18"/>
                  </w:rPr>
                  <w:t>合计</w:t>
                </w:r>
              </w:p>
            </w:tc>
            <w:tc>
              <w:tcPr>
                <w:tcW w:w="1667" w:type="pct"/>
                <w:shd w:val="clear" w:color="auto" w:fill="auto"/>
                <w:vAlign w:val="bottom"/>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35,8</w:t>
                </w:r>
                <w:r>
                  <w:rPr>
                    <w:rFonts w:hint="eastAsia" w:ascii="Times New Roman" w:hAnsi="Times New Roman" w:cs="Times New Roman" w:eastAsiaTheme="minorEastAsia"/>
                    <w:color w:val="000000"/>
                    <w:sz w:val="18"/>
                    <w:szCs w:val="18"/>
                  </w:rPr>
                  <w:t>46</w:t>
                </w:r>
                <w:r>
                  <w:rPr>
                    <w:rFonts w:ascii="Times New Roman" w:hAnsi="Times New Roman" w:cs="Times New Roman" w:eastAsiaTheme="minorEastAsia"/>
                    <w:color w:val="000000"/>
                    <w:sz w:val="18"/>
                    <w:szCs w:val="18"/>
                  </w:rPr>
                  <w:t>,</w:t>
                </w:r>
                <w:r>
                  <w:rPr>
                    <w:rFonts w:hint="eastAsia" w:ascii="Times New Roman" w:hAnsi="Times New Roman" w:cs="Times New Roman" w:eastAsiaTheme="minorEastAsia"/>
                    <w:color w:val="000000"/>
                    <w:sz w:val="18"/>
                    <w:szCs w:val="18"/>
                  </w:rPr>
                  <w:t>125</w:t>
                </w:r>
                <w:r>
                  <w:rPr>
                    <w:rFonts w:ascii="Times New Roman" w:hAnsi="Times New Roman" w:cs="Times New Roman" w:eastAsiaTheme="minorEastAsia"/>
                    <w:color w:val="000000"/>
                    <w:sz w:val="18"/>
                    <w:szCs w:val="18"/>
                  </w:rPr>
                  <w:t>.</w:t>
                </w:r>
                <w:r>
                  <w:rPr>
                    <w:rFonts w:hint="eastAsia" w:ascii="Times New Roman" w:hAnsi="Times New Roman" w:cs="Times New Roman" w:eastAsiaTheme="minorEastAsia"/>
                    <w:color w:val="000000"/>
                    <w:sz w:val="18"/>
                    <w:szCs w:val="18"/>
                  </w:rPr>
                  <w:t>40</w:t>
                </w:r>
              </w:p>
            </w:tc>
            <w:tc>
              <w:tcPr>
                <w:tcW w:w="1667" w:type="pct"/>
                <w:shd w:val="clear" w:color="auto" w:fill="auto"/>
                <w:vAlign w:val="bottom"/>
              </w:tcPr>
              <w:p>
                <w:pPr>
                  <w:spacing w:line="480" w:lineRule="exact"/>
                  <w:jc w:val="right"/>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59,871,086.74</w:t>
                </w:r>
              </w:p>
            </w:tc>
          </w:tr>
        </w:tbl>
        <w:p/>
        <w:p/>
      </w:sdtContent>
    </w:sdt>
    <w:sdt>
      <w:sdtPr>
        <w:rPr>
          <w:rFonts w:hint="eastAsia" w:ascii="宋体" w:hAnsi="宋体" w:eastAsia="宋体" w:cs="宋体"/>
          <w:b w:val="0"/>
          <w:bCs w:val="0"/>
          <w:kern w:val="0"/>
          <w:szCs w:val="24"/>
        </w:rPr>
        <w:alias w:val="模块:报告期内账面价值发生重大变动的金额和原因"/>
        <w:tag w:val="_SEC_6fed4fed5399438cae08eee39c94b152"/>
        <w:id w:val="865725641"/>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0"/>
              <w:numId w:val="101"/>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86572564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865725643"/>
        <w:lock w:val="sdtLocked"/>
        <w:placeholder>
          <w:docPart w:val="GBC22222222222222222222222222222"/>
        </w:placeholder>
      </w:sdtPr>
      <w:sdtEndPr>
        <w:rPr>
          <w:rFonts w:hint="default"/>
          <w:szCs w:val="24"/>
        </w:rPr>
      </w:sdtEndPr>
      <w:sdtContent>
        <w:p>
          <w:pPr>
            <w:rPr>
              <w:szCs w:val="21"/>
            </w:rPr>
          </w:pPr>
          <w:r>
            <w:rPr>
              <w:rFonts w:hint="eastAsia"/>
              <w:szCs w:val="21"/>
            </w:rPr>
            <w:t>其他说明：</w:t>
          </w:r>
        </w:p>
        <w:sdt>
          <w:sdtPr>
            <w:rPr>
              <w:szCs w:val="21"/>
            </w:rPr>
            <w:alias w:val="是否适用：合同负债其他说明[双击切换]"/>
            <w:tag w:val="_GBC_1c99003b181f47ebb73e6452f4bfa446"/>
            <w:id w:val="865725642"/>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p>
      <w:pPr>
        <w:pStyle w:val="4"/>
        <w:numPr>
          <w:ilvl w:val="0"/>
          <w:numId w:val="79"/>
        </w:numPr>
        <w:tabs>
          <w:tab w:val="left" w:pos="504"/>
        </w:tabs>
        <w:rPr>
          <w:rFonts w:ascii="宋体" w:hAnsi="宋体"/>
          <w:szCs w:val="21"/>
        </w:rPr>
      </w:pPr>
      <w:r>
        <w:rPr>
          <w:rFonts w:hint="eastAsia" w:ascii="宋体" w:hAnsi="宋体"/>
          <w:szCs w:val="21"/>
        </w:rPr>
        <w:t>应付职工薪酬</w:t>
      </w:r>
    </w:p>
    <w:sdt>
      <w:sdtPr>
        <w:rPr>
          <w:rFonts w:ascii="宋体" w:hAnsi="宋体" w:eastAsia="宋体" w:cs="宋体"/>
          <w:b w:val="0"/>
          <w:bCs w:val="0"/>
          <w:kern w:val="0"/>
          <w:szCs w:val="24"/>
        </w:rPr>
        <w:alias w:val="模块:应付职工薪酬列示："/>
        <w:tag w:val="_SEC_8ac62232cfc54f38aff1f89058d89f36"/>
        <w:id w:val="865725659"/>
        <w:lock w:val="sdtLocked"/>
        <w:placeholder>
          <w:docPart w:val="GBC22222222222222222222222222222"/>
        </w:placeholder>
      </w:sdtPr>
      <w:sdtEndPr>
        <w:rPr>
          <w:rFonts w:ascii="宋体" w:hAnsi="宋体" w:eastAsia="宋体" w:cs="宋体"/>
          <w:b w:val="0"/>
          <w:bCs w:val="0"/>
          <w:kern w:val="0"/>
          <w:szCs w:val="24"/>
        </w:rPr>
      </w:sdtEndPr>
      <w:sdtContent>
        <w:p>
          <w:pPr>
            <w:pStyle w:val="5"/>
            <w:numPr>
              <w:ilvl w:val="0"/>
              <w:numId w:val="102"/>
            </w:numPr>
          </w:pPr>
          <w:r>
            <w:rPr>
              <w:rFonts w:hint="eastAsia"/>
            </w:rPr>
            <w:t>应付职工薪酬列示</w:t>
          </w:r>
        </w:p>
        <w:sdt>
          <w:sdtPr>
            <w:alias w:val="是否适用：应付职工薪酬列示[双击切换]"/>
            <w:tag w:val="_GBC_215b41e091df4b2bbb2009fd3c8040b5"/>
            <w:id w:val="86572564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职工薪酬"/>
              <w:tag w:val="_GBC_6889c0e435324d63b7c01ed595a8e140"/>
              <w:id w:val="8657256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865725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611"/>
            <w:gridCol w:w="1607"/>
            <w:gridCol w:w="1611"/>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61dc2d96c64c3fb5d407cdbec097a2"/>
                <w:id w:val="865725647"/>
                <w:lock w:val="sdtLocked"/>
              </w:sdtPr>
              <w:sdtContent>
                <w:tc>
                  <w:tcPr>
                    <w:tcW w:w="1437" w:type="pct"/>
                    <w:shd w:val="clear" w:color="auto" w:fill="auto"/>
                    <w:vAlign w:val="center"/>
                  </w:tcPr>
                  <w:p>
                    <w:pPr>
                      <w:jc w:val="center"/>
                    </w:pPr>
                    <w:r>
                      <w:rPr>
                        <w:rFonts w:hint="eastAsia"/>
                      </w:rPr>
                      <w:t>项目</w:t>
                    </w:r>
                  </w:p>
                </w:tc>
              </w:sdtContent>
            </w:sdt>
            <w:sdt>
              <w:sdtPr>
                <w:tag w:val="_PLD_f666739d3c0f4f9891bd8f4974d101ec"/>
                <w:id w:val="865725648"/>
                <w:lock w:val="sdtLocked"/>
              </w:sdtPr>
              <w:sdtContent>
                <w:tc>
                  <w:tcPr>
                    <w:tcW w:w="890" w:type="pct"/>
                    <w:shd w:val="clear" w:color="auto" w:fill="auto"/>
                    <w:vAlign w:val="center"/>
                  </w:tcPr>
                  <w:p>
                    <w:pPr>
                      <w:jc w:val="center"/>
                    </w:pPr>
                    <w:r>
                      <w:rPr>
                        <w:rFonts w:hint="eastAsia"/>
                      </w:rPr>
                      <w:t>期初余额</w:t>
                    </w:r>
                  </w:p>
                </w:tc>
              </w:sdtContent>
            </w:sdt>
            <w:sdt>
              <w:sdtPr>
                <w:tag w:val="_PLD_cc701d3a5a44484d862c996437df1e7d"/>
                <w:id w:val="865725649"/>
                <w:lock w:val="sdtLocked"/>
              </w:sdtPr>
              <w:sdtContent>
                <w:tc>
                  <w:tcPr>
                    <w:tcW w:w="888" w:type="pct"/>
                    <w:shd w:val="clear" w:color="auto" w:fill="auto"/>
                    <w:vAlign w:val="center"/>
                  </w:tcPr>
                  <w:p>
                    <w:pPr>
                      <w:jc w:val="center"/>
                    </w:pPr>
                    <w:r>
                      <w:rPr>
                        <w:rFonts w:hint="eastAsia"/>
                      </w:rPr>
                      <w:t>本期增加</w:t>
                    </w:r>
                  </w:p>
                </w:tc>
              </w:sdtContent>
            </w:sdt>
            <w:sdt>
              <w:sdtPr>
                <w:tag w:val="_PLD_0e8f833fca684ce592b0cba6d04c75ef"/>
                <w:id w:val="865725650"/>
                <w:lock w:val="sdtLocked"/>
              </w:sdtPr>
              <w:sdtContent>
                <w:tc>
                  <w:tcPr>
                    <w:tcW w:w="890" w:type="pct"/>
                    <w:shd w:val="clear" w:color="auto" w:fill="auto"/>
                    <w:vAlign w:val="center"/>
                  </w:tcPr>
                  <w:p>
                    <w:pPr>
                      <w:jc w:val="center"/>
                    </w:pPr>
                    <w:r>
                      <w:rPr>
                        <w:rFonts w:hint="eastAsia"/>
                      </w:rPr>
                      <w:t>本期减少</w:t>
                    </w:r>
                  </w:p>
                </w:tc>
              </w:sdtContent>
            </w:sdt>
            <w:sdt>
              <w:sdtPr>
                <w:tag w:val="_PLD_c39a265e94994f0480d13abd59d3eb39"/>
                <w:id w:val="865725651"/>
                <w:lock w:val="sdtLocked"/>
              </w:sdtPr>
              <w:sdtContent>
                <w:tc>
                  <w:tcPr>
                    <w:tcW w:w="895" w:type="pct"/>
                    <w:shd w:val="clear" w:color="auto" w:fill="auto"/>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e45a1b3a8f49a9bebab9921a080935"/>
                <w:id w:val="865725652"/>
                <w:lock w:val="sdtLocked"/>
              </w:sdtPr>
              <w:sdtContent>
                <w:tc>
                  <w:tcPr>
                    <w:tcW w:w="1437" w:type="pct"/>
                    <w:shd w:val="clear" w:color="auto" w:fill="auto"/>
                  </w:tcPr>
                  <w:p>
                    <w:r>
                      <w:rPr>
                        <w:rFonts w:hint="eastAsia"/>
                      </w:rPr>
                      <w:t>一、短期薪酬</w:t>
                    </w:r>
                  </w:p>
                </w:tc>
              </w:sdtContent>
            </w:sdt>
            <w:tc>
              <w:tcPr>
                <w:tcW w:w="890" w:type="pct"/>
                <w:shd w:val="clear" w:color="auto" w:fill="auto"/>
                <w:vAlign w:val="center"/>
              </w:tcPr>
              <w:p>
                <w:pPr>
                  <w:jc w:val="right"/>
                  <w:rPr>
                    <w:rFonts w:ascii="Times New Roman" w:hAnsi="Times New Roman" w:cs="Times New Roman"/>
                    <w:sz w:val="24"/>
                  </w:rPr>
                </w:pPr>
                <w:r>
                  <w:rPr>
                    <w:rFonts w:ascii="Times New Roman" w:hAnsi="Times New Roman" w:cs="Times New Roman"/>
                  </w:rPr>
                  <w:t>1,655,068.72</w:t>
                </w:r>
              </w:p>
            </w:tc>
            <w:tc>
              <w:tcPr>
                <w:tcW w:w="888" w:type="pct"/>
                <w:shd w:val="clear" w:color="auto" w:fill="auto"/>
                <w:vAlign w:val="center"/>
              </w:tcPr>
              <w:p>
                <w:pPr>
                  <w:jc w:val="right"/>
                  <w:rPr>
                    <w:rFonts w:ascii="Times New Roman" w:hAnsi="Times New Roman" w:cs="Times New Roman"/>
                    <w:sz w:val="24"/>
                  </w:rPr>
                </w:pPr>
                <w:r>
                  <w:rPr>
                    <w:rFonts w:ascii="Times New Roman" w:hAnsi="Times New Roman" w:cs="Times New Roman"/>
                  </w:rPr>
                  <w:t>128,373,121.20</w:t>
                </w:r>
              </w:p>
            </w:tc>
            <w:tc>
              <w:tcPr>
                <w:tcW w:w="890" w:type="pct"/>
                <w:shd w:val="clear" w:color="auto" w:fill="auto"/>
                <w:vAlign w:val="center"/>
              </w:tcPr>
              <w:p>
                <w:pPr>
                  <w:jc w:val="right"/>
                  <w:rPr>
                    <w:rFonts w:ascii="Times New Roman" w:hAnsi="Times New Roman" w:cs="Times New Roman"/>
                    <w:sz w:val="24"/>
                  </w:rPr>
                </w:pPr>
                <w:r>
                  <w:rPr>
                    <w:rFonts w:ascii="Times New Roman" w:hAnsi="Times New Roman" w:cs="Times New Roman"/>
                  </w:rPr>
                  <w:t>128,022,950.86</w:t>
                </w:r>
              </w:p>
            </w:tc>
            <w:tc>
              <w:tcPr>
                <w:tcW w:w="895" w:type="pct"/>
                <w:shd w:val="clear" w:color="auto" w:fill="auto"/>
                <w:vAlign w:val="center"/>
              </w:tcPr>
              <w:p>
                <w:pPr>
                  <w:jc w:val="right"/>
                  <w:rPr>
                    <w:rFonts w:ascii="Times New Roman" w:hAnsi="Times New Roman" w:cs="Times New Roman"/>
                    <w:sz w:val="24"/>
                  </w:rPr>
                </w:pPr>
                <w:r>
                  <w:rPr>
                    <w:rFonts w:ascii="Times New Roman" w:hAnsi="Times New Roman" w:cs="Times New Roman"/>
                  </w:rPr>
                  <w:t>2,005,239.06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5c469f474b84d03aec3c8ae8d2d17fa"/>
                <w:id w:val="865725653"/>
                <w:lock w:val="sdtLocked"/>
              </w:sdtPr>
              <w:sdtContent>
                <w:tc>
                  <w:tcPr>
                    <w:tcW w:w="1437" w:type="pct"/>
                    <w:shd w:val="clear" w:color="auto" w:fill="auto"/>
                  </w:tcPr>
                  <w:p>
                    <w:r>
                      <w:rPr>
                        <w:rFonts w:hint="eastAsia"/>
                      </w:rPr>
                      <w:t>二、离职后福利-设定提存计划</w:t>
                    </w:r>
                  </w:p>
                </w:tc>
              </w:sdtContent>
            </w:sdt>
            <w:tc>
              <w:tcPr>
                <w:tcW w:w="890" w:type="pct"/>
                <w:shd w:val="clear" w:color="auto" w:fill="auto"/>
                <w:vAlign w:val="center"/>
              </w:tcPr>
              <w:p>
                <w:pPr>
                  <w:jc w:val="right"/>
                  <w:rPr>
                    <w:rFonts w:ascii="Times New Roman" w:hAnsi="Times New Roman" w:cs="Times New Roman"/>
                    <w:sz w:val="24"/>
                  </w:rPr>
                </w:pPr>
              </w:p>
            </w:tc>
            <w:tc>
              <w:tcPr>
                <w:tcW w:w="888" w:type="pct"/>
                <w:shd w:val="clear" w:color="auto" w:fill="auto"/>
                <w:vAlign w:val="center"/>
              </w:tcPr>
              <w:p>
                <w:pPr>
                  <w:jc w:val="right"/>
                  <w:rPr>
                    <w:rFonts w:ascii="Times New Roman" w:hAnsi="Times New Roman" w:cs="Times New Roman"/>
                    <w:sz w:val="24"/>
                  </w:rPr>
                </w:pPr>
                <w:r>
                  <w:rPr>
                    <w:rFonts w:ascii="Times New Roman" w:hAnsi="Times New Roman" w:cs="Times New Roman"/>
                  </w:rPr>
                  <w:t>8,845,109.19</w:t>
                </w:r>
              </w:p>
            </w:tc>
            <w:tc>
              <w:tcPr>
                <w:tcW w:w="890" w:type="pct"/>
                <w:shd w:val="clear" w:color="auto" w:fill="auto"/>
                <w:vAlign w:val="center"/>
              </w:tcPr>
              <w:p>
                <w:pPr>
                  <w:jc w:val="right"/>
                  <w:rPr>
                    <w:rFonts w:ascii="Times New Roman" w:hAnsi="Times New Roman" w:cs="Times New Roman"/>
                    <w:sz w:val="24"/>
                  </w:rPr>
                </w:pPr>
                <w:r>
                  <w:rPr>
                    <w:rFonts w:ascii="Times New Roman" w:hAnsi="Times New Roman" w:cs="Times New Roman"/>
                  </w:rPr>
                  <w:t>8,841,276.64</w:t>
                </w:r>
              </w:p>
            </w:tc>
            <w:tc>
              <w:tcPr>
                <w:tcW w:w="895" w:type="pct"/>
                <w:shd w:val="clear" w:color="auto" w:fill="auto"/>
                <w:vAlign w:val="center"/>
              </w:tcPr>
              <w:p>
                <w:pPr>
                  <w:jc w:val="right"/>
                  <w:rPr>
                    <w:rFonts w:ascii="Times New Roman" w:hAnsi="Times New Roman" w:cs="Times New Roman"/>
                    <w:sz w:val="24"/>
                  </w:rPr>
                </w:pPr>
                <w:r>
                  <w:rPr>
                    <w:rFonts w:ascii="Times New Roman" w:hAnsi="Times New Roman" w:cs="Times New Roman"/>
                  </w:rPr>
                  <w:t>3,832.55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836a9d646024a08a05edfa8ec8dfb80"/>
                <w:id w:val="865725654"/>
                <w:lock w:val="sdtLocked"/>
              </w:sdtPr>
              <w:sdtContent>
                <w:tc>
                  <w:tcPr>
                    <w:tcW w:w="1437" w:type="pct"/>
                    <w:shd w:val="clear" w:color="auto" w:fill="auto"/>
                  </w:tcPr>
                  <w:p>
                    <w:r>
                      <w:rPr>
                        <w:rFonts w:hint="eastAsia"/>
                      </w:rPr>
                      <w:t>三、辞退福利</w:t>
                    </w:r>
                  </w:p>
                </w:tc>
              </w:sdtContent>
            </w:sdt>
            <w:tc>
              <w:tcPr>
                <w:tcW w:w="890" w:type="pct"/>
                <w:shd w:val="clear" w:color="auto" w:fill="auto"/>
                <w:vAlign w:val="center"/>
              </w:tcPr>
              <w:p>
                <w:pPr>
                  <w:jc w:val="right"/>
                  <w:rPr>
                    <w:rFonts w:ascii="Times New Roman" w:hAnsi="Times New Roman" w:cs="Times New Roman"/>
                    <w:sz w:val="24"/>
                  </w:rPr>
                </w:pPr>
                <w:r>
                  <w:rPr>
                    <w:rFonts w:ascii="Times New Roman" w:hAnsi="Times New Roman" w:cs="Times New Roman"/>
                  </w:rPr>
                  <w:t>1,748,840.15</w:t>
                </w:r>
              </w:p>
            </w:tc>
            <w:tc>
              <w:tcPr>
                <w:tcW w:w="888" w:type="pct"/>
                <w:shd w:val="clear" w:color="auto" w:fill="auto"/>
                <w:vAlign w:val="center"/>
              </w:tcPr>
              <w:p>
                <w:pPr>
                  <w:jc w:val="right"/>
                  <w:rPr>
                    <w:rFonts w:ascii="Times New Roman" w:hAnsi="Times New Roman" w:cs="Times New Roman"/>
                    <w:sz w:val="24"/>
                  </w:rPr>
                </w:pPr>
                <w:r>
                  <w:rPr>
                    <w:rFonts w:ascii="Times New Roman" w:hAnsi="Times New Roman" w:cs="Times New Roman"/>
                  </w:rPr>
                  <w:t>3,541,398.00</w:t>
                </w:r>
              </w:p>
            </w:tc>
            <w:tc>
              <w:tcPr>
                <w:tcW w:w="890" w:type="pct"/>
                <w:shd w:val="clear" w:color="auto" w:fill="auto"/>
                <w:vAlign w:val="center"/>
              </w:tcPr>
              <w:p>
                <w:pPr>
                  <w:jc w:val="right"/>
                  <w:rPr>
                    <w:rFonts w:ascii="Times New Roman" w:hAnsi="Times New Roman" w:cs="Times New Roman"/>
                    <w:sz w:val="24"/>
                  </w:rPr>
                </w:pPr>
                <w:r>
                  <w:rPr>
                    <w:rFonts w:ascii="Times New Roman" w:hAnsi="Times New Roman" w:cs="Times New Roman"/>
                  </w:rPr>
                  <w:t>3,902,373.57</w:t>
                </w:r>
              </w:p>
            </w:tc>
            <w:tc>
              <w:tcPr>
                <w:tcW w:w="895" w:type="pct"/>
                <w:shd w:val="clear" w:color="auto" w:fill="auto"/>
                <w:vAlign w:val="center"/>
              </w:tcPr>
              <w:p>
                <w:pPr>
                  <w:jc w:val="right"/>
                  <w:rPr>
                    <w:rFonts w:ascii="Times New Roman" w:hAnsi="Times New Roman" w:cs="Times New Roman"/>
                    <w:sz w:val="24"/>
                  </w:rPr>
                </w:pPr>
                <w:r>
                  <w:rPr>
                    <w:rFonts w:ascii="Times New Roman" w:hAnsi="Times New Roman" w:cs="Times New Roman"/>
                  </w:rPr>
                  <w:t>1,387,864.58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1019de3ccd64eaa84acd956d8bfee10"/>
                <w:id w:val="865725655"/>
                <w:lock w:val="sdtLocked"/>
              </w:sdtPr>
              <w:sdtContent>
                <w:tc>
                  <w:tcPr>
                    <w:tcW w:w="1437" w:type="pct"/>
                    <w:shd w:val="clear" w:color="auto" w:fill="auto"/>
                  </w:tcPr>
                  <w:p>
                    <w:r>
                      <w:rPr>
                        <w:rFonts w:hint="eastAsia"/>
                      </w:rPr>
                      <w:t>四、一年内到期的其他福利</w:t>
                    </w:r>
                  </w:p>
                </w:tc>
              </w:sdtContent>
            </w:sdt>
            <w:tc>
              <w:tcPr>
                <w:tcW w:w="890" w:type="pct"/>
                <w:shd w:val="clear" w:color="auto" w:fill="auto"/>
                <w:vAlign w:val="center"/>
              </w:tcPr>
              <w:p>
                <w:pPr>
                  <w:jc w:val="right"/>
                  <w:rPr>
                    <w:rFonts w:ascii="Times New Roman" w:hAnsi="Times New Roman" w:cs="Times New Roman"/>
                  </w:rPr>
                </w:pPr>
              </w:p>
            </w:tc>
            <w:tc>
              <w:tcPr>
                <w:tcW w:w="888" w:type="pct"/>
                <w:shd w:val="clear" w:color="auto" w:fill="auto"/>
                <w:vAlign w:val="center"/>
              </w:tcPr>
              <w:p>
                <w:pPr>
                  <w:jc w:val="right"/>
                  <w:rPr>
                    <w:rFonts w:ascii="Times New Roman" w:hAnsi="Times New Roman" w:cs="Times New Roman"/>
                  </w:rPr>
                </w:pPr>
              </w:p>
            </w:tc>
            <w:tc>
              <w:tcPr>
                <w:tcW w:w="890" w:type="pct"/>
                <w:shd w:val="clear" w:color="auto" w:fill="auto"/>
                <w:vAlign w:val="center"/>
              </w:tcPr>
              <w:p>
                <w:pPr>
                  <w:jc w:val="right"/>
                  <w:rPr>
                    <w:rFonts w:ascii="Times New Roman" w:hAnsi="Times New Roman" w:cs="Times New Roman"/>
                  </w:rPr>
                </w:pPr>
              </w:p>
            </w:tc>
            <w:tc>
              <w:tcPr>
                <w:tcW w:w="895" w:type="pct"/>
                <w:shd w:val="clear" w:color="auto" w:fill="auto"/>
                <w:vAlign w:val="center"/>
              </w:tcPr>
              <w:p>
                <w:pPr>
                  <w:jc w:val="right"/>
                  <w:rPr>
                    <w:rFonts w:ascii="Times New Roman" w:hAnsi="Times New Roman" w:cs="Times New Roman"/>
                  </w:rPr>
                </w:pPr>
              </w:p>
            </w:tc>
          </w:tr>
          <w:sdt>
            <w:sdtPr>
              <w:alias w:val="应付职工薪酬列示明细"/>
              <w:tag w:val="_TUP_489836286b414ef59dafada47247ae83"/>
              <w:id w:val="865725656"/>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tcPr>
                  <w:p>
                    <w:pPr>
                      <w:jc w:val="both"/>
                    </w:pPr>
                  </w:p>
                </w:tc>
                <w:tc>
                  <w:tcPr>
                    <w:tcW w:w="890" w:type="pct"/>
                    <w:shd w:val="clear" w:color="auto" w:fill="auto"/>
                    <w:vAlign w:val="center"/>
                  </w:tcPr>
                  <w:p>
                    <w:pPr>
                      <w:jc w:val="right"/>
                      <w:rPr>
                        <w:rFonts w:ascii="Times New Roman" w:hAnsi="Times New Roman" w:cs="Times New Roman"/>
                      </w:rPr>
                    </w:pPr>
                  </w:p>
                </w:tc>
                <w:tc>
                  <w:tcPr>
                    <w:tcW w:w="888" w:type="pct"/>
                    <w:shd w:val="clear" w:color="auto" w:fill="auto"/>
                    <w:vAlign w:val="center"/>
                  </w:tcPr>
                  <w:p>
                    <w:pPr>
                      <w:jc w:val="right"/>
                      <w:rPr>
                        <w:rFonts w:ascii="Times New Roman" w:hAnsi="Times New Roman" w:cs="Times New Roman"/>
                      </w:rPr>
                    </w:pPr>
                  </w:p>
                </w:tc>
                <w:tc>
                  <w:tcPr>
                    <w:tcW w:w="890" w:type="pct"/>
                    <w:shd w:val="clear" w:color="auto" w:fill="auto"/>
                    <w:vAlign w:val="center"/>
                  </w:tcPr>
                  <w:p>
                    <w:pPr>
                      <w:jc w:val="right"/>
                      <w:rPr>
                        <w:rFonts w:ascii="Times New Roman" w:hAnsi="Times New Roman" w:cs="Times New Roman"/>
                      </w:rPr>
                    </w:pPr>
                  </w:p>
                </w:tc>
                <w:tc>
                  <w:tcPr>
                    <w:tcW w:w="895" w:type="pct"/>
                    <w:shd w:val="clear" w:color="auto" w:fill="auto"/>
                    <w:vAlign w:val="center"/>
                  </w:tcPr>
                  <w:p>
                    <w:pPr>
                      <w:jc w:val="right"/>
                      <w:rPr>
                        <w:rFonts w:ascii="Times New Roman" w:hAnsi="Times New Roman" w:cs="Times New Roman"/>
                      </w:rPr>
                    </w:pPr>
                  </w:p>
                </w:tc>
              </w:tr>
            </w:sdtContent>
          </w:sdt>
          <w:sdt>
            <w:sdtPr>
              <w:alias w:val="应付职工薪酬列示明细"/>
              <w:tag w:val="_TUP_489836286b414ef59dafada47247ae83"/>
              <w:id w:val="865725657"/>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tcPr>
                  <w:p>
                    <w:pPr>
                      <w:jc w:val="both"/>
                    </w:pPr>
                  </w:p>
                </w:tc>
                <w:tc>
                  <w:tcPr>
                    <w:tcW w:w="890" w:type="pct"/>
                    <w:shd w:val="clear" w:color="auto" w:fill="auto"/>
                    <w:vAlign w:val="center"/>
                  </w:tcPr>
                  <w:p>
                    <w:pPr>
                      <w:jc w:val="right"/>
                      <w:rPr>
                        <w:rFonts w:ascii="Times New Roman" w:hAnsi="Times New Roman" w:cs="Times New Roman"/>
                      </w:rPr>
                    </w:pPr>
                  </w:p>
                </w:tc>
                <w:tc>
                  <w:tcPr>
                    <w:tcW w:w="888" w:type="pct"/>
                    <w:shd w:val="clear" w:color="auto" w:fill="auto"/>
                    <w:vAlign w:val="center"/>
                  </w:tcPr>
                  <w:p>
                    <w:pPr>
                      <w:jc w:val="right"/>
                      <w:rPr>
                        <w:rFonts w:ascii="Times New Roman" w:hAnsi="Times New Roman" w:cs="Times New Roman"/>
                      </w:rPr>
                    </w:pPr>
                  </w:p>
                </w:tc>
                <w:tc>
                  <w:tcPr>
                    <w:tcW w:w="890" w:type="pct"/>
                    <w:shd w:val="clear" w:color="auto" w:fill="auto"/>
                    <w:vAlign w:val="center"/>
                  </w:tcPr>
                  <w:p>
                    <w:pPr>
                      <w:jc w:val="right"/>
                      <w:rPr>
                        <w:rFonts w:ascii="Times New Roman" w:hAnsi="Times New Roman" w:cs="Times New Roman"/>
                      </w:rPr>
                    </w:pPr>
                  </w:p>
                </w:tc>
                <w:tc>
                  <w:tcPr>
                    <w:tcW w:w="895" w:type="pct"/>
                    <w:shd w:val="clear" w:color="auto" w:fill="auto"/>
                    <w:vAlign w:val="center"/>
                  </w:tcPr>
                  <w:p>
                    <w:pPr>
                      <w:jc w:val="right"/>
                      <w:rPr>
                        <w:rFonts w:ascii="Times New Roman" w:hAnsi="Times New Roman" w:cs="Times New Roman"/>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217d7a2d104da696101497dda89e28"/>
                <w:id w:val="865725658"/>
                <w:lock w:val="sdtLocked"/>
              </w:sdtPr>
              <w:sdtContent>
                <w:tc>
                  <w:tcPr>
                    <w:tcW w:w="1437" w:type="pct"/>
                    <w:shd w:val="clear" w:color="auto" w:fill="auto"/>
                    <w:vAlign w:val="center"/>
                  </w:tcPr>
                  <w:p>
                    <w:pPr>
                      <w:jc w:val="center"/>
                    </w:pPr>
                    <w:r>
                      <w:rPr>
                        <w:rFonts w:hint="eastAsia"/>
                      </w:rPr>
                      <w:t>合计</w:t>
                    </w:r>
                  </w:p>
                </w:tc>
              </w:sdtContent>
            </w:sdt>
            <w:tc>
              <w:tcPr>
                <w:tcW w:w="890" w:type="pct"/>
                <w:shd w:val="clear" w:color="auto" w:fill="auto"/>
                <w:vAlign w:val="center"/>
              </w:tcPr>
              <w:p>
                <w:pPr>
                  <w:jc w:val="right"/>
                  <w:rPr>
                    <w:rFonts w:ascii="Times New Roman" w:hAnsi="Times New Roman" w:cs="Times New Roman"/>
                    <w:sz w:val="24"/>
                  </w:rPr>
                </w:pPr>
                <w:r>
                  <w:rPr>
                    <w:rFonts w:ascii="Times New Roman" w:hAnsi="Times New Roman" w:cs="Times New Roman"/>
                  </w:rPr>
                  <w:t>3,403,908.87</w:t>
                </w:r>
              </w:p>
            </w:tc>
            <w:tc>
              <w:tcPr>
                <w:tcW w:w="888" w:type="pct"/>
                <w:shd w:val="clear" w:color="auto" w:fill="auto"/>
                <w:vAlign w:val="center"/>
              </w:tcPr>
              <w:p>
                <w:pPr>
                  <w:jc w:val="right"/>
                  <w:rPr>
                    <w:rFonts w:ascii="Times New Roman" w:hAnsi="Times New Roman" w:cs="Times New Roman"/>
                    <w:sz w:val="24"/>
                  </w:rPr>
                </w:pPr>
                <w:r>
                  <w:rPr>
                    <w:rFonts w:ascii="Times New Roman" w:hAnsi="Times New Roman" w:cs="Times New Roman"/>
                  </w:rPr>
                  <w:t>140,759,628.39</w:t>
                </w:r>
              </w:p>
            </w:tc>
            <w:tc>
              <w:tcPr>
                <w:tcW w:w="890" w:type="pct"/>
                <w:shd w:val="clear" w:color="auto" w:fill="auto"/>
                <w:vAlign w:val="center"/>
              </w:tcPr>
              <w:p>
                <w:pPr>
                  <w:jc w:val="right"/>
                  <w:rPr>
                    <w:rFonts w:ascii="Times New Roman" w:hAnsi="Times New Roman" w:cs="Times New Roman"/>
                    <w:sz w:val="24"/>
                  </w:rPr>
                </w:pPr>
                <w:r>
                  <w:rPr>
                    <w:rFonts w:ascii="Times New Roman" w:hAnsi="Times New Roman" w:cs="Times New Roman"/>
                  </w:rPr>
                  <w:t>140,766,601.07</w:t>
                </w:r>
              </w:p>
            </w:tc>
            <w:tc>
              <w:tcPr>
                <w:tcW w:w="895" w:type="pct"/>
                <w:shd w:val="clear" w:color="auto" w:fill="auto"/>
                <w:vAlign w:val="center"/>
              </w:tcPr>
              <w:p>
                <w:pPr>
                  <w:jc w:val="right"/>
                  <w:rPr>
                    <w:rFonts w:ascii="Times New Roman" w:hAnsi="Times New Roman" w:cs="Times New Roman"/>
                    <w:sz w:val="24"/>
                  </w:rPr>
                </w:pPr>
                <w:r>
                  <w:rPr>
                    <w:rFonts w:ascii="Times New Roman" w:hAnsi="Times New Roman" w:cs="Times New Roman"/>
                  </w:rPr>
                  <w:t>3,396,936.19</w:t>
                </w:r>
              </w:p>
            </w:tc>
          </w:tr>
        </w:tbl>
        <w:p/>
      </w:sdtContent>
    </w:sdt>
    <w:sdt>
      <w:sdtPr>
        <w:rPr>
          <w:rFonts w:hint="eastAsia" w:ascii="宋体" w:hAnsi="宋体" w:eastAsia="宋体" w:cs="宋体"/>
          <w:b w:val="0"/>
          <w:bCs w:val="0"/>
          <w:kern w:val="0"/>
          <w:szCs w:val="24"/>
        </w:rPr>
        <w:alias w:val="模块:短期薪酬列示"/>
        <w:tag w:val="_SEC_1cb33e613a2043aba490a4f493078cdf"/>
        <w:id w:val="865725683"/>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0"/>
              <w:numId w:val="102"/>
            </w:numPr>
          </w:pPr>
          <w:r>
            <w:rPr>
              <w:rFonts w:hint="eastAsia"/>
            </w:rPr>
            <w:t>短期薪酬列示</w:t>
          </w:r>
        </w:p>
        <w:sdt>
          <w:sdtPr>
            <w:alias w:val="是否适用：短期薪酬列示[双击切换]"/>
            <w:tag w:val="_GBC_531fef0ef27e47ad98c1bb26abdf204f"/>
            <w:id w:val="86572566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短期薪酬"/>
              <w:tag w:val="_GBC_4710a4978b1b4a4bbcd5757aaf80b8d7"/>
              <w:id w:val="865725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865725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1613"/>
            <w:gridCol w:w="1594"/>
            <w:gridCol w:w="1609"/>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77153d49ca449b191bb833cd5f689b2"/>
                <w:id w:val="865725663"/>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557c49ee2a4f40de99f948c76f4c3adc"/>
                <w:id w:val="865725664"/>
                <w:lock w:val="sdtLocked"/>
              </w:sdtPr>
              <w:sdtEndPr>
                <w:rPr>
                  <w:rFonts w:ascii="Times New Roman" w:hAnsi="Times New Roman" w:cs="Times New Roman"/>
                </w:rPr>
              </w:sdtEndPr>
              <w:sdtContent>
                <w:tc>
                  <w:tcPr>
                    <w:tcW w:w="89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期初余额</w:t>
                    </w:r>
                  </w:p>
                </w:tc>
              </w:sdtContent>
            </w:sdt>
            <w:sdt>
              <w:sdtPr>
                <w:rPr>
                  <w:rFonts w:ascii="Times New Roman" w:hAnsi="Times New Roman" w:cs="Times New Roman"/>
                </w:rPr>
                <w:tag w:val="_PLD_98d1ab48f8084264aff0ef3a30e8ba71"/>
                <w:id w:val="865725665"/>
                <w:lock w:val="sdtLocked"/>
              </w:sdtPr>
              <w:sdtEndPr>
                <w:rPr>
                  <w:rFonts w:ascii="Times New Roman" w:hAnsi="Times New Roman" w:cs="Times New Roman"/>
                </w:rPr>
              </w:sdtEndPr>
              <w:sdtContent>
                <w:tc>
                  <w:tcPr>
                    <w:tcW w:w="8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cs="Times New Roman"/>
                      </w:rPr>
                      <w:t>本期增加</w:t>
                    </w:r>
                  </w:p>
                </w:tc>
              </w:sdtContent>
            </w:sdt>
            <w:sdt>
              <w:sdtPr>
                <w:rPr>
                  <w:rFonts w:ascii="Times New Roman" w:hAnsi="Times New Roman" w:cs="Times New Roman"/>
                </w:rPr>
                <w:tag w:val="_PLD_e35c4f26db444503b2f9a32896872169"/>
                <w:id w:val="865725666"/>
                <w:lock w:val="sdtLocked"/>
              </w:sdtPr>
              <w:sdtEndPr>
                <w:rPr>
                  <w:rFonts w:ascii="Times New Roman" w:hAnsi="Times New Roman" w:cs="Times New Roman"/>
                </w:rPr>
              </w:sdtEndPr>
              <w:sdtContent>
                <w:tc>
                  <w:tcPr>
                    <w:tcW w:w="8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cs="Times New Roman"/>
                      </w:rPr>
                      <w:t>本期减少</w:t>
                    </w:r>
                  </w:p>
                </w:tc>
              </w:sdtContent>
            </w:sdt>
            <w:sdt>
              <w:sdtPr>
                <w:rPr>
                  <w:rFonts w:ascii="Times New Roman" w:hAnsi="Times New Roman" w:cs="Times New Roman"/>
                </w:rPr>
                <w:tag w:val="_PLD_e67d191300ac43c2b1b07c1beddfe891"/>
                <w:id w:val="865725667"/>
                <w:lock w:val="sdtLocked"/>
              </w:sdtPr>
              <w:sdtEndPr>
                <w:rPr>
                  <w:rFonts w:ascii="Times New Roman" w:hAnsi="Times New Roman" w:cs="Times New Roman"/>
                </w:rPr>
              </w:sdtEndPr>
              <w:sdtContent>
                <w:tc>
                  <w:tcPr>
                    <w:tcW w:w="89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87f068b039b44a99f27487cfa74131d"/>
                <w:id w:val="865725668"/>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一、工资、奖金、津贴和补贴</w:t>
                    </w:r>
                  </w:p>
                </w:tc>
              </w:sdtContent>
            </w:sdt>
            <w:tc>
              <w:tcPr>
                <w:tcW w:w="89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1,090,620.29</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112,532,372.11</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112,096,669.83</w:t>
                </w:r>
              </w:p>
            </w:tc>
            <w:tc>
              <w:tcPr>
                <w:tcW w:w="89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1,526,322.57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3d6cf6c562b4c03b4db52d8f6a162bf"/>
                <w:id w:val="865725669"/>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二、职工福利费</w:t>
                    </w:r>
                  </w:p>
                </w:tc>
              </w:sdtContent>
            </w:sdt>
            <w:tc>
              <w:tcPr>
                <w:tcW w:w="89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5,135,774.31</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5,135,774.31</w:t>
                </w:r>
              </w:p>
            </w:tc>
            <w:tc>
              <w:tcPr>
                <w:tcW w:w="89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011e3a4fe354f7a9e7ed202f78200ac"/>
                <w:id w:val="865725670"/>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三、社会保险费</w:t>
                    </w:r>
                  </w:p>
                </w:tc>
              </w:sdtContent>
            </w:sdt>
            <w:tc>
              <w:tcPr>
                <w:tcW w:w="89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57,103.98</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5,274,721.68</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5,254,436.09</w:t>
                </w:r>
              </w:p>
            </w:tc>
            <w:tc>
              <w:tcPr>
                <w:tcW w:w="89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77,389.57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d186f69dd324ed3abe373aa87498a4e"/>
                <w:id w:val="865725671"/>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008000"/>
                        <w:szCs w:val="21"/>
                      </w:rPr>
                    </w:pPr>
                    <w:r>
                      <w:rPr>
                        <w:rFonts w:ascii="Times New Roman" w:cs="Times New Roman"/>
                        <w:szCs w:val="21"/>
                      </w:rPr>
                      <w:t>其中：医疗保险费</w:t>
                    </w:r>
                  </w:p>
                </w:tc>
              </w:sdtContent>
            </w:sdt>
            <w:tc>
              <w:tcPr>
                <w:tcW w:w="89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4,901,409.39</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4,824,147.58</w:t>
                </w:r>
              </w:p>
            </w:tc>
            <w:tc>
              <w:tcPr>
                <w:tcW w:w="89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77,261.81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436db8b255c424989dd912d9da0810f"/>
                <w:id w:val="865725672"/>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tcPr>
                  <w:p>
                    <w:pPr>
                      <w:ind w:firstLine="630" w:firstLineChars="300"/>
                      <w:rPr>
                        <w:rFonts w:ascii="Times New Roman" w:hAnsi="Times New Roman" w:cs="Times New Roman"/>
                        <w:szCs w:val="21"/>
                      </w:rPr>
                    </w:pPr>
                    <w:r>
                      <w:rPr>
                        <w:rFonts w:ascii="Times New Roman" w:cs="Times New Roman"/>
                        <w:szCs w:val="21"/>
                      </w:rPr>
                      <w:t>工伤保险费</w:t>
                    </w:r>
                  </w:p>
                </w:tc>
              </w:sdtContent>
            </w:sdt>
            <w:tc>
              <w:tcPr>
                <w:tcW w:w="89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28,954.93</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373,312.29</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402,139.46</w:t>
                </w:r>
              </w:p>
            </w:tc>
            <w:tc>
              <w:tcPr>
                <w:tcW w:w="89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127.76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c537c2776fc4170be41d466293e3ace"/>
                <w:id w:val="865725673"/>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tcPr>
                  <w:p>
                    <w:pPr>
                      <w:ind w:firstLine="630" w:firstLineChars="300"/>
                      <w:rPr>
                        <w:rFonts w:ascii="Times New Roman" w:hAnsi="Times New Roman" w:cs="Times New Roman"/>
                        <w:szCs w:val="21"/>
                      </w:rPr>
                    </w:pPr>
                    <w:r>
                      <w:rPr>
                        <w:rFonts w:ascii="Times New Roman" w:cs="Times New Roman"/>
                        <w:szCs w:val="21"/>
                      </w:rPr>
                      <w:t>生育保险费</w:t>
                    </w:r>
                  </w:p>
                </w:tc>
              </w:sdtContent>
            </w:sdt>
            <w:tc>
              <w:tcPr>
                <w:tcW w:w="89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28,149.05</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28,149.05</w:t>
                </w:r>
              </w:p>
            </w:tc>
            <w:tc>
              <w:tcPr>
                <w:tcW w:w="89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930d81c2c064993bcbc2324f2678afe"/>
                <w:id w:val="865725676"/>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四、住房公积金</w:t>
                    </w:r>
                  </w:p>
                </w:tc>
              </w:sdtContent>
            </w:sdt>
            <w:tc>
              <w:tcPr>
                <w:tcW w:w="89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4,417,527.99</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4,415,205.99</w:t>
                </w:r>
              </w:p>
            </w:tc>
            <w:tc>
              <w:tcPr>
                <w:tcW w:w="89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2,322.00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933de2245bb4749bc8731371b57fd14"/>
                <w:id w:val="865725677"/>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五、工会经费和职工教育经费</w:t>
                    </w:r>
                  </w:p>
                </w:tc>
              </w:sdtContent>
            </w:sdt>
            <w:tc>
              <w:tcPr>
                <w:tcW w:w="89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507,344.45</w:t>
                </w:r>
              </w:p>
            </w:tc>
            <w:tc>
              <w:tcPr>
                <w:tcW w:w="88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1,012,725.11</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1,120,864.64</w:t>
                </w:r>
              </w:p>
            </w:tc>
            <w:tc>
              <w:tcPr>
                <w:tcW w:w="89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399,204.92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b8c0eeaa431422fa1ad262899b738f2"/>
                <w:id w:val="865725678"/>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六、短期带薪缺勤</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8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9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f452ad04150b46f2bfd616a7555ac734"/>
                <w:id w:val="865725679"/>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七、短期利润分享计划</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8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9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d43dc7142ef4f83aac50116249ad759"/>
                <w:id w:val="865725682"/>
                <w:lock w:val="sdtLocked"/>
              </w:sdtPr>
              <w:sdtEndPr>
                <w:rPr>
                  <w:rFonts w:ascii="Times New Roman" w:hAnsi="Times New Roman" w:cs="Times New Roman"/>
                </w:rPr>
              </w:sdtEndPr>
              <w:sdtContent>
                <w:tc>
                  <w:tcPr>
                    <w:tcW w:w="144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合计</w:t>
                    </w:r>
                  </w:p>
                </w:tc>
              </w:sdtContent>
            </w:sdt>
            <w:tc>
              <w:tcPr>
                <w:tcW w:w="891"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1,655,068.72</w:t>
                </w:r>
              </w:p>
            </w:tc>
            <w:tc>
              <w:tcPr>
                <w:tcW w:w="881"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128,373,121.20</w:t>
                </w:r>
              </w:p>
            </w:tc>
            <w:tc>
              <w:tcPr>
                <w:tcW w:w="8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128,022,950.86</w:t>
                </w:r>
              </w:p>
            </w:tc>
            <w:tc>
              <w:tcPr>
                <w:tcW w:w="89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2,005,239.06</w:t>
                </w:r>
              </w:p>
            </w:tc>
          </w:tr>
        </w:tbl>
        <w:p>
          <w:pPr>
            <w:rPr>
              <w:color w:val="000000" w:themeColor="text1"/>
              <w:szCs w:val="21"/>
            </w:rPr>
          </w:pPr>
        </w:p>
      </w:sdtContent>
    </w:sdt>
    <w:sdt>
      <w:sdtPr>
        <w:rPr>
          <w:rFonts w:hint="eastAsia" w:ascii="宋体" w:hAnsi="宋体" w:eastAsia="宋体" w:cs="宋体"/>
          <w:b w:val="0"/>
          <w:bCs w:val="0"/>
          <w:kern w:val="0"/>
          <w:szCs w:val="24"/>
        </w:rPr>
        <w:alias w:val="模块:设定提存计划列示"/>
        <w:tag w:val="_SEC_09e47a9c2ace47f19c4a16776060c867"/>
        <w:id w:val="865725698"/>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102"/>
            </w:numPr>
          </w:pPr>
          <w:r>
            <w:rPr>
              <w:rFonts w:hint="eastAsia"/>
            </w:rPr>
            <w:t>设定提存计划列示</w:t>
          </w:r>
        </w:p>
        <w:p>
          <w:sdt>
            <w:sdtPr>
              <w:alias w:val="是否适用：设定提存计划列示[双击切换]"/>
              <w:tag w:val="_GBC_b10b1dbaca2d418ba8658bab8f732ec8"/>
              <w:id w:val="865725684"/>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设定提存计划列示"/>
              <w:tag w:val="_GBC_925094ba622346ba8857a40cf7e6f1b2"/>
              <w:id w:val="8657256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865725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1623"/>
            <w:gridCol w:w="1609"/>
            <w:gridCol w:w="1638"/>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a05fd1b5f8842ba9ae6094f6792dfbe"/>
                <w:id w:val="865725687"/>
                <w:lock w:val="sdtLocked"/>
              </w:sdtPr>
              <w:sdtEndPr>
                <w:rPr>
                  <w:rFonts w:ascii="Times New Roman" w:hAnsi="Times New Roman" w:cs="Times New Roman"/>
                </w:rPr>
              </w:sdtEndPr>
              <w:sdtContent>
                <w:tc>
                  <w:tcPr>
                    <w:tcW w:w="142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s="Times New Roman"/>
                      </w:rPr>
                    </w:pPr>
                    <w:r>
                      <w:rPr>
                        <w:rFonts w:ascii="Times New Roman" w:cs="Times New Roman"/>
                      </w:rPr>
                      <w:t>项目</w:t>
                    </w:r>
                  </w:p>
                </w:tc>
              </w:sdtContent>
            </w:sdt>
            <w:sdt>
              <w:sdtPr>
                <w:rPr>
                  <w:rFonts w:ascii="Times New Roman" w:hAnsi="Times New Roman" w:cs="Times New Roman"/>
                </w:rPr>
                <w:tag w:val="_PLD_fae7d76d85e4429d925f3d30ff27566f"/>
                <w:id w:val="865725688"/>
                <w:lock w:val="sdtLocked"/>
              </w:sdtPr>
              <w:sdtEndPr>
                <w:rPr>
                  <w:rFonts w:ascii="Times New Roman" w:hAnsi="Times New Roman" w:cs="Times New Roman"/>
                </w:rPr>
              </w:sdtEndPr>
              <w:sdtContent>
                <w:tc>
                  <w:tcPr>
                    <w:tcW w:w="89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s="Times New Roman"/>
                      </w:rPr>
                    </w:pPr>
                    <w:r>
                      <w:rPr>
                        <w:rFonts w:ascii="Times New Roman" w:cs="Times New Roman"/>
                      </w:rPr>
                      <w:t>期初余额</w:t>
                    </w:r>
                  </w:p>
                </w:tc>
              </w:sdtContent>
            </w:sdt>
            <w:sdt>
              <w:sdtPr>
                <w:rPr>
                  <w:rFonts w:ascii="Times New Roman" w:hAnsi="Times New Roman" w:cs="Times New Roman"/>
                </w:rPr>
                <w:tag w:val="_PLD_cd3c897871944aa0a1ea524d70e51704"/>
                <w:id w:val="865725689"/>
                <w:lock w:val="sdtLocked"/>
              </w:sdtPr>
              <w:sdtEndPr>
                <w:rPr>
                  <w:rFonts w:ascii="Times New Roman" w:hAnsi="Times New Roman" w:cs="Times New Roman"/>
                </w:rPr>
              </w:sdtEndPr>
              <w:sdtContent>
                <w:tc>
                  <w:tcPr>
                    <w:tcW w:w="88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s="Times New Roman"/>
                      </w:rPr>
                    </w:pPr>
                    <w:r>
                      <w:rPr>
                        <w:rFonts w:ascii="Times New Roman" w:cs="Times New Roman"/>
                      </w:rPr>
                      <w:t>本期增加</w:t>
                    </w:r>
                  </w:p>
                </w:tc>
              </w:sdtContent>
            </w:sdt>
            <w:sdt>
              <w:sdtPr>
                <w:rPr>
                  <w:rFonts w:ascii="Times New Roman" w:hAnsi="Times New Roman" w:cs="Times New Roman"/>
                </w:rPr>
                <w:tag w:val="_PLD_5ef10b06a3d24730bad93c45f119182f"/>
                <w:id w:val="865725690"/>
                <w:lock w:val="sdtLocked"/>
              </w:sdtPr>
              <w:sdtEndPr>
                <w:rPr>
                  <w:rFonts w:ascii="Times New Roman" w:hAnsi="Times New Roman" w:cs="Times New Roman"/>
                </w:rPr>
              </w:sdtEndPr>
              <w:sdtContent>
                <w:tc>
                  <w:tcPr>
                    <w:tcW w:w="90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s="Times New Roman"/>
                      </w:rPr>
                    </w:pPr>
                    <w:r>
                      <w:rPr>
                        <w:rFonts w:ascii="Times New Roman" w:cs="Times New Roman"/>
                      </w:rPr>
                      <w:t>本期减少</w:t>
                    </w:r>
                  </w:p>
                </w:tc>
              </w:sdtContent>
            </w:sdt>
            <w:sdt>
              <w:sdtPr>
                <w:rPr>
                  <w:rFonts w:ascii="Times New Roman" w:hAnsi="Times New Roman" w:cs="Times New Roman"/>
                </w:rPr>
                <w:tag w:val="_PLD_13d5e5df016d4921aa56218755dfb8f4"/>
                <w:id w:val="865725691"/>
                <w:lock w:val="sdtLocked"/>
              </w:sdtPr>
              <w:sdtEndPr>
                <w:rPr>
                  <w:rFonts w:ascii="Times New Roman" w:hAnsi="Times New Roman" w:cs="Times New Roman"/>
                </w:rPr>
              </w:sdtEndPr>
              <w:sdtContent>
                <w:tc>
                  <w:tcPr>
                    <w:tcW w:w="880"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s="Times New Roman"/>
                      </w:rPr>
                    </w:pPr>
                    <w:r>
                      <w:rPr>
                        <w:rFonts w:ascii="Times New Roman" w:cs="Times New Roman"/>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92f35728476417fb8764a48f0f9f81a"/>
                <w:id w:val="865725692"/>
                <w:lock w:val="sdtLocked"/>
              </w:sdtPr>
              <w:sdtEndPr>
                <w:rPr>
                  <w:rFonts w:ascii="Times New Roman" w:hAnsi="Times New Roman" w:cs="Times New Roman"/>
                </w:rPr>
              </w:sdtEnd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pPr>
                      <w:rPr>
                        <w:rFonts w:ascii="Times New Roman" w:hAnsi="Times New Roman" w:cs="Times New Roman"/>
                      </w:rPr>
                    </w:pPr>
                    <w:r>
                      <w:rPr>
                        <w:rFonts w:ascii="Times New Roman" w:hAnsi="Times New Roman" w:cs="Times New Roman"/>
                      </w:rPr>
                      <w:t>1</w:t>
                    </w:r>
                    <w:r>
                      <w:rPr>
                        <w:rFonts w:ascii="Times New Roman" w:cs="Times New Roman"/>
                      </w:rPr>
                      <w:t>、基本养老保险</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vAlign w:val="center"/>
              </w:tcPr>
              <w:p>
                <w:pPr>
                  <w:rPr>
                    <w:rFonts w:ascii="Times New Roman" w:hAnsi="Times New Roman" w:cs="Times New Roman"/>
                    <w:sz w:val="24"/>
                  </w:rPr>
                </w:pPr>
              </w:p>
            </w:tc>
            <w:tc>
              <w:tcPr>
                <w:tcW w:w="88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8,584,585.87</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8,580,869.46</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3,716.41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cc792e49f2f4282bad089744bc43079"/>
                <w:id w:val="865725693"/>
                <w:lock w:val="sdtLocked"/>
              </w:sdtPr>
              <w:sdtEndPr>
                <w:rPr>
                  <w:rFonts w:ascii="Times New Roman" w:hAnsi="Times New Roman" w:cs="Times New Roman"/>
                </w:rPr>
              </w:sdtEnd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pPr>
                      <w:rPr>
                        <w:rFonts w:ascii="Times New Roman" w:hAnsi="Times New Roman" w:cs="Times New Roman"/>
                      </w:rPr>
                    </w:pPr>
                    <w:r>
                      <w:rPr>
                        <w:rFonts w:ascii="Times New Roman" w:hAnsi="Times New Roman" w:cs="Times New Roman"/>
                      </w:rPr>
                      <w:t>2</w:t>
                    </w:r>
                    <w:r>
                      <w:rPr>
                        <w:rFonts w:ascii="Times New Roman" w:cs="Times New Roman"/>
                      </w:rPr>
                      <w:t>、失业保险费</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vAlign w:val="center"/>
              </w:tcPr>
              <w:p>
                <w:pPr>
                  <w:rPr>
                    <w:rFonts w:ascii="Times New Roman" w:hAnsi="Times New Roman" w:cs="Times New Roman"/>
                    <w:sz w:val="24"/>
                  </w:rPr>
                </w:pPr>
              </w:p>
            </w:tc>
            <w:tc>
              <w:tcPr>
                <w:tcW w:w="88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260,523.32</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260,407.18</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116.14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3a47267e86e4e5f8ca47222510e775d"/>
                <w:id w:val="865725694"/>
                <w:lock w:val="sdtLocked"/>
              </w:sdtPr>
              <w:sdtEndPr>
                <w:rPr>
                  <w:rFonts w:ascii="Times New Roman" w:hAnsi="Times New Roman" w:cs="Times New Roman"/>
                </w:rPr>
              </w:sdtEnd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pPr>
                      <w:rPr>
                        <w:rFonts w:ascii="Times New Roman" w:hAnsi="Times New Roman" w:cs="Times New Roman"/>
                      </w:rPr>
                    </w:pPr>
                    <w:r>
                      <w:rPr>
                        <w:rFonts w:ascii="Times New Roman" w:hAnsi="Times New Roman" w:cs="Times New Roman"/>
                      </w:rPr>
                      <w:t>3</w:t>
                    </w:r>
                    <w:r>
                      <w:rPr>
                        <w:rFonts w:ascii="Times New Roman" w:cs="Times New Roman"/>
                      </w:rPr>
                      <w:t>、企业年金缴费</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jc w:val="right"/>
                  <w:rPr>
                    <w:rFonts w:ascii="Times New Roman" w:hAnsi="Times New Roman" w:cs="Times New Roman"/>
                  </w:rPr>
                </w:pPr>
              </w:p>
            </w:tc>
            <w:tc>
              <w:tcPr>
                <w:tcW w:w="88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be2c89c2b8b4426a1997730a6fc3f32"/>
                <w:id w:val="865725697"/>
                <w:lock w:val="sdtLocked"/>
              </w:sdtPr>
              <w:sdtEndPr>
                <w:rPr>
                  <w:rFonts w:ascii="Times New Roman" w:hAnsi="Times New Roman" w:cs="Times New Roman"/>
                </w:rPr>
              </w:sdtEndPr>
              <w:sdtContent>
                <w:tc>
                  <w:tcPr>
                    <w:tcW w:w="142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s="Times New Roman"/>
                      </w:rPr>
                    </w:pPr>
                    <w:r>
                      <w:rPr>
                        <w:rFonts w:ascii="Times New Roman" w:cs="Times New Roman"/>
                      </w:rPr>
                      <w:t>合计</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vAlign w:val="center"/>
              </w:tcPr>
              <w:p>
                <w:pPr>
                  <w:rPr>
                    <w:rFonts w:ascii="Times New Roman" w:hAnsi="Times New Roman" w:cs="Times New Roman"/>
                    <w:sz w:val="24"/>
                  </w:rPr>
                </w:pPr>
              </w:p>
            </w:tc>
            <w:tc>
              <w:tcPr>
                <w:tcW w:w="88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8,845,109.19</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8,841,276.64</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3,832.55</w:t>
                </w:r>
              </w:p>
            </w:tc>
          </w:tr>
        </w:tbl>
        <w:p>
          <w:pPr>
            <w:autoSpaceDE w:val="0"/>
            <w:autoSpaceDN w:val="0"/>
            <w:adjustRightInd w:val="0"/>
            <w:rPr>
              <w:szCs w:val="21"/>
            </w:rPr>
          </w:pPr>
        </w:p>
      </w:sdtContent>
    </w:sdt>
    <w:sdt>
      <w:sdtPr>
        <w:rPr>
          <w:rFonts w:hint="eastAsia"/>
          <w:szCs w:val="21"/>
        </w:rPr>
        <w:alias w:val="模块:应付职工薪酬说明"/>
        <w:tag w:val="_SEC_edbce81fdb28449ba35de2db232257b2"/>
        <w:id w:val="865725700"/>
        <w:lock w:val="sdtLocked"/>
        <w:placeholder>
          <w:docPart w:val="GBC22222222222222222222222222222"/>
        </w:placeholder>
      </w:sdtPr>
      <w:sdtEndPr>
        <w:rPr>
          <w:rFonts w:hint="eastAsia"/>
          <w:szCs w:val="21"/>
        </w:rPr>
      </w:sdtEndPr>
      <w:sdtContent>
        <w:p>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865725699"/>
            <w:lock w:val="sdtLocked"/>
            <w:placeholder>
              <w:docPart w:val="GBC22222222222222222222222222222"/>
            </w:placeholder>
          </w:sdtPr>
          <w:sdtEndPr>
            <w:rPr>
              <w:szCs w:val="21"/>
            </w:rPr>
          </w:sdtEndPr>
          <w:sdtContent>
            <w:p>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autoSpaceDE w:val="0"/>
        <w:autoSpaceDN w:val="0"/>
        <w:adjustRightInd w:val="0"/>
        <w:rPr>
          <w:szCs w:val="21"/>
        </w:rPr>
      </w:pPr>
    </w:p>
    <w:sdt>
      <w:sdtPr>
        <w:rPr>
          <w:rFonts w:hint="eastAsia" w:ascii="宋体" w:hAnsi="宋体" w:cs="宋体"/>
          <w:b w:val="0"/>
          <w:bCs w:val="0"/>
          <w:kern w:val="0"/>
          <w:szCs w:val="21"/>
        </w:rPr>
        <w:alias w:val="模块:应交税费"/>
        <w:tag w:val="_SEC_be9a46a3e37649b39960634f96204c34"/>
        <w:id w:val="865725708"/>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4"/>
            <w:numPr>
              <w:ilvl w:val="0"/>
              <w:numId w:val="79"/>
            </w:numPr>
            <w:tabs>
              <w:tab w:val="left" w:pos="504"/>
            </w:tabs>
            <w:rPr>
              <w:rFonts w:ascii="宋体" w:hAnsi="宋体"/>
              <w:szCs w:val="21"/>
            </w:rPr>
          </w:pPr>
          <w:r>
            <w:rPr>
              <w:rFonts w:hint="eastAsia" w:ascii="宋体" w:hAnsi="宋体"/>
              <w:szCs w:val="21"/>
            </w:rPr>
            <w:t>应交税费</w:t>
          </w:r>
        </w:p>
        <w:sdt>
          <w:sdtPr>
            <w:alias w:val="是否适用：应交税费[双击切换]"/>
            <w:tag w:val="_GBC_2ed6216b8f4c4523a1de5c2628cc02a2"/>
            <w:id w:val="86572570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交税费"/>
              <w:tag w:val="_GBC_9fe49c1b8a984180ae11c305f9fe5484"/>
              <w:id w:val="8657257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8657257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1"/>
            <w:gridCol w:w="3006"/>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c8ac0907441450eac644085301d6804"/>
                <w:id w:val="182963996"/>
                <w:lock w:val="sdtLocked"/>
              </w:sdtPr>
              <w:sdtContent>
                <w:tc>
                  <w:tcPr>
                    <w:tcW w:w="1675" w:type="pct"/>
                    <w:vAlign w:val="center"/>
                  </w:tcPr>
                  <w:p>
                    <w:pPr>
                      <w:ind w:right="105"/>
                      <w:jc w:val="center"/>
                      <w:rPr>
                        <w:szCs w:val="21"/>
                      </w:rPr>
                    </w:pPr>
                    <w:r>
                      <w:rPr>
                        <w:rFonts w:hint="eastAsia"/>
                        <w:szCs w:val="21"/>
                      </w:rPr>
                      <w:t>项目</w:t>
                    </w:r>
                  </w:p>
                </w:tc>
              </w:sdtContent>
            </w:sdt>
            <w:sdt>
              <w:sdtPr>
                <w:tag w:val="_PLD_8dab1e5e153c4b93a2d18673e1365591"/>
                <w:id w:val="182963997"/>
                <w:lock w:val="sdtLocked"/>
              </w:sdtPr>
              <w:sdtContent>
                <w:tc>
                  <w:tcPr>
                    <w:tcW w:w="1661" w:type="pct"/>
                    <w:vAlign w:val="center"/>
                  </w:tcPr>
                  <w:p>
                    <w:pPr>
                      <w:jc w:val="center"/>
                      <w:rPr>
                        <w:szCs w:val="21"/>
                      </w:rPr>
                    </w:pPr>
                    <w:r>
                      <w:rPr>
                        <w:rFonts w:hint="eastAsia"/>
                        <w:szCs w:val="21"/>
                      </w:rPr>
                      <w:t>期末余额</w:t>
                    </w:r>
                  </w:p>
                </w:tc>
              </w:sdtContent>
            </w:sdt>
            <w:sdt>
              <w:sdtPr>
                <w:tag w:val="_PLD_9793c5ba001a43cb914658d949d3dcec"/>
                <w:id w:val="182963998"/>
                <w:lock w:val="sdtLocked"/>
              </w:sdtPr>
              <w:sdtContent>
                <w:tc>
                  <w:tcPr>
                    <w:tcW w:w="166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szCs w:val="21"/>
                  </w:rPr>
                </w:pPr>
                <w:r>
                  <w:rPr>
                    <w:rFonts w:hint="eastAsia"/>
                    <w:szCs w:val="21"/>
                  </w:rPr>
                  <w:t>增值税</w:t>
                </w:r>
              </w:p>
            </w:tc>
            <w:tc>
              <w:tcPr>
                <w:tcW w:w="1661" w:type="pct"/>
                <w:shd w:val="clear" w:color="auto" w:fill="auto"/>
                <w:vAlign w:val="center"/>
              </w:tcPr>
              <w:p>
                <w:pPr>
                  <w:jc w:val="right"/>
                  <w:rPr>
                    <w:rFonts w:ascii="Times New Roman" w:hAnsi="Times New Roman"/>
                    <w:sz w:val="24"/>
                  </w:rPr>
                </w:pPr>
                <w:r>
                  <w:rPr>
                    <w:rFonts w:ascii="Times New Roman" w:hAnsi="Times New Roman"/>
                  </w:rPr>
                  <w:t>2,903,960.54</w:t>
                </w:r>
              </w:p>
            </w:tc>
            <w:tc>
              <w:tcPr>
                <w:tcW w:w="1664" w:type="pct"/>
                <w:shd w:val="clear" w:color="auto" w:fill="auto"/>
                <w:vAlign w:val="center"/>
              </w:tcPr>
              <w:p>
                <w:pPr>
                  <w:jc w:val="right"/>
                  <w:rPr>
                    <w:rFonts w:ascii="Times New Roman" w:hAnsi="Times New Roman"/>
                    <w:sz w:val="24"/>
                  </w:rPr>
                </w:pPr>
                <w:r>
                  <w:rPr>
                    <w:rFonts w:ascii="Times New Roman" w:hAnsi="Times New Roman"/>
                  </w:rPr>
                  <w:t>3,138,701.17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szCs w:val="21"/>
                  </w:rPr>
                </w:pPr>
                <w:r>
                  <w:rPr>
                    <w:rFonts w:hint="eastAsia"/>
                    <w:szCs w:val="21"/>
                  </w:rPr>
                  <w:t>消费税</w:t>
                </w:r>
              </w:p>
            </w:tc>
            <w:tc>
              <w:tcPr>
                <w:tcW w:w="1661" w:type="pct"/>
                <w:shd w:val="clear" w:color="auto" w:fill="auto"/>
                <w:vAlign w:val="center"/>
              </w:tcPr>
              <w:p>
                <w:pPr>
                  <w:ind w:right="73"/>
                  <w:jc w:val="right"/>
                  <w:rPr>
                    <w:rFonts w:ascii="Times New Roman" w:hAnsi="Times New Roman"/>
                    <w:szCs w:val="21"/>
                  </w:rPr>
                </w:pPr>
              </w:p>
            </w:tc>
            <w:tc>
              <w:tcPr>
                <w:tcW w:w="1664" w:type="pct"/>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szCs w:val="21"/>
                  </w:rPr>
                </w:pPr>
                <w:r>
                  <w:rPr>
                    <w:rFonts w:hint="eastAsia"/>
                    <w:szCs w:val="21"/>
                  </w:rPr>
                  <w:t>营业税</w:t>
                </w:r>
              </w:p>
            </w:tc>
            <w:tc>
              <w:tcPr>
                <w:tcW w:w="1661" w:type="pct"/>
                <w:shd w:val="clear" w:color="auto" w:fill="auto"/>
                <w:vAlign w:val="center"/>
              </w:tcPr>
              <w:p>
                <w:pPr>
                  <w:ind w:right="73"/>
                  <w:jc w:val="right"/>
                  <w:rPr>
                    <w:rFonts w:ascii="Times New Roman" w:hAnsi="Times New Roman"/>
                    <w:szCs w:val="21"/>
                  </w:rPr>
                </w:pPr>
              </w:p>
            </w:tc>
            <w:tc>
              <w:tcPr>
                <w:tcW w:w="1664" w:type="pct"/>
                <w:shd w:val="clear" w:color="auto" w:fill="auto"/>
                <w:vAlign w:val="center"/>
              </w:tcPr>
              <w:p>
                <w:pPr>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szCs w:val="21"/>
                  </w:rPr>
                </w:pPr>
                <w:r>
                  <w:rPr>
                    <w:rFonts w:hint="eastAsia"/>
                    <w:szCs w:val="21"/>
                  </w:rPr>
                  <w:t>企业所得税</w:t>
                </w:r>
              </w:p>
            </w:tc>
            <w:tc>
              <w:tcPr>
                <w:tcW w:w="1661" w:type="pct"/>
                <w:shd w:val="clear" w:color="auto" w:fill="auto"/>
                <w:vAlign w:val="center"/>
              </w:tcPr>
              <w:p>
                <w:pPr>
                  <w:jc w:val="right"/>
                  <w:rPr>
                    <w:rFonts w:ascii="Times New Roman" w:hAnsi="Times New Roman"/>
                    <w:sz w:val="24"/>
                  </w:rPr>
                </w:pPr>
                <w:r>
                  <w:rPr>
                    <w:rFonts w:ascii="Times New Roman" w:hAnsi="Times New Roman"/>
                  </w:rPr>
                  <w:t>1,882,189.11</w:t>
                </w:r>
              </w:p>
            </w:tc>
            <w:tc>
              <w:tcPr>
                <w:tcW w:w="1664" w:type="pct"/>
                <w:shd w:val="clear" w:color="auto" w:fill="auto"/>
                <w:vAlign w:val="center"/>
              </w:tcPr>
              <w:p>
                <w:pPr>
                  <w:jc w:val="right"/>
                  <w:rPr>
                    <w:rFonts w:ascii="Times New Roman" w:hAnsi="Times New Roman"/>
                    <w:sz w:val="24"/>
                  </w:rPr>
                </w:pPr>
                <w:r>
                  <w:rPr>
                    <w:rFonts w:ascii="Times New Roman" w:hAnsi="Times New Roman"/>
                  </w:rPr>
                  <w:t>2,770,083.85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szCs w:val="21"/>
                  </w:rPr>
                </w:pPr>
                <w:r>
                  <w:rPr>
                    <w:rFonts w:hint="eastAsia"/>
                    <w:szCs w:val="21"/>
                  </w:rPr>
                  <w:t>个人所得税</w:t>
                </w:r>
              </w:p>
            </w:tc>
            <w:tc>
              <w:tcPr>
                <w:tcW w:w="1661" w:type="pct"/>
                <w:shd w:val="clear" w:color="auto" w:fill="auto"/>
                <w:vAlign w:val="center"/>
              </w:tcPr>
              <w:p>
                <w:pPr>
                  <w:jc w:val="right"/>
                  <w:rPr>
                    <w:rFonts w:ascii="Times New Roman" w:hAnsi="Times New Roman"/>
                    <w:sz w:val="24"/>
                  </w:rPr>
                </w:pPr>
                <w:r>
                  <w:rPr>
                    <w:rFonts w:ascii="Times New Roman" w:hAnsi="Times New Roman"/>
                  </w:rPr>
                  <w:t>300,038.30</w:t>
                </w:r>
              </w:p>
            </w:tc>
            <w:tc>
              <w:tcPr>
                <w:tcW w:w="1664" w:type="pct"/>
                <w:shd w:val="clear" w:color="auto" w:fill="auto"/>
                <w:vAlign w:val="center"/>
              </w:tcPr>
              <w:p>
                <w:pPr>
                  <w:jc w:val="right"/>
                  <w:rPr>
                    <w:rFonts w:ascii="Times New Roman" w:hAnsi="Times New Roman"/>
                    <w:sz w:val="24"/>
                  </w:rPr>
                </w:pPr>
                <w:r>
                  <w:rPr>
                    <w:rFonts w:ascii="Times New Roman" w:hAnsi="Times New Roman"/>
                  </w:rPr>
                  <w:t>400,336.14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szCs w:val="21"/>
                  </w:rPr>
                </w:pPr>
                <w:r>
                  <w:rPr>
                    <w:rFonts w:hint="eastAsia"/>
                    <w:szCs w:val="21"/>
                  </w:rPr>
                  <w:t>城市维护建设税</w:t>
                </w:r>
              </w:p>
            </w:tc>
            <w:tc>
              <w:tcPr>
                <w:tcW w:w="1661" w:type="pct"/>
                <w:shd w:val="clear" w:color="auto" w:fill="auto"/>
                <w:vAlign w:val="center"/>
              </w:tcPr>
              <w:p>
                <w:pPr>
                  <w:jc w:val="right"/>
                  <w:rPr>
                    <w:rFonts w:ascii="Times New Roman" w:hAnsi="Times New Roman"/>
                    <w:sz w:val="24"/>
                  </w:rPr>
                </w:pPr>
                <w:r>
                  <w:rPr>
                    <w:rFonts w:ascii="Times New Roman" w:hAnsi="Times New Roman"/>
                  </w:rPr>
                  <w:t>269,096.55</w:t>
                </w:r>
              </w:p>
            </w:tc>
            <w:tc>
              <w:tcPr>
                <w:tcW w:w="1664" w:type="pct"/>
                <w:shd w:val="clear" w:color="auto" w:fill="auto"/>
                <w:vAlign w:val="center"/>
              </w:tcPr>
              <w:p>
                <w:pPr>
                  <w:jc w:val="right"/>
                  <w:rPr>
                    <w:rFonts w:ascii="Times New Roman" w:hAnsi="Times New Roman"/>
                    <w:sz w:val="24"/>
                  </w:rPr>
                </w:pPr>
                <w:r>
                  <w:rPr>
                    <w:rFonts w:ascii="Times New Roman" w:hAnsi="Times New Roman"/>
                  </w:rPr>
                  <w:t>164,156.85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rPr>
                    <w:szCs w:val="21"/>
                  </w:rPr>
                </w:pPr>
                <w:r>
                  <w:t>土地使用税</w:t>
                </w:r>
              </w:p>
            </w:tc>
            <w:tc>
              <w:tcPr>
                <w:tcW w:w="1661" w:type="pct"/>
                <w:vAlign w:val="center"/>
              </w:tcPr>
              <w:p>
                <w:pPr>
                  <w:ind w:right="73"/>
                  <w:jc w:val="right"/>
                  <w:rPr>
                    <w:rFonts w:ascii="Times New Roman" w:hAnsi="Times New Roman"/>
                    <w:szCs w:val="21"/>
                  </w:rPr>
                </w:pPr>
                <w:r>
                  <w:rPr>
                    <w:rFonts w:ascii="Times New Roman" w:hAnsi="Times New Roman"/>
                  </w:rPr>
                  <w:t>99,755.41</w:t>
                </w:r>
              </w:p>
            </w:tc>
            <w:tc>
              <w:tcPr>
                <w:tcW w:w="1664" w:type="pct"/>
                <w:vAlign w:val="center"/>
              </w:tcPr>
              <w:p>
                <w:pPr>
                  <w:jc w:val="right"/>
                  <w:rPr>
                    <w:rFonts w:ascii="Times New Roman" w:hAnsi="Times New Roman"/>
                    <w:szCs w:val="21"/>
                  </w:rPr>
                </w:pPr>
                <w:r>
                  <w:rPr>
                    <w:rFonts w:ascii="Times New Roman" w:hAnsi="Times New Roman"/>
                  </w:rPr>
                  <w:t>171,486.66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rPr>
                    <w:szCs w:val="21"/>
                  </w:rPr>
                </w:pPr>
                <w:r>
                  <w:t>教育费附加</w:t>
                </w:r>
              </w:p>
            </w:tc>
            <w:tc>
              <w:tcPr>
                <w:tcW w:w="1661" w:type="pct"/>
                <w:vAlign w:val="center"/>
              </w:tcPr>
              <w:p>
                <w:pPr>
                  <w:ind w:right="73"/>
                  <w:jc w:val="right"/>
                  <w:rPr>
                    <w:rFonts w:ascii="Times New Roman" w:hAnsi="Times New Roman"/>
                    <w:szCs w:val="21"/>
                  </w:rPr>
                </w:pPr>
                <w:r>
                  <w:rPr>
                    <w:rFonts w:ascii="Times New Roman" w:hAnsi="Times New Roman"/>
                  </w:rPr>
                  <w:t>205,436.83</w:t>
                </w:r>
              </w:p>
            </w:tc>
            <w:tc>
              <w:tcPr>
                <w:tcW w:w="1664" w:type="pct"/>
                <w:vAlign w:val="center"/>
              </w:tcPr>
              <w:p>
                <w:pPr>
                  <w:jc w:val="right"/>
                  <w:rPr>
                    <w:rFonts w:ascii="Times New Roman" w:hAnsi="Times New Roman"/>
                    <w:szCs w:val="21"/>
                  </w:rPr>
                </w:pPr>
                <w:r>
                  <w:rPr>
                    <w:rFonts w:ascii="Times New Roman" w:hAnsi="Times New Roman"/>
                  </w:rPr>
                  <w:t>121,904.00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rPr>
                    <w:szCs w:val="21"/>
                  </w:rPr>
                </w:pPr>
                <w:r>
                  <w:t>环境保护税</w:t>
                </w:r>
              </w:p>
            </w:tc>
            <w:tc>
              <w:tcPr>
                <w:tcW w:w="1661" w:type="pct"/>
                <w:vAlign w:val="center"/>
              </w:tcPr>
              <w:p>
                <w:pPr>
                  <w:ind w:right="73"/>
                  <w:jc w:val="right"/>
                  <w:rPr>
                    <w:rFonts w:ascii="Times New Roman" w:hAnsi="Times New Roman"/>
                    <w:szCs w:val="21"/>
                  </w:rPr>
                </w:pPr>
                <w:r>
                  <w:rPr>
                    <w:rFonts w:ascii="Times New Roman" w:hAnsi="Times New Roman"/>
                  </w:rPr>
                  <w:t>925.08</w:t>
                </w:r>
              </w:p>
            </w:tc>
            <w:tc>
              <w:tcPr>
                <w:tcW w:w="1664" w:type="pct"/>
                <w:vAlign w:val="center"/>
              </w:tcPr>
              <w:p>
                <w:pPr>
                  <w:jc w:val="right"/>
                  <w:rPr>
                    <w:rFonts w:ascii="Times New Roman" w:hAnsi="Times New Roman"/>
                    <w:szCs w:val="21"/>
                  </w:rPr>
                </w:pPr>
                <w:r>
                  <w:rPr>
                    <w:rFonts w:ascii="Times New Roman" w:hAnsi="Times New Roman"/>
                  </w:rPr>
                  <w:t>925.08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pPr>
                <w:r>
                  <w:t>房产税</w:t>
                </w:r>
              </w:p>
            </w:tc>
            <w:tc>
              <w:tcPr>
                <w:tcW w:w="1661" w:type="pct"/>
                <w:vAlign w:val="center"/>
              </w:tcPr>
              <w:p>
                <w:pPr>
                  <w:ind w:right="73"/>
                  <w:jc w:val="right"/>
                  <w:rPr>
                    <w:rFonts w:ascii="Times New Roman" w:hAnsi="Times New Roman"/>
                  </w:rPr>
                </w:pPr>
                <w:r>
                  <w:rPr>
                    <w:rFonts w:ascii="Times New Roman" w:hAnsi="Times New Roman"/>
                  </w:rPr>
                  <w:t>400,076.92</w:t>
                </w:r>
              </w:p>
            </w:tc>
            <w:tc>
              <w:tcPr>
                <w:tcW w:w="1664" w:type="pct"/>
                <w:vAlign w:val="center"/>
              </w:tcPr>
              <w:p>
                <w:pPr>
                  <w:jc w:val="right"/>
                  <w:rPr>
                    <w:rFonts w:ascii="Times New Roman" w:hAnsi="Times New Roman"/>
                  </w:rPr>
                </w:pPr>
                <w:r>
                  <w:rPr>
                    <w:rFonts w:ascii="Times New Roman" w:hAnsi="Times New Roman"/>
                  </w:rPr>
                  <w:t>420,173.54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pPr>
                <w:r>
                  <w:t>其他税费</w:t>
                </w:r>
              </w:p>
            </w:tc>
            <w:tc>
              <w:tcPr>
                <w:tcW w:w="1661" w:type="pct"/>
                <w:vAlign w:val="center"/>
              </w:tcPr>
              <w:p>
                <w:pPr>
                  <w:ind w:right="73"/>
                  <w:jc w:val="right"/>
                  <w:rPr>
                    <w:rFonts w:ascii="Times New Roman" w:hAnsi="Times New Roman"/>
                  </w:rPr>
                </w:pPr>
                <w:r>
                  <w:rPr>
                    <w:rFonts w:ascii="Times New Roman" w:hAnsi="Times New Roman"/>
                  </w:rPr>
                  <w:t>191,342.55</w:t>
                </w:r>
              </w:p>
            </w:tc>
            <w:tc>
              <w:tcPr>
                <w:tcW w:w="1664" w:type="pct"/>
                <w:vAlign w:val="center"/>
              </w:tcPr>
              <w:p>
                <w:pPr>
                  <w:jc w:val="right"/>
                  <w:rPr>
                    <w:rFonts w:ascii="Times New Roman" w:hAnsi="Times New Roman"/>
                  </w:rPr>
                </w:pPr>
                <w:r>
                  <w:rPr>
                    <w:rFonts w:ascii="Times New Roman" w:hAnsi="Times New Roman"/>
                  </w:rPr>
                  <w:t>166,901.04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vAlign w:val="center"/>
              </w:tcPr>
              <w:p>
                <w:pPr>
                  <w:ind w:right="105"/>
                  <w:jc w:val="center"/>
                  <w:rPr>
                    <w:szCs w:val="21"/>
                  </w:rPr>
                </w:pPr>
                <w:r>
                  <w:rPr>
                    <w:rFonts w:hint="eastAsia"/>
                    <w:szCs w:val="21"/>
                  </w:rPr>
                  <w:t>合计</w:t>
                </w:r>
              </w:p>
            </w:tc>
            <w:tc>
              <w:tcPr>
                <w:tcW w:w="1661" w:type="pct"/>
                <w:vAlign w:val="center"/>
              </w:tcPr>
              <w:p>
                <w:pPr>
                  <w:jc w:val="right"/>
                  <w:rPr>
                    <w:rFonts w:ascii="Times New Roman" w:hAnsi="Times New Roman"/>
                    <w:sz w:val="24"/>
                  </w:rPr>
                </w:pPr>
                <w:r>
                  <w:rPr>
                    <w:rFonts w:ascii="Times New Roman" w:hAnsi="Times New Roman"/>
                  </w:rPr>
                  <w:t>6,252,821.29</w:t>
                </w:r>
              </w:p>
            </w:tc>
            <w:tc>
              <w:tcPr>
                <w:tcW w:w="1664" w:type="pct"/>
                <w:vAlign w:val="center"/>
              </w:tcPr>
              <w:p>
                <w:pPr>
                  <w:jc w:val="right"/>
                  <w:rPr>
                    <w:rFonts w:ascii="Times New Roman" w:hAnsi="Times New Roman"/>
                    <w:sz w:val="24"/>
                  </w:rPr>
                </w:pPr>
                <w:r>
                  <w:rPr>
                    <w:rFonts w:ascii="Times New Roman" w:hAnsi="Times New Roman"/>
                  </w:rPr>
                  <w:t>7,354,668.33</w:t>
                </w:r>
              </w:p>
            </w:tc>
          </w:tr>
        </w:tbl>
        <w:p/>
        <w:p>
          <w:pPr>
            <w:rPr>
              <w:szCs w:val="21"/>
            </w:rPr>
          </w:pPr>
        </w:p>
        <w:p>
          <w:pPr>
            <w:rPr>
              <w:szCs w:val="21"/>
            </w:rPr>
          </w:pPr>
        </w:p>
      </w:sdtContent>
    </w:sdt>
    <w:p>
      <w:pPr>
        <w:pStyle w:val="4"/>
        <w:numPr>
          <w:ilvl w:val="0"/>
          <w:numId w:val="79"/>
        </w:numPr>
        <w:tabs>
          <w:tab w:val="left" w:pos="504"/>
        </w:tabs>
        <w:rPr>
          <w:szCs w:val="21"/>
        </w:rPr>
      </w:pPr>
      <w:r>
        <w:rPr>
          <w:rFonts w:hint="eastAsia"/>
          <w:szCs w:val="21"/>
        </w:rPr>
        <w:t>其他应付款</w:t>
      </w:r>
    </w:p>
    <w:sdt>
      <w:sdtPr>
        <w:rPr>
          <w:rFonts w:hint="eastAsia" w:ascii="宋体" w:hAnsi="宋体" w:eastAsia="宋体" w:cs="宋体"/>
          <w:b w:val="0"/>
          <w:bCs w:val="0"/>
          <w:kern w:val="0"/>
          <w:szCs w:val="24"/>
        </w:rPr>
        <w:alias w:val="模块:其他应付款分类列示"/>
        <w:tag w:val="_SEC_89b79d5c0cf746108f038a99e63ca62a"/>
        <w:id w:val="865725719"/>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pPr>
          <w:bookmarkStart w:id="195" w:name="_Hlk532910042"/>
          <w:r>
            <w:rPr>
              <w:rFonts w:hint="eastAsia"/>
            </w:rPr>
            <w:t>项目列示</w:t>
          </w:r>
        </w:p>
        <w:sdt>
          <w:sdtPr>
            <w:alias w:val="是否适用：其他应付款分类列示[双击切换]"/>
            <w:tag w:val="_GBC_66f20e30acfe43c3b4edf860d086ad10"/>
            <w:id w:val="86572570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应付款分类列示"/>
              <w:tag w:val="_GBC_1d2c755c7a60470390b86f677f589d52"/>
              <w:id w:val="8657257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865725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b32323c48c441e4832da1fe28654990"/>
                <w:id w:val="865725712"/>
                <w:lock w:val="sdtLocked"/>
              </w:sdtPr>
              <w:sdtEndPr>
                <w:rPr>
                  <w:rFonts w:ascii="Times New Roman" w:hAnsi="Times New Roman" w:cs="Times New Roman"/>
                </w:rPr>
              </w:sdtEnd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427fe40919c945eaada0e2529b497787"/>
                <w:id w:val="865725713"/>
                <w:lock w:val="sdtLocked"/>
              </w:sdtPr>
              <w:sdtEndPr>
                <w:rPr>
                  <w:rFonts w:ascii="Times New Roman" w:hAnsi="Times New Roman" w:cs="Times New Roman"/>
                </w:rPr>
              </w:sdtEndPr>
              <w:sdtContent>
                <w:tc>
                  <w:tcPr>
                    <w:tcW w:w="1582" w:type="pct"/>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963dd0fff1a644319fa667127e37c635"/>
                <w:id w:val="865725714"/>
                <w:lock w:val="sdtLocked"/>
              </w:sdtPr>
              <w:sdtEndPr>
                <w:rPr>
                  <w:rFonts w:ascii="Times New Roman" w:hAnsi="Times New Roman" w:cs="Times New Roman"/>
                </w:rPr>
              </w:sdtEndPr>
              <w:sdtContent>
                <w:tc>
                  <w:tcPr>
                    <w:tcW w:w="1590" w:type="pct"/>
                    <w:shd w:val="clear" w:color="auto" w:fill="auto"/>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d8db0f39a8f4ce288a938e24fa2c383"/>
                <w:id w:val="865725715"/>
                <w:lock w:val="sdtLocked"/>
              </w:sdtPr>
              <w:sdtEndPr>
                <w:rPr>
                  <w:rFonts w:ascii="Times New Roman" w:hAnsi="Times New Roman" w:cs="Times New Roman"/>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Pr>
                        <w:rFonts w:ascii="Times New Roman" w:cs="Times New Roman"/>
                        <w:szCs w:val="21"/>
                      </w:rPr>
                      <w:t>应付利息</w:t>
                    </w:r>
                  </w:p>
                </w:tc>
              </w:sdtContent>
            </w:sdt>
            <w:tc>
              <w:tcPr>
                <w:tcW w:w="1582" w:type="pct"/>
                <w:shd w:val="clear" w:color="auto" w:fill="auto"/>
                <w:vAlign w:val="center"/>
              </w:tcPr>
              <w:p>
                <w:pPr>
                  <w:jc w:val="right"/>
                  <w:rPr>
                    <w:rFonts w:ascii="Times New Roman" w:hAnsi="Times New Roman" w:cs="Times New Roman"/>
                    <w:sz w:val="24"/>
                  </w:rPr>
                </w:pPr>
              </w:p>
            </w:tc>
            <w:tc>
              <w:tcPr>
                <w:tcW w:w="1590" w:type="pct"/>
                <w:shd w:val="clear" w:color="auto" w:fill="auto"/>
                <w:vAlign w:val="center"/>
              </w:tcPr>
              <w:p>
                <w:pPr>
                  <w:jc w:val="right"/>
                  <w:rPr>
                    <w:rFonts w:ascii="Times New Roman" w:hAnsi="Times New Roman" w:cs="Times New Roman"/>
                    <w:sz w:val="24"/>
                  </w:rPr>
                </w:pPr>
                <w:r>
                  <w:rPr>
                    <w:rFonts w:ascii="Times New Roman" w:hAnsi="Times New Roman" w:cs="Times New Roman"/>
                  </w:rPr>
                  <w:t>77,695.86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58bd770751d483f8745dbb7b00bc1bc"/>
                <w:id w:val="865725716"/>
                <w:lock w:val="sdtLocked"/>
              </w:sdtPr>
              <w:sdtEndPr>
                <w:rPr>
                  <w:rFonts w:ascii="Times New Roman" w:hAnsi="Times New Roman" w:cs="Times New Roman"/>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Pr>
                        <w:rFonts w:ascii="Times New Roman" w:cs="Times New Roman"/>
                        <w:szCs w:val="21"/>
                      </w:rPr>
                      <w:t>应付股利</w:t>
                    </w:r>
                  </w:p>
                </w:tc>
              </w:sdtContent>
            </w:sdt>
            <w:tc>
              <w:tcPr>
                <w:tcW w:w="1582" w:type="pct"/>
                <w:shd w:val="clear" w:color="auto" w:fill="auto"/>
                <w:vAlign w:val="center"/>
              </w:tcPr>
              <w:p>
                <w:pPr>
                  <w:jc w:val="right"/>
                  <w:rPr>
                    <w:rFonts w:ascii="Times New Roman" w:hAnsi="Times New Roman" w:cs="Times New Roman"/>
                    <w:sz w:val="24"/>
                  </w:rPr>
                </w:pPr>
                <w:r>
                  <w:rPr>
                    <w:rFonts w:ascii="Times New Roman" w:hAnsi="Times New Roman" w:cs="Times New Roman"/>
                  </w:rPr>
                  <w:t>8,537,790.48</w:t>
                </w:r>
              </w:p>
            </w:tc>
            <w:tc>
              <w:tcPr>
                <w:tcW w:w="1590" w:type="pct"/>
                <w:shd w:val="clear" w:color="auto" w:fill="auto"/>
                <w:vAlign w:val="center"/>
              </w:tcPr>
              <w:p>
                <w:pPr>
                  <w:jc w:val="right"/>
                  <w:rPr>
                    <w:rFonts w:ascii="Times New Roman" w:hAnsi="Times New Roman" w:cs="Times New Roman"/>
                    <w:sz w:val="24"/>
                  </w:rPr>
                </w:pPr>
                <w:r>
                  <w:rPr>
                    <w:rFonts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c83cb5058f1e4c4a90af87f7c5034615"/>
                <w:id w:val="865725717"/>
                <w:lock w:val="sdtLocked"/>
              </w:sdtPr>
              <w:sdtEndPr>
                <w:rPr>
                  <w:rFonts w:ascii="Times New Roman" w:hAnsi="Times New Roman" w:cs="Times New Roman"/>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Pr>
                        <w:rFonts w:ascii="Times New Roman" w:cs="Times New Roman"/>
                        <w:szCs w:val="21"/>
                      </w:rPr>
                      <w:t>其他应付款</w:t>
                    </w:r>
                  </w:p>
                </w:tc>
              </w:sdtContent>
            </w:sdt>
            <w:tc>
              <w:tcPr>
                <w:tcW w:w="1582" w:type="pct"/>
                <w:shd w:val="clear" w:color="auto" w:fill="auto"/>
                <w:vAlign w:val="center"/>
              </w:tcPr>
              <w:p>
                <w:pPr>
                  <w:jc w:val="right"/>
                  <w:rPr>
                    <w:rFonts w:ascii="Times New Roman" w:hAnsi="Times New Roman" w:cs="Times New Roman"/>
                    <w:sz w:val="24"/>
                  </w:rPr>
                </w:pPr>
                <w:r>
                  <w:rPr>
                    <w:rFonts w:ascii="Times New Roman" w:hAnsi="Times New Roman" w:cs="Times New Roman"/>
                  </w:rPr>
                  <w:t>30,097,588.31</w:t>
                </w:r>
              </w:p>
            </w:tc>
            <w:tc>
              <w:tcPr>
                <w:tcW w:w="1590" w:type="pct"/>
                <w:shd w:val="clear" w:color="auto" w:fill="auto"/>
                <w:vAlign w:val="center"/>
              </w:tcPr>
              <w:p>
                <w:pPr>
                  <w:jc w:val="right"/>
                  <w:rPr>
                    <w:rFonts w:ascii="Times New Roman" w:hAnsi="Times New Roman" w:cs="Times New Roman"/>
                    <w:sz w:val="24"/>
                  </w:rPr>
                </w:pPr>
                <w:r>
                  <w:rPr>
                    <w:rFonts w:ascii="Times New Roman" w:hAnsi="Times New Roman" w:cs="Times New Roman"/>
                  </w:rPr>
                  <w:t>27,668,971.97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8846159369b4ecc8e1c94c6ae222651"/>
                <w:id w:val="865725718"/>
                <w:lock w:val="sdtLocked"/>
              </w:sdtPr>
              <w:sdtEndPr>
                <w:rPr>
                  <w:rFonts w:ascii="Times New Roman" w:hAnsi="Times New Roman" w:cs="Times New Roman"/>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Pr>
                        <w:rFonts w:ascii="Times New Roman" w:cs="Times New Roman"/>
                        <w:szCs w:val="21"/>
                      </w:rPr>
                      <w:t>合计</w:t>
                    </w:r>
                  </w:p>
                </w:tc>
              </w:sdtContent>
            </w:sdt>
            <w:tc>
              <w:tcPr>
                <w:tcW w:w="1582" w:type="pct"/>
                <w:shd w:val="clear" w:color="auto" w:fill="auto"/>
                <w:vAlign w:val="center"/>
              </w:tcPr>
              <w:p>
                <w:pPr>
                  <w:jc w:val="right"/>
                  <w:rPr>
                    <w:rFonts w:ascii="Times New Roman" w:hAnsi="Times New Roman" w:cs="Times New Roman"/>
                    <w:sz w:val="24"/>
                  </w:rPr>
                </w:pPr>
                <w:r>
                  <w:rPr>
                    <w:rFonts w:ascii="Times New Roman" w:hAnsi="Times New Roman" w:cs="Times New Roman"/>
                  </w:rPr>
                  <w:t>38,635,378.79</w:t>
                </w:r>
              </w:p>
            </w:tc>
            <w:tc>
              <w:tcPr>
                <w:tcW w:w="1590" w:type="pct"/>
                <w:shd w:val="clear" w:color="auto" w:fill="auto"/>
                <w:vAlign w:val="center"/>
              </w:tcPr>
              <w:p>
                <w:pPr>
                  <w:jc w:val="right"/>
                  <w:rPr>
                    <w:rFonts w:ascii="Times New Roman" w:hAnsi="Times New Roman" w:cs="Times New Roman"/>
                    <w:sz w:val="24"/>
                  </w:rPr>
                </w:pPr>
                <w:r>
                  <w:rPr>
                    <w:rFonts w:ascii="Times New Roman" w:hAnsi="Times New Roman" w:cs="Times New Roman"/>
                  </w:rPr>
                  <w:t>36,284,458.31</w:t>
                </w:r>
              </w:p>
            </w:tc>
          </w:tr>
        </w:tbl>
        <w:p/>
      </w:sdtContent>
    </w:sdt>
    <w:bookmarkEnd w:id="195"/>
    <w:sdt>
      <w:sdtPr>
        <w:rPr>
          <w:rFonts w:hint="eastAsia"/>
          <w:szCs w:val="21"/>
        </w:rPr>
        <w:alias w:val="模块:其他应付款分类列示其他说明"/>
        <w:tag w:val="_SEC_6345efe048154a68a2b9789f203377af"/>
        <w:id w:val="865725721"/>
        <w:lock w:val="sdtLocked"/>
        <w:placeholder>
          <w:docPart w:val="GBC22222222222222222222222222222"/>
        </w:placeholder>
      </w:sdtPr>
      <w:sdtEndPr>
        <w:rPr>
          <w:rFonts w:hint="default"/>
          <w:szCs w:val="24"/>
        </w:rPr>
      </w:sdtEndPr>
      <w:sdtContent>
        <w:p>
          <w:pPr>
            <w:rPr>
              <w:szCs w:val="21"/>
            </w:rPr>
          </w:pPr>
          <w:r>
            <w:rPr>
              <w:rFonts w:hint="eastAsia"/>
              <w:szCs w:val="21"/>
            </w:rPr>
            <w:t>其他说明：</w:t>
          </w:r>
        </w:p>
        <w:sdt>
          <w:sdtPr>
            <w:rPr>
              <w:szCs w:val="21"/>
            </w:rPr>
            <w:alias w:val="是否适用：其他应付款分类列示其他说明[双击切换]"/>
            <w:tag w:val="_GBC_0a193210dc5a48968a718098f9b47a3d"/>
            <w:id w:val="865725720"/>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ascii="宋体" w:hAnsi="宋体" w:eastAsia="宋体" w:cs="宋体"/>
          <w:b w:val="0"/>
          <w:bCs w:val="0"/>
          <w:kern w:val="0"/>
          <w:szCs w:val="22"/>
        </w:rPr>
        <w:alias w:val="模块:应付利息"/>
        <w:tag w:val="_SEC_387989ce789d404fab98beb488dfa010"/>
        <w:id w:val="865725739"/>
        <w:lock w:val="sdtLocked"/>
        <w:placeholder>
          <w:docPart w:val="GBC22222222222222222222222222222"/>
        </w:placeholder>
      </w:sdtPr>
      <w:sdtEndPr>
        <w:rPr>
          <w:rFonts w:ascii="宋体" w:hAnsi="宋体" w:eastAsia="宋体" w:cs="宋体"/>
          <w:b w:val="0"/>
          <w:bCs w:val="0"/>
          <w:kern w:val="0"/>
          <w:szCs w:val="21"/>
        </w:rPr>
      </w:sdtEndPr>
      <w:sdtContent>
        <w:p>
          <w:pPr>
            <w:pStyle w:val="5"/>
            <w:ind w:left="360" w:hanging="360"/>
          </w:pPr>
          <w:r>
            <w:rPr>
              <w:rFonts w:hint="eastAsia"/>
            </w:rPr>
            <w:t>应付利息</w:t>
          </w:r>
        </w:p>
        <w:p>
          <w:pPr>
            <w:pStyle w:val="5"/>
            <w:numPr>
              <w:ilvl w:val="0"/>
              <w:numId w:val="103"/>
            </w:numPr>
          </w:pPr>
          <w:r>
            <w:rPr>
              <w:rFonts w:hint="eastAsia"/>
            </w:rPr>
            <w:t>分类列示</w:t>
          </w:r>
        </w:p>
        <w:sdt>
          <w:sdtPr>
            <w:alias w:val="是否适用：应付利息[双击切换]"/>
            <w:tag w:val="_GBC_85af862d19904f96b30527124af698c1"/>
            <w:id w:val="86572572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付利息"/>
              <w:tag w:val="_GBC_6223f5d822594ec487ddee3831ea99f4"/>
              <w:id w:val="865725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8657257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5"/>
            <w:gridCol w:w="2586"/>
            <w:gridCol w:w="3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953d4c63aa449d7b334043d048f9a4b"/>
                <w:id w:val="865725725"/>
                <w:lock w:val="sdtLocked"/>
              </w:sdtPr>
              <w:sdtEndPr>
                <w:rPr>
                  <w:rFonts w:ascii="Times New Roman" w:hAnsi="Times New Roman" w:cs="Times New Roman"/>
                </w:rPr>
              </w:sdtEndPr>
              <w:sdtContent>
                <w:tc>
                  <w:tcPr>
                    <w:tcW w:w="188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2" w:leftChars="-2" w:right="19" w:rightChars="9" w:hanging="2" w:hangingChars="1"/>
                      <w:jc w:val="right"/>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16e124f3a6ca4ff6a032334578555fc9"/>
                <w:id w:val="865725726"/>
                <w:lock w:val="sdtLocked"/>
              </w:sdtPr>
              <w:sdtEndPr>
                <w:rPr>
                  <w:rFonts w:ascii="Times New Roman" w:hAnsi="Times New Roman" w:cs="Times New Roman"/>
                </w:rPr>
              </w:sdtEndPr>
              <w:sdtContent>
                <w:tc>
                  <w:tcPr>
                    <w:tcW w:w="1429"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2" w:leftChars="-2" w:right="19" w:rightChars="9" w:hanging="2" w:hangingChars="1"/>
                      <w:jc w:val="right"/>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aa839714336a44eeb07df5f45b6511ef"/>
                <w:id w:val="865725727"/>
                <w:lock w:val="sdtLocked"/>
              </w:sdtPr>
              <w:sdtEndPr>
                <w:rPr>
                  <w:rFonts w:ascii="Times New Roman" w:hAnsi="Times New Roman" w:cs="Times New Roman"/>
                </w:rPr>
              </w:sdtEndPr>
              <w:sdtContent>
                <w:tc>
                  <w:tcPr>
                    <w:tcW w:w="1684"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2" w:leftChars="-2" w:right="19" w:rightChars="9" w:hanging="2" w:hangingChars="1"/>
                      <w:jc w:val="right"/>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102f4f5ad5946888a414ece8c296ba9"/>
                <w:id w:val="865725728"/>
                <w:lock w:val="sdtLocked"/>
              </w:sdtPr>
              <w:sdtEndPr>
                <w:rPr>
                  <w:rFonts w:ascii="Times New Roman" w:hAnsi="Times New Roman" w:cs="Times New Roman"/>
                </w:rPr>
              </w:sdtEndPr>
              <w:sdtContent>
                <w:tc>
                  <w:tcPr>
                    <w:tcW w:w="188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2" w:leftChars="-2" w:right="19" w:rightChars="9" w:hanging="2" w:hangingChars="1"/>
                      <w:jc w:val="right"/>
                      <w:rPr>
                        <w:rFonts w:ascii="Times New Roman" w:hAnsi="Times New Roman" w:cs="Times New Roman"/>
                        <w:szCs w:val="21"/>
                      </w:rPr>
                    </w:pPr>
                    <w:r>
                      <w:rPr>
                        <w:rFonts w:ascii="Times New Roman" w:cs="Times New Roman"/>
                        <w:szCs w:val="21"/>
                      </w:rPr>
                      <w:t>分期付息到期还本的长期借款利息</w:t>
                    </w:r>
                  </w:p>
                </w:tc>
              </w:sdtContent>
            </w:sdt>
            <w:tc>
              <w:tcPr>
                <w:tcW w:w="1429" w:type="pct"/>
                <w:tcBorders>
                  <w:top w:val="single" w:color="auto" w:sz="4" w:space="0"/>
                  <w:left w:val="single" w:color="auto" w:sz="4" w:space="0"/>
                  <w:bottom w:val="single" w:color="auto" w:sz="4" w:space="0"/>
                  <w:right w:val="single" w:color="auto" w:sz="4" w:space="0"/>
                </w:tcBorders>
                <w:vAlign w:val="center"/>
              </w:tcPr>
              <w:p>
                <w:pPr>
                  <w:ind w:right="73"/>
                  <w:jc w:val="right"/>
                  <w:rPr>
                    <w:rFonts w:ascii="Times New Roman" w:hAnsi="Times New Roman" w:cs="Times New Roman"/>
                    <w:szCs w:val="21"/>
                  </w:rPr>
                </w:pPr>
              </w:p>
            </w:tc>
            <w:tc>
              <w:tcPr>
                <w:tcW w:w="16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6f3fb4d168d4e2ca47870f9a37b1990"/>
                <w:id w:val="865725729"/>
                <w:lock w:val="sdtLocked"/>
              </w:sdtPr>
              <w:sdtEndPr>
                <w:rPr>
                  <w:rFonts w:ascii="Times New Roman" w:hAnsi="Times New Roman" w:cs="Times New Roman"/>
                </w:rPr>
              </w:sdtEndPr>
              <w:sdtContent>
                <w:tc>
                  <w:tcPr>
                    <w:tcW w:w="188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2" w:leftChars="-2" w:right="19" w:rightChars="9" w:hanging="2" w:hangingChars="1"/>
                      <w:jc w:val="right"/>
                      <w:rPr>
                        <w:rFonts w:ascii="Times New Roman" w:hAnsi="Times New Roman" w:cs="Times New Roman"/>
                        <w:szCs w:val="21"/>
                      </w:rPr>
                    </w:pPr>
                    <w:r>
                      <w:rPr>
                        <w:rFonts w:ascii="Times New Roman" w:cs="Times New Roman"/>
                        <w:szCs w:val="21"/>
                      </w:rPr>
                      <w:t>企业债券利息</w:t>
                    </w:r>
                  </w:p>
                </w:tc>
              </w:sdtContent>
            </w:sdt>
            <w:tc>
              <w:tcPr>
                <w:tcW w:w="1429" w:type="pct"/>
                <w:tcBorders>
                  <w:top w:val="single" w:color="auto" w:sz="4" w:space="0"/>
                  <w:left w:val="single" w:color="auto" w:sz="4" w:space="0"/>
                  <w:bottom w:val="single" w:color="auto" w:sz="4" w:space="0"/>
                  <w:right w:val="single" w:color="auto" w:sz="4" w:space="0"/>
                </w:tcBorders>
                <w:vAlign w:val="center"/>
              </w:tcPr>
              <w:p>
                <w:pPr>
                  <w:ind w:right="73"/>
                  <w:jc w:val="right"/>
                  <w:rPr>
                    <w:rFonts w:ascii="Times New Roman" w:hAnsi="Times New Roman" w:cs="Times New Roman"/>
                    <w:szCs w:val="21"/>
                  </w:rPr>
                </w:pPr>
              </w:p>
            </w:tc>
            <w:tc>
              <w:tcPr>
                <w:tcW w:w="16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b379fdb323e4de3b89d2b169206bf3a"/>
                <w:id w:val="865725730"/>
                <w:lock w:val="sdtLocked"/>
              </w:sdtPr>
              <w:sdtEndPr>
                <w:rPr>
                  <w:rFonts w:ascii="Times New Roman" w:hAnsi="Times New Roman" w:cs="Times New Roman"/>
                </w:rPr>
              </w:sdtEndPr>
              <w:sdtContent>
                <w:tc>
                  <w:tcPr>
                    <w:tcW w:w="188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2" w:leftChars="-2" w:right="19" w:rightChars="9" w:hanging="2" w:hangingChars="1"/>
                      <w:jc w:val="right"/>
                      <w:rPr>
                        <w:rFonts w:ascii="Times New Roman" w:hAnsi="Times New Roman" w:cs="Times New Roman"/>
                        <w:szCs w:val="21"/>
                      </w:rPr>
                    </w:pPr>
                    <w:r>
                      <w:rPr>
                        <w:rFonts w:ascii="Times New Roman" w:cs="Times New Roman"/>
                        <w:szCs w:val="21"/>
                      </w:rPr>
                      <w:t>短期借款应付利息</w:t>
                    </w:r>
                  </w:p>
                </w:tc>
              </w:sdtContent>
            </w:sdt>
            <w:tc>
              <w:tcPr>
                <w:tcW w:w="1429" w:type="pct"/>
                <w:tcBorders>
                  <w:top w:val="single" w:color="auto" w:sz="4" w:space="0"/>
                  <w:left w:val="single" w:color="auto" w:sz="4" w:space="0"/>
                  <w:bottom w:val="single" w:color="auto" w:sz="4" w:space="0"/>
                  <w:right w:val="single" w:color="auto" w:sz="4" w:space="0"/>
                </w:tcBorders>
                <w:vAlign w:val="center"/>
              </w:tcPr>
              <w:p>
                <w:pPr>
                  <w:ind w:right="73"/>
                  <w:jc w:val="right"/>
                  <w:rPr>
                    <w:rFonts w:ascii="Times New Roman" w:hAnsi="Times New Roman" w:cs="Times New Roman"/>
                    <w:szCs w:val="21"/>
                  </w:rPr>
                </w:pPr>
              </w:p>
            </w:tc>
            <w:tc>
              <w:tcPr>
                <w:tcW w:w="16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c897f9806f594aa5adb90855733ff003"/>
                <w:id w:val="865725731"/>
                <w:lock w:val="sdtLocked"/>
              </w:sdtPr>
              <w:sdtEndPr>
                <w:rPr>
                  <w:rFonts w:ascii="Times New Roman" w:hAnsi="Times New Roman" w:cs="Times New Roman"/>
                </w:rPr>
              </w:sdtEndPr>
              <w:sdtContent>
                <w:tc>
                  <w:tcPr>
                    <w:tcW w:w="1887" w:type="pct"/>
                    <w:tcBorders>
                      <w:top w:val="single" w:color="auto" w:sz="4" w:space="0"/>
                      <w:left w:val="single" w:color="auto" w:sz="4" w:space="0"/>
                      <w:bottom w:val="single" w:color="auto" w:sz="4" w:space="0"/>
                      <w:right w:val="single" w:color="auto" w:sz="4" w:space="0"/>
                    </w:tcBorders>
                    <w:vAlign w:val="center"/>
                  </w:tcPr>
                  <w:p>
                    <w:pPr>
                      <w:adjustRightInd w:val="0"/>
                      <w:snapToGrid w:val="0"/>
                      <w:ind w:left="-2" w:leftChars="-2" w:right="19" w:rightChars="9" w:hanging="2" w:hangingChars="1"/>
                      <w:jc w:val="right"/>
                      <w:rPr>
                        <w:rFonts w:ascii="Times New Roman" w:hAnsi="Times New Roman" w:cs="Times New Roman"/>
                        <w:szCs w:val="21"/>
                      </w:rPr>
                    </w:pPr>
                    <w:r>
                      <w:rPr>
                        <w:rFonts w:ascii="Times New Roman" w:cs="Times New Roman"/>
                        <w:szCs w:val="21"/>
                      </w:rPr>
                      <w:t>划分为金融负债的优先股</w:t>
                    </w:r>
                    <w:r>
                      <w:rPr>
                        <w:rFonts w:ascii="Times New Roman" w:hAnsi="Times New Roman" w:cs="Times New Roman"/>
                        <w:szCs w:val="21"/>
                      </w:rPr>
                      <w:t>\</w:t>
                    </w:r>
                    <w:r>
                      <w:rPr>
                        <w:rFonts w:ascii="Times New Roman" w:cs="Times New Roman"/>
                        <w:szCs w:val="21"/>
                      </w:rPr>
                      <w:t>永续债利息</w:t>
                    </w:r>
                  </w:p>
                </w:tc>
              </w:sdtContent>
            </w:sdt>
            <w:tc>
              <w:tcPr>
                <w:tcW w:w="1429" w:type="pct"/>
                <w:tcBorders>
                  <w:top w:val="single" w:color="auto" w:sz="4" w:space="0"/>
                  <w:left w:val="single" w:color="auto" w:sz="4" w:space="0"/>
                  <w:bottom w:val="single" w:color="auto" w:sz="4" w:space="0"/>
                  <w:right w:val="single" w:color="auto" w:sz="4" w:space="0"/>
                </w:tcBorders>
                <w:vAlign w:val="center"/>
              </w:tcPr>
              <w:p>
                <w:pPr>
                  <w:ind w:right="73"/>
                  <w:jc w:val="right"/>
                  <w:rPr>
                    <w:rFonts w:ascii="Times New Roman" w:hAnsi="Times New Roman" w:cs="Times New Roman"/>
                    <w:szCs w:val="21"/>
                  </w:rPr>
                </w:pPr>
              </w:p>
            </w:tc>
            <w:tc>
              <w:tcPr>
                <w:tcW w:w="16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sdt>
            <w:sdtPr>
              <w:rPr>
                <w:rFonts w:ascii="Times New Roman" w:hAnsi="Times New Roman" w:cs="Times New Roman"/>
                <w:szCs w:val="21"/>
              </w:rPr>
              <w:alias w:val="应付利息明细"/>
              <w:tag w:val="_TUP_1e81891e4e704e83a7333c5320fa2efa"/>
              <w:id w:val="86572573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cs="Times New Roman"/>
                      </w:rPr>
                      <w:t>应付银行借款利息</w:t>
                    </w:r>
                  </w:p>
                </w:tc>
                <w:tc>
                  <w:tcPr>
                    <w:tcW w:w="142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6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77,695.86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58f58bd0c6e499693e3e9f741d26391"/>
                <w:id w:val="865725736"/>
                <w:lock w:val="sdtLocked"/>
              </w:sdtPr>
              <w:sdtEndPr>
                <w:rPr>
                  <w:rFonts w:ascii="Times New Roman" w:hAnsi="Times New Roman" w:cs="Times New Roman"/>
                </w:rPr>
              </w:sdtEndPr>
              <w:sdtContent>
                <w:tc>
                  <w:tcPr>
                    <w:tcW w:w="188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FF0000"/>
                        <w:szCs w:val="21"/>
                      </w:rPr>
                    </w:pPr>
                    <w:r>
                      <w:rPr>
                        <w:rFonts w:ascii="Times New Roman" w:cs="Times New Roman"/>
                        <w:szCs w:val="21"/>
                      </w:rPr>
                      <w:t>合计</w:t>
                    </w:r>
                  </w:p>
                </w:tc>
              </w:sdtContent>
            </w:sdt>
            <w:tc>
              <w:tcPr>
                <w:tcW w:w="142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p>
            </w:tc>
            <w:tc>
              <w:tcPr>
                <w:tcW w:w="168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77,695.86</w:t>
                </w:r>
              </w:p>
            </w:tc>
          </w:tr>
        </w:tbl>
        <w:p/>
        <w:p>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86572573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before="60" w:after="60"/>
            <w:rPr>
              <w:szCs w:val="21"/>
            </w:rPr>
          </w:pPr>
          <w:r>
            <w:rPr>
              <w:rFonts w:hint="eastAsia"/>
              <w:szCs w:val="21"/>
            </w:rPr>
            <w:t>其他说明：</w:t>
          </w:r>
        </w:p>
        <w:sdt>
          <w:sdtPr>
            <w:rPr>
              <w:szCs w:val="21"/>
            </w:rPr>
            <w:alias w:val="是否适用：应付利息说明[双击切换]"/>
            <w:tag w:val="_GBC_f2437a0f1cbb497bbac71bde3a55162d"/>
            <w:id w:val="865725738"/>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ascii="宋体" w:hAnsi="宋体" w:eastAsia="宋体" w:cs="宋体"/>
          <w:b w:val="0"/>
          <w:bCs w:val="0"/>
          <w:kern w:val="0"/>
          <w:szCs w:val="24"/>
        </w:rPr>
        <w:alias w:val="模块:应付股利"/>
        <w:tag w:val="_SEC_8fa7e393d06b440f9c82ae0d64899eaa"/>
        <w:id w:val="865725754"/>
        <w:lock w:val="sdtLocked"/>
        <w:placeholder>
          <w:docPart w:val="GBC22222222222222222222222222222"/>
        </w:placeholder>
      </w:sdtPr>
      <w:sdtEndPr>
        <w:rPr>
          <w:rFonts w:ascii="宋体" w:hAnsi="宋体" w:eastAsia="宋体" w:cs="宋体"/>
          <w:b w:val="0"/>
          <w:bCs w:val="0"/>
          <w:kern w:val="0"/>
          <w:szCs w:val="21"/>
        </w:rPr>
      </w:sdtEndPr>
      <w:sdtContent>
        <w:p>
          <w:pPr>
            <w:pStyle w:val="5"/>
            <w:ind w:left="360" w:hanging="360"/>
          </w:pPr>
          <w:r>
            <w:rPr>
              <w:rFonts w:hint="eastAsia"/>
            </w:rPr>
            <w:t>应付股利</w:t>
          </w:r>
        </w:p>
        <w:p>
          <w:pPr>
            <w:pStyle w:val="5"/>
            <w:numPr>
              <w:ilvl w:val="0"/>
              <w:numId w:val="103"/>
            </w:numPr>
          </w:pPr>
          <w:r>
            <w:rPr>
              <w:rFonts w:hint="eastAsia"/>
            </w:rPr>
            <w:t>分类列示</w:t>
          </w:r>
        </w:p>
        <w:sdt>
          <w:sdtPr>
            <w:alias w:val="是否适用：应付股利[双击切换]"/>
            <w:tag w:val="_GBC_57df9a637d8e4610a89d25f277c3a9c3"/>
            <w:id w:val="86572574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付股利"/>
              <w:tag w:val="_GBC_a816a4da2a71411abe18c8e803b7c62e"/>
              <w:id w:val="8657257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865725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859"/>
            <w:gridCol w:w="3017"/>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imes New Roman" w:hAnsi="Times New Roman" w:cs="Times New Roman"/>
                </w:rPr>
                <w:tag w:val="_PLD_0a86b0a609c64067bceb086fe3b56e07"/>
                <w:id w:val="865725743"/>
                <w:lock w:val="sdtLocked"/>
              </w:sdtPr>
              <w:sdtEndPr>
                <w:rPr>
                  <w:rFonts w:ascii="Times New Roman" w:hAnsi="Times New Roman" w:cs="Times New Roman"/>
                </w:rPr>
              </w:sdtEndPr>
              <w:sdtContent>
                <w:tc>
                  <w:tcPr>
                    <w:tcW w:w="1607" w:type="pct"/>
                  </w:tcPr>
                  <w:p>
                    <w:pPr>
                      <w:ind w:right="105"/>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7fb1fcbe07004f36810db86b0edb2f95"/>
                <w:id w:val="865725744"/>
                <w:lock w:val="sdtLocked"/>
              </w:sdtPr>
              <w:sdtEndPr>
                <w:rPr>
                  <w:rFonts w:ascii="Times New Roman" w:hAnsi="Times New Roman" w:cs="Times New Roman"/>
                </w:rPr>
              </w:sdtEndPr>
              <w:sdtContent>
                <w:tc>
                  <w:tcPr>
                    <w:tcW w:w="1696" w:type="pct"/>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a1bac2002d6e4be08e5352b018a9cf9b"/>
                <w:id w:val="865725745"/>
                <w:lock w:val="sdtLocked"/>
              </w:sdtPr>
              <w:sdtEndPr>
                <w:rPr>
                  <w:rFonts w:ascii="Times New Roman" w:hAnsi="Times New Roman" w:cs="Times New Roman"/>
                </w:rPr>
              </w:sdtEndPr>
              <w:sdtContent>
                <w:tc>
                  <w:tcPr>
                    <w:tcW w:w="1697" w:type="pct"/>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imes New Roman" w:hAnsi="Times New Roman" w:cs="Times New Roman"/>
                </w:rPr>
                <w:tag w:val="_PLD_c76dcb28c9ce41a4a8898cb22d1c24eb"/>
                <w:id w:val="865725746"/>
                <w:lock w:val="sdtLocked"/>
              </w:sdtPr>
              <w:sdtEndPr>
                <w:rPr>
                  <w:rFonts w:ascii="Times New Roman" w:hAnsi="Times New Roman" w:cs="Times New Roman"/>
                </w:rPr>
              </w:sdtEndPr>
              <w:sdtContent>
                <w:tc>
                  <w:tcPr>
                    <w:tcW w:w="1607" w:type="pct"/>
                  </w:tcPr>
                  <w:p>
                    <w:pPr>
                      <w:ind w:right="105"/>
                      <w:rPr>
                        <w:rFonts w:ascii="Times New Roman" w:hAnsi="Times New Roman" w:cs="Times New Roman"/>
                        <w:szCs w:val="21"/>
                      </w:rPr>
                    </w:pPr>
                    <w:r>
                      <w:rPr>
                        <w:rFonts w:ascii="Times New Roman" w:cs="Times New Roman"/>
                        <w:szCs w:val="21"/>
                      </w:rPr>
                      <w:t>普通股股利</w:t>
                    </w:r>
                  </w:p>
                </w:tc>
              </w:sdtContent>
            </w:sdt>
            <w:tc>
              <w:tcPr>
                <w:tcW w:w="1696" w:type="pct"/>
                <w:vAlign w:val="center"/>
              </w:tcPr>
              <w:p>
                <w:pPr>
                  <w:jc w:val="right"/>
                  <w:rPr>
                    <w:rFonts w:ascii="Times New Roman" w:hAnsi="Times New Roman" w:cs="Times New Roman"/>
                    <w:sz w:val="24"/>
                  </w:rPr>
                </w:pPr>
                <w:r>
                  <w:rPr>
                    <w:rFonts w:ascii="Times New Roman" w:hAnsi="Times New Roman" w:cs="Times New Roman"/>
                  </w:rPr>
                  <w:t>8,537,790.48</w:t>
                </w:r>
              </w:p>
            </w:tc>
            <w:tc>
              <w:tcPr>
                <w:tcW w:w="1697" w:type="pct"/>
                <w:vAlign w:val="center"/>
              </w:tcPr>
              <w:p>
                <w:pPr>
                  <w:jc w:val="right"/>
                  <w:rPr>
                    <w:rFonts w:ascii="Times New Roman" w:hAnsi="Times New Roman" w:cs="Times New Roman"/>
                    <w:sz w:val="24"/>
                  </w:rPr>
                </w:pPr>
                <w:r>
                  <w:rPr>
                    <w:rFonts w:ascii="Times New Roman" w:hAnsi="Times New Roman" w:cs="Times New Roman"/>
                  </w:rPr>
                  <w:t>8,537,790.48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imes New Roman" w:hAnsi="Times New Roman" w:cs="Times New Roman"/>
                </w:rPr>
                <w:tag w:val="_PLD_a63810b7398f46aa8278599a07b30c01"/>
                <w:id w:val="865725747"/>
                <w:lock w:val="sdtLocked"/>
              </w:sdtPr>
              <w:sdtEndPr>
                <w:rPr>
                  <w:rFonts w:ascii="Times New Roman" w:hAnsi="Times New Roman" w:cs="Times New Roman"/>
                </w:rPr>
              </w:sdtEndPr>
              <w:sdtContent>
                <w:tc>
                  <w:tcPr>
                    <w:tcW w:w="1607" w:type="pct"/>
                  </w:tcPr>
                  <w:p>
                    <w:pPr>
                      <w:ind w:right="105"/>
                      <w:rPr>
                        <w:rFonts w:ascii="Times New Roman" w:hAnsi="Times New Roman" w:cs="Times New Roman"/>
                        <w:color w:val="000000" w:themeColor="text1"/>
                        <w:szCs w:val="21"/>
                      </w:rPr>
                    </w:pPr>
                    <w:r>
                      <w:rPr>
                        <w:rFonts w:ascii="Times New Roman" w:cs="Times New Roman"/>
                        <w:szCs w:val="21"/>
                      </w:rPr>
                      <w:t>划分为权益工具的优先股</w:t>
                    </w:r>
                    <w:r>
                      <w:rPr>
                        <w:rFonts w:ascii="Times New Roman" w:hAnsi="Times New Roman" w:cs="Times New Roman"/>
                        <w:szCs w:val="21"/>
                      </w:rPr>
                      <w:t>\</w:t>
                    </w:r>
                    <w:r>
                      <w:rPr>
                        <w:rFonts w:ascii="Times New Roman" w:cs="Times New Roman"/>
                        <w:szCs w:val="21"/>
                      </w:rPr>
                      <w:t>永续债股利</w:t>
                    </w:r>
                  </w:p>
                </w:tc>
              </w:sdtContent>
            </w:sdt>
            <w:tc>
              <w:tcPr>
                <w:tcW w:w="1696" w:type="pct"/>
                <w:vAlign w:val="center"/>
              </w:tcPr>
              <w:p>
                <w:pPr>
                  <w:ind w:right="73"/>
                  <w:jc w:val="right"/>
                  <w:rPr>
                    <w:rFonts w:ascii="Times New Roman" w:hAnsi="Times New Roman" w:cs="Times New Roman"/>
                    <w:szCs w:val="21"/>
                  </w:rPr>
                </w:pPr>
              </w:p>
            </w:tc>
            <w:tc>
              <w:tcPr>
                <w:tcW w:w="1697" w:type="pct"/>
                <w:vAlign w:val="center"/>
              </w:tcPr>
              <w:p>
                <w:pPr>
                  <w:ind w:right="73"/>
                  <w:jc w:val="right"/>
                  <w:rPr>
                    <w:rFonts w:ascii="Times New Roman" w:hAnsi="Times New Roman" w:cs="Times New Roman"/>
                    <w:szCs w:val="21"/>
                  </w:rPr>
                </w:pPr>
              </w:p>
            </w:tc>
          </w:tr>
          <w:sdt>
            <w:sdtPr>
              <w:rPr>
                <w:rFonts w:ascii="Times New Roman" w:hAnsi="Times New Roman" w:cs="Times New Roman"/>
                <w:szCs w:val="21"/>
              </w:rPr>
              <w:alias w:val="划分为权益工具的优先股或永续债股利明细"/>
              <w:tag w:val="_TUP_a94a1d5ba31a490993ec26e45a34e98e"/>
              <w:id w:val="865725748"/>
              <w:lock w:val="sdtLocked"/>
            </w:sdtPr>
            <w:sdtEndPr>
              <w:rPr>
                <w:rFonts w:ascii="Times New Roman" w:hAnsi="Times New Roman" w:cs="Times New Roman"/>
                <w:color w:val="000000" w:themeColor="text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ind w:firstLine="420" w:firstLineChars="200"/>
                      <w:rPr>
                        <w:rFonts w:ascii="Times New Roman" w:hAnsi="Times New Roman" w:cs="Times New Roman"/>
                        <w:szCs w:val="21"/>
                      </w:rPr>
                    </w:pPr>
                    <w:r>
                      <w:rPr>
                        <w:rFonts w:ascii="Times New Roman" w:cs="Times New Roman"/>
                        <w:szCs w:val="21"/>
                      </w:rPr>
                      <w:t>优先股</w:t>
                    </w:r>
                    <w:r>
                      <w:rPr>
                        <w:rFonts w:ascii="Times New Roman" w:hAnsi="Times New Roman" w:cs="Times New Roman"/>
                        <w:szCs w:val="21"/>
                      </w:rPr>
                      <w:t>\</w:t>
                    </w:r>
                    <w:r>
                      <w:rPr>
                        <w:rFonts w:ascii="Times New Roman" w:cs="Times New Roman"/>
                        <w:szCs w:val="21"/>
                      </w:rPr>
                      <w:t>永续债股利</w:t>
                    </w:r>
                    <w:r>
                      <w:rPr>
                        <w:rFonts w:ascii="Times New Roman" w:hAnsi="Times New Roman" w:cs="Times New Roman"/>
                        <w:szCs w:val="21"/>
                      </w:rPr>
                      <w:t>-XXX</w:t>
                    </w:r>
                  </w:p>
                </w:tc>
                <w:tc>
                  <w:tcPr>
                    <w:tcW w:w="1696" w:type="pct"/>
                    <w:vAlign w:val="center"/>
                  </w:tcPr>
                  <w:p>
                    <w:pPr>
                      <w:ind w:right="73"/>
                      <w:jc w:val="right"/>
                      <w:rPr>
                        <w:rFonts w:ascii="Times New Roman" w:hAnsi="Times New Roman" w:cs="Times New Roman"/>
                        <w:szCs w:val="21"/>
                      </w:rPr>
                    </w:pPr>
                  </w:p>
                </w:tc>
                <w:tc>
                  <w:tcPr>
                    <w:tcW w:w="1697" w:type="pct"/>
                    <w:vAlign w:val="center"/>
                  </w:tcPr>
                  <w:p>
                    <w:pPr>
                      <w:ind w:right="73"/>
                      <w:jc w:val="right"/>
                      <w:rPr>
                        <w:rFonts w:ascii="Times New Roman" w:hAnsi="Times New Roman" w:cs="Times New Roman"/>
                        <w:szCs w:val="21"/>
                      </w:rPr>
                    </w:pPr>
                  </w:p>
                </w:tc>
              </w:tr>
            </w:sdtContent>
          </w:sdt>
          <w:sdt>
            <w:sdtPr>
              <w:rPr>
                <w:rFonts w:ascii="Times New Roman" w:hAnsi="Times New Roman" w:cs="Times New Roman"/>
                <w:szCs w:val="21"/>
              </w:rPr>
              <w:alias w:val="划分为权益工具的优先股或永续债股利明细"/>
              <w:tag w:val="_TUP_a94a1d5ba31a490993ec26e45a34e98e"/>
              <w:id w:val="865725749"/>
              <w:lock w:val="sdtLocked"/>
            </w:sdtPr>
            <w:sdtEndPr>
              <w:rPr>
                <w:rFonts w:ascii="Times New Roman" w:hAnsi="Times New Roman" w:cs="Times New Roman"/>
                <w:color w:val="000000" w:themeColor="text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ind w:firstLine="420" w:firstLineChars="200"/>
                      <w:rPr>
                        <w:rFonts w:ascii="Times New Roman" w:hAnsi="Times New Roman" w:cs="Times New Roman"/>
                        <w:szCs w:val="21"/>
                      </w:rPr>
                    </w:pPr>
                    <w:r>
                      <w:rPr>
                        <w:rFonts w:ascii="Times New Roman" w:cs="Times New Roman"/>
                        <w:szCs w:val="21"/>
                      </w:rPr>
                      <w:t>优先股</w:t>
                    </w:r>
                    <w:r>
                      <w:rPr>
                        <w:rFonts w:ascii="Times New Roman" w:hAnsi="Times New Roman" w:cs="Times New Roman"/>
                        <w:szCs w:val="21"/>
                      </w:rPr>
                      <w:t>\</w:t>
                    </w:r>
                    <w:r>
                      <w:rPr>
                        <w:rFonts w:ascii="Times New Roman" w:cs="Times New Roman"/>
                        <w:szCs w:val="21"/>
                      </w:rPr>
                      <w:t>永续债股利</w:t>
                    </w:r>
                    <w:r>
                      <w:rPr>
                        <w:rFonts w:ascii="Times New Roman" w:hAnsi="Times New Roman" w:cs="Times New Roman"/>
                        <w:szCs w:val="21"/>
                      </w:rPr>
                      <w:t>-XXX</w:t>
                    </w:r>
                  </w:p>
                </w:tc>
                <w:tc>
                  <w:tcPr>
                    <w:tcW w:w="1696" w:type="pct"/>
                    <w:vAlign w:val="center"/>
                  </w:tcPr>
                  <w:p>
                    <w:pPr>
                      <w:ind w:right="73"/>
                      <w:jc w:val="right"/>
                      <w:rPr>
                        <w:rFonts w:ascii="Times New Roman" w:hAnsi="Times New Roman" w:cs="Times New Roman"/>
                        <w:szCs w:val="21"/>
                      </w:rPr>
                    </w:pPr>
                  </w:p>
                </w:tc>
                <w:tc>
                  <w:tcPr>
                    <w:tcW w:w="1697" w:type="pct"/>
                    <w:vAlign w:val="center"/>
                  </w:tcPr>
                  <w:p>
                    <w:pPr>
                      <w:ind w:right="73"/>
                      <w:jc w:val="right"/>
                      <w:rPr>
                        <w:rFonts w:ascii="Times New Roman" w:hAnsi="Times New Roman" w:cs="Times New Roman"/>
                        <w:szCs w:val="21"/>
                      </w:rPr>
                    </w:pPr>
                  </w:p>
                </w:tc>
              </w:tr>
            </w:sdtContent>
          </w:sdt>
          <w:sdt>
            <w:sdtPr>
              <w:rPr>
                <w:rFonts w:ascii="Times New Roman" w:hAnsi="Times New Roman" w:cs="Times New Roman"/>
                <w:color w:val="000000" w:themeColor="text1"/>
                <w:szCs w:val="21"/>
              </w:rPr>
              <w:alias w:val="应付股利明细"/>
              <w:tag w:val="_TUP_ab216a38f6804ead821317f5207ba20f"/>
              <w:id w:val="865725750"/>
              <w:lock w:val="sdtLocked"/>
            </w:sdtPr>
            <w:sdtEndPr>
              <w:rPr>
                <w:rFonts w:ascii="Times New Roman" w:hAnsi="Times New Roman" w:cs="Times New Roman"/>
                <w:color w:val="auto"/>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jc w:val="both"/>
                      <w:rPr>
                        <w:rFonts w:ascii="Times New Roman" w:hAnsi="Times New Roman" w:cs="Times New Roman"/>
                        <w:szCs w:val="21"/>
                      </w:rPr>
                    </w:pPr>
                    <w:r>
                      <w:rPr>
                        <w:rFonts w:ascii="Times New Roman" w:cs="Times New Roman"/>
                        <w:szCs w:val="21"/>
                      </w:rPr>
                      <w:t>应付股利</w:t>
                    </w:r>
                    <w:r>
                      <w:rPr>
                        <w:rFonts w:ascii="Times New Roman" w:hAnsi="Times New Roman" w:cs="Times New Roman"/>
                        <w:szCs w:val="21"/>
                      </w:rPr>
                      <w:t>-XXX</w:t>
                    </w:r>
                  </w:p>
                </w:tc>
                <w:tc>
                  <w:tcPr>
                    <w:tcW w:w="1696" w:type="pct"/>
                    <w:vAlign w:val="center"/>
                  </w:tcPr>
                  <w:p>
                    <w:pPr>
                      <w:ind w:right="73"/>
                      <w:jc w:val="right"/>
                      <w:rPr>
                        <w:rFonts w:ascii="Times New Roman" w:hAnsi="Times New Roman" w:cs="Times New Roman"/>
                        <w:szCs w:val="21"/>
                      </w:rPr>
                    </w:pPr>
                  </w:p>
                </w:tc>
                <w:tc>
                  <w:tcPr>
                    <w:tcW w:w="1697" w:type="pct"/>
                    <w:vAlign w:val="center"/>
                  </w:tcPr>
                  <w:p>
                    <w:pPr>
                      <w:ind w:right="73"/>
                      <w:jc w:val="right"/>
                      <w:rPr>
                        <w:rFonts w:ascii="Times New Roman" w:hAnsi="Times New Roman" w:cs="Times New Roman"/>
                        <w:szCs w:val="21"/>
                      </w:rPr>
                    </w:pPr>
                  </w:p>
                </w:tc>
              </w:tr>
            </w:sdtContent>
          </w:sdt>
          <w:sdt>
            <w:sdtPr>
              <w:rPr>
                <w:rFonts w:ascii="Times New Roman" w:hAnsi="Times New Roman" w:cs="Times New Roman"/>
                <w:color w:val="000000" w:themeColor="text1"/>
                <w:szCs w:val="21"/>
              </w:rPr>
              <w:alias w:val="应付股利明细"/>
              <w:tag w:val="_TUP_ab216a38f6804ead821317f5207ba20f"/>
              <w:id w:val="865725751"/>
              <w:lock w:val="sdtLocked"/>
            </w:sdtPr>
            <w:sdtEndPr>
              <w:rPr>
                <w:rFonts w:ascii="Times New Roman" w:hAnsi="Times New Roman" w:cs="Times New Roman"/>
                <w:color w:val="auto"/>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jc w:val="both"/>
                      <w:rPr>
                        <w:rFonts w:ascii="Times New Roman" w:hAnsi="Times New Roman" w:cs="Times New Roman"/>
                        <w:szCs w:val="21"/>
                      </w:rPr>
                    </w:pPr>
                    <w:r>
                      <w:rPr>
                        <w:rFonts w:ascii="Times New Roman" w:cs="Times New Roman"/>
                        <w:szCs w:val="21"/>
                      </w:rPr>
                      <w:t>应付股利</w:t>
                    </w:r>
                    <w:r>
                      <w:rPr>
                        <w:rFonts w:ascii="Times New Roman" w:hAnsi="Times New Roman" w:cs="Times New Roman"/>
                        <w:szCs w:val="21"/>
                      </w:rPr>
                      <w:t>-XXX</w:t>
                    </w:r>
                  </w:p>
                </w:tc>
                <w:tc>
                  <w:tcPr>
                    <w:tcW w:w="1696" w:type="pct"/>
                    <w:vAlign w:val="center"/>
                  </w:tcPr>
                  <w:p>
                    <w:pPr>
                      <w:ind w:right="73"/>
                      <w:jc w:val="right"/>
                      <w:rPr>
                        <w:rFonts w:ascii="Times New Roman" w:hAnsi="Times New Roman" w:cs="Times New Roman"/>
                        <w:szCs w:val="21"/>
                      </w:rPr>
                    </w:pPr>
                  </w:p>
                </w:tc>
                <w:tc>
                  <w:tcPr>
                    <w:tcW w:w="1697" w:type="pct"/>
                    <w:vAlign w:val="center"/>
                  </w:tcPr>
                  <w:p>
                    <w:pPr>
                      <w:ind w:right="73"/>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imes New Roman" w:hAnsi="Times New Roman" w:cs="Times New Roman"/>
                </w:rPr>
                <w:tag w:val="_PLD_06df13dedacc42e4be585da0994a97c5"/>
                <w:id w:val="865725752"/>
                <w:lock w:val="sdtLocked"/>
              </w:sdtPr>
              <w:sdtEndPr>
                <w:rPr>
                  <w:rFonts w:ascii="Times New Roman" w:hAnsi="Times New Roman" w:cs="Times New Roman"/>
                </w:rPr>
              </w:sdtEndPr>
              <w:sdtContent>
                <w:tc>
                  <w:tcPr>
                    <w:tcW w:w="1607" w:type="pct"/>
                  </w:tcPr>
                  <w:p>
                    <w:pPr>
                      <w:ind w:right="105"/>
                      <w:jc w:val="center"/>
                      <w:rPr>
                        <w:rFonts w:ascii="Times New Roman" w:hAnsi="Times New Roman" w:cs="Times New Roman"/>
                        <w:color w:val="000000" w:themeColor="text1"/>
                        <w:szCs w:val="21"/>
                      </w:rPr>
                    </w:pPr>
                    <w:r>
                      <w:rPr>
                        <w:rFonts w:ascii="Times New Roman" w:cs="Times New Roman"/>
                        <w:color w:val="000000" w:themeColor="text1"/>
                        <w:szCs w:val="21"/>
                      </w:rPr>
                      <w:t>合计</w:t>
                    </w:r>
                  </w:p>
                </w:tc>
              </w:sdtContent>
            </w:sdt>
            <w:tc>
              <w:tcPr>
                <w:tcW w:w="1696" w:type="pct"/>
                <w:vAlign w:val="center"/>
              </w:tcPr>
              <w:p>
                <w:pPr>
                  <w:jc w:val="right"/>
                  <w:rPr>
                    <w:rFonts w:ascii="Times New Roman" w:hAnsi="Times New Roman" w:cs="Times New Roman"/>
                    <w:sz w:val="24"/>
                  </w:rPr>
                </w:pPr>
                <w:r>
                  <w:rPr>
                    <w:rFonts w:ascii="Times New Roman" w:hAnsi="Times New Roman" w:cs="Times New Roman"/>
                  </w:rPr>
                  <w:t>8,537,790.48</w:t>
                </w:r>
              </w:p>
            </w:tc>
            <w:tc>
              <w:tcPr>
                <w:tcW w:w="1697" w:type="pct"/>
                <w:vAlign w:val="center"/>
              </w:tcPr>
              <w:p>
                <w:pPr>
                  <w:jc w:val="right"/>
                  <w:rPr>
                    <w:rFonts w:ascii="Times New Roman" w:hAnsi="Times New Roman" w:cs="Times New Roman"/>
                    <w:sz w:val="24"/>
                  </w:rPr>
                </w:pPr>
                <w:r>
                  <w:rPr>
                    <w:rFonts w:ascii="Times New Roman" w:hAnsi="Times New Roman" w:cs="Times New Roman"/>
                  </w:rPr>
                  <w:t>8,537,790.48</w:t>
                </w:r>
              </w:p>
            </w:tc>
          </w:tr>
        </w:tbl>
        <w:p>
          <w:pPr>
            <w:snapToGrid w:val="0"/>
            <w:rPr>
              <w:szCs w:val="21"/>
            </w:rPr>
          </w:pPr>
          <w:r>
            <w:rPr>
              <w:rFonts w:hint="eastAsia"/>
              <w:szCs w:val="21"/>
            </w:rPr>
            <w:t>其他说明，包括重要的超过</w:t>
          </w:r>
          <w:r>
            <w:rPr>
              <w:szCs w:val="21"/>
            </w:rPr>
            <w:t>1年未支付的应付股利，应披露未支付原因：</w:t>
          </w:r>
        </w:p>
        <w:p>
          <w:pPr>
            <w:snapToGrid w:val="0"/>
            <w:rPr>
              <w:szCs w:val="21"/>
            </w:rPr>
          </w:pPr>
          <w:sdt>
            <w:sdtPr>
              <w:rPr>
                <w:szCs w:val="21"/>
              </w:rPr>
              <w:alias w:val="应付股利的说明"/>
              <w:tag w:val="_GBC_c26084e6b4984321b1a742c636f3683b"/>
              <w:id w:val="865725753"/>
              <w:lock w:val="sdtLocked"/>
              <w:placeholder>
                <w:docPart w:val="GBC22222222222222222222222222222"/>
              </w:placeholder>
            </w:sdtPr>
            <w:sdtEndPr>
              <w:rPr>
                <w:szCs w:val="21"/>
              </w:rPr>
            </w:sdtEndPr>
            <w:sdtContent>
              <w:r>
                <w:t>历史遗留原因未支付</w:t>
              </w:r>
            </w:sdtContent>
          </w:sdt>
        </w:p>
        <w:p>
          <w:pPr>
            <w:snapToGrid w:val="0"/>
            <w:rPr>
              <w:szCs w:val="21"/>
            </w:rPr>
          </w:pPr>
        </w:p>
      </w:sdtContent>
    </w:sdt>
    <w:sdt>
      <w:sdtPr>
        <w:rPr>
          <w:rFonts w:hint="eastAsia" w:ascii="宋体" w:hAnsi="宋体" w:eastAsia="宋体" w:cs="宋体"/>
          <w:b w:val="0"/>
          <w:bCs w:val="0"/>
          <w:kern w:val="0"/>
          <w:szCs w:val="24"/>
        </w:rPr>
        <w:alias w:val="模块:其他应付款"/>
        <w:tag w:val="_SEC_63718a543ca94cc0ab86d1bd47798003"/>
        <w:id w:val="865725776"/>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ind w:left="360" w:hanging="360"/>
          </w:pPr>
          <w:r>
            <w:rPr>
              <w:rFonts w:hint="eastAsia"/>
            </w:rPr>
            <w:t>其他应付款</w:t>
          </w:r>
        </w:p>
        <w:p>
          <w:pPr>
            <w:pStyle w:val="5"/>
            <w:numPr>
              <w:ilvl w:val="3"/>
              <w:numId w:val="104"/>
            </w:numPr>
          </w:pPr>
          <w:r>
            <w:rPr>
              <w:rFonts w:hint="eastAsia"/>
            </w:rPr>
            <w:t>按款项性质列示其他应付款</w:t>
          </w:r>
        </w:p>
        <w:sdt>
          <w:sdtPr>
            <w:alias w:val="是否适用：按款项性质列示其他应付款[双击切换]"/>
            <w:tag w:val="_GBC_2129eaafa70540f79a93d0085630a5fe"/>
            <w:id w:val="86572575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其他应付款情况"/>
              <w:tag w:val="_GBC_a6c4e704227646d6b87178ecadaa5fa8"/>
              <w:id w:val="865725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865725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3"/>
            <w:gridCol w:w="2999"/>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cccd20120c59428c9fb5486db901b651"/>
                <w:id w:val="865725758"/>
                <w:lock w:val="sdtLocked"/>
              </w:sdtPr>
              <w:sdtEndPr>
                <w:rPr>
                  <w:rFonts w:ascii="Times New Roman" w:hAnsi="Times New Roman" w:cs="Times New Roman"/>
                </w:rPr>
              </w:sdtEndPr>
              <w:sdtContent>
                <w:tc>
                  <w:tcPr>
                    <w:tcW w:w="1615" w:type="pct"/>
                    <w:shd w:val="clear" w:color="auto" w:fill="auto"/>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e2d62dec5e0841a581c413f632730f49"/>
                <w:id w:val="865725759"/>
                <w:lock w:val="sdtLocked"/>
              </w:sdtPr>
              <w:sdtEndPr>
                <w:rPr>
                  <w:rFonts w:ascii="Times New Roman" w:hAnsi="Times New Roman" w:cs="Times New Roman"/>
                </w:rPr>
              </w:sdtEndPr>
              <w:sdtContent>
                <w:tc>
                  <w:tcPr>
                    <w:tcW w:w="1657" w:type="pct"/>
                    <w:shd w:val="clear" w:color="auto" w:fill="auto"/>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7d5bd8bc96cd40388e383699d37c8d10"/>
                <w:id w:val="865725760"/>
                <w:lock w:val="sdtLocked"/>
              </w:sdtPr>
              <w:sdtEndPr>
                <w:rPr>
                  <w:rFonts w:ascii="Times New Roman" w:hAnsi="Times New Roman" w:cs="Times New Roman"/>
                </w:rPr>
              </w:sdtEndPr>
              <w:sdtContent>
                <w:tc>
                  <w:tcPr>
                    <w:tcW w:w="1728" w:type="pct"/>
                    <w:shd w:val="clear" w:color="auto" w:fill="auto"/>
                  </w:tcPr>
                  <w:p>
                    <w:pPr>
                      <w:jc w:val="center"/>
                      <w:rPr>
                        <w:rFonts w:ascii="Times New Roman" w:hAnsi="Times New Roman" w:cs="Times New Roman"/>
                        <w:szCs w:val="21"/>
                      </w:rPr>
                    </w:pPr>
                    <w:r>
                      <w:rPr>
                        <w:rFonts w:ascii="Times New Roman" w:cs="Times New Roman"/>
                        <w:szCs w:val="21"/>
                      </w:rPr>
                      <w:t>期初余额</w:t>
                    </w:r>
                  </w:p>
                </w:tc>
              </w:sdtContent>
            </w:sdt>
          </w:tr>
          <w:sdt>
            <w:sdtPr>
              <w:rPr>
                <w:rFonts w:ascii="Times New Roman" w:hAnsi="Times New Roman" w:cs="Times New Roman"/>
                <w:szCs w:val="21"/>
              </w:rPr>
              <w:alias w:val="其他应付款情况明细"/>
              <w:tag w:val="_TUP_c5fd807cf68b4815b97a33bdc075d5e4"/>
              <w:id w:val="86572576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ascii="Times New Roman" w:hAnsi="Times New Roman" w:cs="Times New Roman"/>
                        <w:szCs w:val="21"/>
                      </w:rPr>
                    </w:pPr>
                    <w:r>
                      <w:rPr>
                        <w:rFonts w:ascii="Times New Roman" w:cs="Times New Roman"/>
                      </w:rPr>
                      <w:t>往来款</w:t>
                    </w:r>
                  </w:p>
                </w:tc>
                <w:tc>
                  <w:tcPr>
                    <w:tcW w:w="1657" w:type="pct"/>
                    <w:shd w:val="clear" w:color="auto" w:fill="auto"/>
                    <w:vAlign w:val="center"/>
                  </w:tcPr>
                  <w:p>
                    <w:pPr>
                      <w:jc w:val="right"/>
                      <w:rPr>
                        <w:rFonts w:ascii="Times New Roman" w:hAnsi="Times New Roman" w:cs="Times New Roman"/>
                        <w:szCs w:val="21"/>
                      </w:rPr>
                    </w:pPr>
                    <w:r>
                      <w:rPr>
                        <w:rFonts w:ascii="Times New Roman" w:hAnsi="Times New Roman" w:cs="Times New Roman"/>
                      </w:rPr>
                      <w:t>23,056,973.63</w:t>
                    </w:r>
                  </w:p>
                </w:tc>
                <w:tc>
                  <w:tcPr>
                    <w:tcW w:w="1728" w:type="pct"/>
                    <w:shd w:val="clear" w:color="auto" w:fill="auto"/>
                    <w:vAlign w:val="center"/>
                  </w:tcPr>
                  <w:p>
                    <w:pPr>
                      <w:jc w:val="right"/>
                      <w:rPr>
                        <w:rFonts w:ascii="Times New Roman" w:hAnsi="Times New Roman" w:cs="Times New Roman"/>
                        <w:szCs w:val="21"/>
                      </w:rPr>
                    </w:pPr>
                    <w:r>
                      <w:rPr>
                        <w:rFonts w:ascii="Times New Roman" w:hAnsi="Times New Roman" w:cs="Times New Roman"/>
                      </w:rPr>
                      <w:t>17,394,525.95</w:t>
                    </w:r>
                  </w:p>
                </w:tc>
              </w:tr>
            </w:sdtContent>
          </w:sdt>
          <w:sdt>
            <w:sdtPr>
              <w:rPr>
                <w:rFonts w:ascii="Times New Roman" w:hAnsi="Times New Roman" w:cs="Times New Roman"/>
                <w:szCs w:val="21"/>
              </w:rPr>
              <w:alias w:val="其他应付款情况明细"/>
              <w:tag w:val="_TUP_c5fd807cf68b4815b97a33bdc075d5e4"/>
              <w:id w:val="86572576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ascii="Times New Roman" w:hAnsi="Times New Roman" w:cs="Times New Roman"/>
                        <w:szCs w:val="21"/>
                      </w:rPr>
                    </w:pPr>
                    <w:r>
                      <w:rPr>
                        <w:rFonts w:ascii="Times New Roman" w:cs="Times New Roman"/>
                      </w:rPr>
                      <w:t>保证金及押金</w:t>
                    </w:r>
                  </w:p>
                </w:tc>
                <w:tc>
                  <w:tcPr>
                    <w:tcW w:w="1657" w:type="pct"/>
                    <w:shd w:val="clear" w:color="auto" w:fill="auto"/>
                    <w:vAlign w:val="center"/>
                  </w:tcPr>
                  <w:p>
                    <w:pPr>
                      <w:jc w:val="right"/>
                      <w:rPr>
                        <w:rFonts w:ascii="Times New Roman" w:hAnsi="Times New Roman" w:cs="Times New Roman"/>
                        <w:szCs w:val="21"/>
                      </w:rPr>
                    </w:pPr>
                    <w:r>
                      <w:rPr>
                        <w:rFonts w:ascii="Times New Roman" w:hAnsi="Times New Roman" w:cs="Times New Roman"/>
                      </w:rPr>
                      <w:t>3,583,936.51</w:t>
                    </w:r>
                  </w:p>
                </w:tc>
                <w:tc>
                  <w:tcPr>
                    <w:tcW w:w="1728" w:type="pct"/>
                    <w:shd w:val="clear" w:color="auto" w:fill="auto"/>
                    <w:vAlign w:val="center"/>
                  </w:tcPr>
                  <w:p>
                    <w:pPr>
                      <w:jc w:val="right"/>
                      <w:rPr>
                        <w:rFonts w:ascii="Times New Roman" w:hAnsi="Times New Roman" w:cs="Times New Roman"/>
                        <w:szCs w:val="21"/>
                      </w:rPr>
                    </w:pPr>
                    <w:r>
                      <w:rPr>
                        <w:rFonts w:ascii="Times New Roman" w:hAnsi="Times New Roman" w:cs="Times New Roman"/>
                      </w:rPr>
                      <w:t>3,753,928.61</w:t>
                    </w:r>
                  </w:p>
                </w:tc>
              </w:tr>
            </w:sdtContent>
          </w:sdt>
          <w:sdt>
            <w:sdtPr>
              <w:rPr>
                <w:rFonts w:ascii="Times New Roman" w:hAnsi="Times New Roman" w:cs="Times New Roman"/>
                <w:szCs w:val="21"/>
              </w:rPr>
              <w:alias w:val="其他应付款情况明细"/>
              <w:tag w:val="_TUP_c5fd807cf68b4815b97a33bdc075d5e4"/>
              <w:id w:val="86572576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ascii="Times New Roman" w:hAnsi="Times New Roman" w:cs="Times New Roman"/>
                        <w:szCs w:val="21"/>
                      </w:rPr>
                    </w:pPr>
                    <w:r>
                      <w:rPr>
                        <w:rFonts w:ascii="Times New Roman" w:cs="Times New Roman"/>
                      </w:rPr>
                      <w:t>其他</w:t>
                    </w:r>
                  </w:p>
                </w:tc>
                <w:tc>
                  <w:tcPr>
                    <w:tcW w:w="1657" w:type="pct"/>
                    <w:shd w:val="clear" w:color="auto" w:fill="auto"/>
                    <w:vAlign w:val="center"/>
                  </w:tcPr>
                  <w:p>
                    <w:pPr>
                      <w:jc w:val="right"/>
                      <w:rPr>
                        <w:rFonts w:ascii="Times New Roman" w:hAnsi="Times New Roman" w:cs="Times New Roman"/>
                        <w:szCs w:val="21"/>
                      </w:rPr>
                    </w:pPr>
                    <w:r>
                      <w:rPr>
                        <w:rFonts w:ascii="Times New Roman" w:hAnsi="Times New Roman" w:cs="Times New Roman"/>
                      </w:rPr>
                      <w:t>3,456,678.17</w:t>
                    </w:r>
                  </w:p>
                </w:tc>
                <w:tc>
                  <w:tcPr>
                    <w:tcW w:w="1728" w:type="pct"/>
                    <w:shd w:val="clear" w:color="auto" w:fill="auto"/>
                    <w:vAlign w:val="center"/>
                  </w:tcPr>
                  <w:p>
                    <w:pPr>
                      <w:jc w:val="right"/>
                      <w:rPr>
                        <w:rFonts w:ascii="Times New Roman" w:hAnsi="Times New Roman" w:cs="Times New Roman"/>
                        <w:szCs w:val="21"/>
                      </w:rPr>
                    </w:pPr>
                    <w:r>
                      <w:rPr>
                        <w:rFonts w:ascii="Times New Roman" w:hAnsi="Times New Roman" w:cs="Times New Roman"/>
                      </w:rPr>
                      <w:t>6,520,517.41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1f559af9c054f8b851f93ba5dcee683"/>
                <w:id w:val="865725764"/>
                <w:lock w:val="sdtLocked"/>
              </w:sdtPr>
              <w:sdtEndPr>
                <w:rPr>
                  <w:rFonts w:ascii="Times New Roman" w:hAnsi="Times New Roman" w:cs="Times New Roman"/>
                </w:rPr>
              </w:sdtEndPr>
              <w:sdtContent>
                <w:tc>
                  <w:tcPr>
                    <w:tcW w:w="1615" w:type="pct"/>
                    <w:shd w:val="clear" w:color="auto" w:fill="auto"/>
                  </w:tcPr>
                  <w:p>
                    <w:pPr>
                      <w:jc w:val="center"/>
                      <w:rPr>
                        <w:rFonts w:ascii="Times New Roman" w:hAnsi="Times New Roman" w:cs="Times New Roman"/>
                        <w:color w:val="000000" w:themeColor="text1"/>
                        <w:szCs w:val="21"/>
                      </w:rPr>
                    </w:pPr>
                    <w:r>
                      <w:rPr>
                        <w:rFonts w:ascii="Times New Roman" w:cs="Times New Roman"/>
                        <w:color w:val="000000" w:themeColor="text1"/>
                        <w:szCs w:val="21"/>
                      </w:rPr>
                      <w:t>合计</w:t>
                    </w:r>
                  </w:p>
                </w:tc>
              </w:sdtContent>
            </w:sdt>
            <w:tc>
              <w:tcPr>
                <w:tcW w:w="1657" w:type="pct"/>
                <w:shd w:val="clear" w:color="auto" w:fill="auto"/>
                <w:vAlign w:val="center"/>
              </w:tcPr>
              <w:p>
                <w:pPr>
                  <w:jc w:val="right"/>
                  <w:rPr>
                    <w:rFonts w:ascii="Times New Roman" w:hAnsi="Times New Roman" w:cs="Times New Roman"/>
                    <w:sz w:val="24"/>
                  </w:rPr>
                </w:pPr>
                <w:r>
                  <w:rPr>
                    <w:rFonts w:ascii="Times New Roman" w:hAnsi="Times New Roman" w:cs="Times New Roman"/>
                  </w:rPr>
                  <w:t>30,097,588.31</w:t>
                </w:r>
              </w:p>
            </w:tc>
            <w:tc>
              <w:tcPr>
                <w:tcW w:w="1728" w:type="pct"/>
                <w:shd w:val="clear" w:color="auto" w:fill="auto"/>
                <w:vAlign w:val="center"/>
              </w:tcPr>
              <w:p>
                <w:pPr>
                  <w:jc w:val="right"/>
                  <w:rPr>
                    <w:rFonts w:ascii="Times New Roman" w:hAnsi="Times New Roman" w:cs="Times New Roman"/>
                    <w:sz w:val="24"/>
                  </w:rPr>
                </w:pPr>
                <w:r>
                  <w:rPr>
                    <w:rFonts w:ascii="Times New Roman" w:hAnsi="Times New Roman" w:cs="Times New Roman"/>
                  </w:rPr>
                  <w:t>27,668,971.97</w:t>
                </w:r>
              </w:p>
            </w:tc>
          </w:tr>
        </w:tbl>
        <w:p/>
        <w:p>
          <w:pPr>
            <w:pStyle w:val="5"/>
            <w:numPr>
              <w:ilvl w:val="3"/>
              <w:numId w:val="104"/>
            </w:numPr>
          </w:pPr>
          <w:r>
            <w:rPr>
              <w:rFonts w:hint="eastAsia"/>
            </w:rPr>
            <w:t>账龄超过</w:t>
          </w:r>
          <w:r>
            <w:t>1年的重要其他应付款</w:t>
          </w:r>
        </w:p>
        <w:p>
          <w:sdt>
            <w:sdtPr>
              <w:alias w:val="是否适用：账龄超过1年的重要其他应付款[双击切换]"/>
              <w:tag w:val="_GBC_8c91a7ba05384c71ab6bde19039096ff"/>
              <w:id w:val="865725765"/>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账龄超过1年的重要其他应付款"/>
              <w:tag w:val="_GBC_483467483bd848008ea19d2f579d4ad3"/>
              <w:id w:val="8657257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8657257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28"/>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sdt>
              <w:sdtPr>
                <w:rPr>
                  <w:rFonts w:ascii="Times New Roman" w:hAnsi="Times New Roman" w:cs="Times New Roman"/>
                </w:rPr>
                <w:tag w:val="_PLD_9c8ea996049c4def9d7d14d20087b3b1"/>
                <w:id w:val="865725768"/>
                <w:lock w:val="sdtLocked"/>
              </w:sdtPr>
              <w:sdtEndPr>
                <w:rPr>
                  <w:rFonts w:ascii="Times New Roman" w:hAnsi="Times New Roman" w:cs="Times New Roman"/>
                </w:rPr>
              </w:sdtEndPr>
              <w:sdtContent>
                <w:tc>
                  <w:tcPr>
                    <w:tcW w:w="1607" w:type="pct"/>
                    <w:shd w:val="clear" w:color="auto" w:fill="auto"/>
                    <w:vAlign w:val="center"/>
                  </w:tcPr>
                  <w:p>
                    <w:pPr>
                      <w:jc w:val="center"/>
                      <w:rPr>
                        <w:rFonts w:ascii="Times New Roman" w:hAnsi="Times New Roman" w:cs="Times New Roman"/>
                        <w:szCs w:val="21"/>
                      </w:rPr>
                    </w:pPr>
                    <w:bookmarkStart w:id="196" w:name="_Toc215903165"/>
                    <w:r>
                      <w:rPr>
                        <w:rFonts w:ascii="Times New Roman" w:cs="Times New Roman"/>
                        <w:szCs w:val="21"/>
                      </w:rPr>
                      <w:t>项目</w:t>
                    </w:r>
                  </w:p>
                </w:tc>
              </w:sdtContent>
            </w:sdt>
            <w:sdt>
              <w:sdtPr>
                <w:rPr>
                  <w:rFonts w:ascii="Times New Roman" w:hAnsi="Times New Roman" w:cs="Times New Roman"/>
                </w:rPr>
                <w:tag w:val="_PLD_cbf69a41aba142df803e5a24615b92d6"/>
                <w:id w:val="865725769"/>
                <w:lock w:val="sdtLocked"/>
              </w:sdtPr>
              <w:sdtEndPr>
                <w:rPr>
                  <w:rFonts w:ascii="Times New Roman" w:hAnsi="Times New Roman" w:cs="Times New Roman"/>
                </w:rPr>
              </w:sdtEndPr>
              <w:sdtContent>
                <w:tc>
                  <w:tcPr>
                    <w:tcW w:w="1673" w:type="pct"/>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531a09c451564ccb8c2c6f192aca7b55"/>
                <w:id w:val="865725770"/>
                <w:lock w:val="sdtLocked"/>
              </w:sdtPr>
              <w:sdtEndPr>
                <w:rPr>
                  <w:rFonts w:ascii="Times New Roman" w:hAnsi="Times New Roman" w:cs="Times New Roman"/>
                </w:rPr>
              </w:sdtEndPr>
              <w:sdtContent>
                <w:tc>
                  <w:tcPr>
                    <w:tcW w:w="1720" w:type="pct"/>
                    <w:shd w:val="clear" w:color="auto" w:fill="auto"/>
                    <w:vAlign w:val="center"/>
                  </w:tcPr>
                  <w:p>
                    <w:pPr>
                      <w:jc w:val="center"/>
                      <w:rPr>
                        <w:rFonts w:ascii="Times New Roman" w:hAnsi="Times New Roman" w:cs="Times New Roman"/>
                        <w:szCs w:val="21"/>
                      </w:rPr>
                    </w:pPr>
                    <w:r>
                      <w:rPr>
                        <w:rFonts w:ascii="Times New Roman" w:cs="Times New Roman"/>
                        <w:szCs w:val="21"/>
                      </w:rPr>
                      <w:t>未偿还或结转的原因</w:t>
                    </w:r>
                  </w:p>
                </w:tc>
              </w:sdtContent>
            </w:sdt>
          </w:tr>
          <w:sdt>
            <w:sdtPr>
              <w:rPr>
                <w:rFonts w:ascii="Times New Roman" w:hAnsi="Times New Roman" w:cs="Times New Roman"/>
                <w:szCs w:val="21"/>
              </w:rPr>
              <w:alias w:val="重要的账龄超过1年的其他应付款明细"/>
              <w:tag w:val="_TUP_4ef01219c72943778183f374f1feaf27"/>
              <w:id w:val="86572577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rPr>
                        <w:rFonts w:ascii="Times New Roman" w:hAnsi="Times New Roman" w:cs="Times New Roman"/>
                        <w:szCs w:val="21"/>
                      </w:rPr>
                    </w:pPr>
                    <w:r>
                      <w:rPr>
                        <w:rFonts w:ascii="Times New Roman" w:cs="Times New Roman"/>
                      </w:rPr>
                      <w:t>广西亿康科技有限责任公司</w:t>
                    </w:r>
                  </w:p>
                </w:tc>
                <w:tc>
                  <w:tcPr>
                    <w:tcW w:w="1673" w:type="pct"/>
                    <w:shd w:val="clear" w:color="auto" w:fill="auto"/>
                    <w:vAlign w:val="center"/>
                  </w:tcPr>
                  <w:p>
                    <w:pPr>
                      <w:jc w:val="right"/>
                      <w:rPr>
                        <w:rFonts w:ascii="Times New Roman" w:hAnsi="Times New Roman" w:cs="Times New Roman"/>
                        <w:szCs w:val="21"/>
                      </w:rPr>
                    </w:pPr>
                    <w:r>
                      <w:rPr>
                        <w:rFonts w:ascii="Times New Roman" w:hAnsi="Times New Roman" w:cs="Times New Roman"/>
                      </w:rPr>
                      <w:t>4,470,000.00</w:t>
                    </w:r>
                  </w:p>
                </w:tc>
                <w:tc>
                  <w:tcPr>
                    <w:tcW w:w="1720" w:type="pct"/>
                    <w:shd w:val="clear" w:color="auto" w:fill="auto"/>
                    <w:vAlign w:val="center"/>
                  </w:tcPr>
                  <w:p>
                    <w:pPr>
                      <w:jc w:val="right"/>
                      <w:rPr>
                        <w:rFonts w:ascii="Times New Roman" w:hAnsi="Times New Roman" w:cs="Times New Roman"/>
                        <w:szCs w:val="21"/>
                      </w:rPr>
                    </w:pPr>
                    <w:r>
                      <w:rPr>
                        <w:rFonts w:ascii="Times New Roman" w:cs="Times New Roman"/>
                      </w:rPr>
                      <w:t>未到偿还期</w:t>
                    </w:r>
                  </w:p>
                </w:tc>
              </w:tr>
            </w:sdtContent>
          </w:sdt>
          <w:sdt>
            <w:sdtPr>
              <w:rPr>
                <w:rFonts w:ascii="Times New Roman" w:hAnsi="Times New Roman" w:cs="Times New Roman"/>
                <w:szCs w:val="21"/>
              </w:rPr>
              <w:alias w:val="重要的账龄超过1年的其他应付款明细"/>
              <w:tag w:val="_TUP_4ef01219c72943778183f374f1feaf27"/>
              <w:id w:val="86572577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rPr>
                        <w:rFonts w:ascii="Times New Roman" w:hAnsi="Times New Roman" w:cs="Times New Roman"/>
                        <w:szCs w:val="21"/>
                      </w:rPr>
                    </w:pPr>
                    <w:r>
                      <w:rPr>
                        <w:rFonts w:ascii="Times New Roman" w:cs="Times New Roman"/>
                      </w:rPr>
                      <w:t>广西维德商贸有限责任公司</w:t>
                    </w:r>
                  </w:p>
                </w:tc>
                <w:tc>
                  <w:tcPr>
                    <w:tcW w:w="1673" w:type="pct"/>
                    <w:shd w:val="clear" w:color="auto" w:fill="auto"/>
                    <w:vAlign w:val="center"/>
                  </w:tcPr>
                  <w:p>
                    <w:pPr>
                      <w:jc w:val="right"/>
                      <w:rPr>
                        <w:rFonts w:ascii="Times New Roman" w:hAnsi="Times New Roman" w:cs="Times New Roman"/>
                        <w:szCs w:val="21"/>
                      </w:rPr>
                    </w:pPr>
                    <w:r>
                      <w:rPr>
                        <w:rFonts w:ascii="Times New Roman" w:hAnsi="Times New Roman" w:cs="Times New Roman"/>
                      </w:rPr>
                      <w:t>1,000,000.00</w:t>
                    </w:r>
                  </w:p>
                </w:tc>
                <w:tc>
                  <w:tcPr>
                    <w:tcW w:w="1720" w:type="pct"/>
                    <w:shd w:val="clear" w:color="auto" w:fill="auto"/>
                    <w:vAlign w:val="center"/>
                  </w:tcPr>
                  <w:p>
                    <w:pPr>
                      <w:jc w:val="right"/>
                      <w:rPr>
                        <w:rFonts w:ascii="Times New Roman" w:hAnsi="Times New Roman" w:cs="Times New Roman"/>
                        <w:szCs w:val="21"/>
                      </w:rPr>
                    </w:pPr>
                    <w:r>
                      <w:rPr>
                        <w:rFonts w:ascii="Times New Roman" w:cs="Times New Roman"/>
                      </w:rPr>
                      <w:t>未到偿还期</w:t>
                    </w:r>
                  </w:p>
                </w:tc>
              </w:tr>
            </w:sdtContent>
          </w:sdt>
          <w:sdt>
            <w:sdtPr>
              <w:rPr>
                <w:rFonts w:ascii="Times New Roman" w:hAnsi="Times New Roman" w:cs="Times New Roman"/>
                <w:szCs w:val="21"/>
              </w:rPr>
              <w:alias w:val="重要的账龄超过1年的其他应付款明细"/>
              <w:tag w:val="_TUP_4ef01219c72943778183f374f1feaf27"/>
              <w:id w:val="86572577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rPr>
                        <w:rFonts w:ascii="Times New Roman" w:hAnsi="Times New Roman" w:cs="Times New Roman"/>
                        <w:szCs w:val="21"/>
                      </w:rPr>
                    </w:pPr>
                    <w:r>
                      <w:rPr>
                        <w:rFonts w:ascii="Times New Roman" w:cs="Times New Roman"/>
                      </w:rPr>
                      <w:t>广西亿康医药贸易有限责任公司</w:t>
                    </w:r>
                  </w:p>
                </w:tc>
                <w:tc>
                  <w:tcPr>
                    <w:tcW w:w="1673" w:type="pct"/>
                    <w:shd w:val="clear" w:color="auto" w:fill="auto"/>
                    <w:vAlign w:val="center"/>
                  </w:tcPr>
                  <w:p>
                    <w:pPr>
                      <w:jc w:val="right"/>
                      <w:rPr>
                        <w:rFonts w:ascii="Times New Roman" w:hAnsi="Times New Roman" w:cs="Times New Roman"/>
                        <w:szCs w:val="21"/>
                      </w:rPr>
                    </w:pPr>
                    <w:r>
                      <w:rPr>
                        <w:rFonts w:ascii="Times New Roman" w:hAnsi="Times New Roman" w:cs="Times New Roman"/>
                      </w:rPr>
                      <w:t>5,825,688.23</w:t>
                    </w:r>
                  </w:p>
                </w:tc>
                <w:tc>
                  <w:tcPr>
                    <w:tcW w:w="1720" w:type="pct"/>
                    <w:shd w:val="clear" w:color="auto" w:fill="auto"/>
                    <w:vAlign w:val="center"/>
                  </w:tcPr>
                  <w:p>
                    <w:pPr>
                      <w:jc w:val="right"/>
                      <w:rPr>
                        <w:rFonts w:ascii="Times New Roman" w:hAnsi="Times New Roman" w:cs="Times New Roman"/>
                        <w:szCs w:val="21"/>
                      </w:rPr>
                    </w:pPr>
                    <w:r>
                      <w:rPr>
                        <w:rFonts w:ascii="Times New Roman" w:cs="Times New Roman"/>
                      </w:rPr>
                      <w:t>未到偿还期</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73beec5c0ab425990f727363af34378"/>
                <w:id w:val="865725774"/>
                <w:lock w:val="sdtLocked"/>
              </w:sdtPr>
              <w:sdtEndPr>
                <w:rPr>
                  <w:rFonts w:ascii="Times New Roman" w:hAnsi="Times New Roman" w:cs="Times New Roman"/>
                </w:rPr>
              </w:sdtEndPr>
              <w:sdtContent>
                <w:tc>
                  <w:tcPr>
                    <w:tcW w:w="1607" w:type="pct"/>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1673" w:type="pct"/>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11,295,688.23</w:t>
                </w:r>
              </w:p>
            </w:tc>
            <w:tc>
              <w:tcPr>
                <w:tcW w:w="1720" w:type="pct"/>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w:t>
                </w:r>
              </w:p>
            </w:tc>
          </w:tr>
        </w:tbl>
        <w:p/>
        <w:p>
          <w:r>
            <w:rPr>
              <w:rFonts w:hint="eastAsia"/>
            </w:rPr>
            <w:t>其他说明</w:t>
          </w:r>
          <w:bookmarkEnd w:id="196"/>
          <w:r>
            <w:rPr>
              <w:rFonts w:hint="eastAsia"/>
            </w:rPr>
            <w:t>：</w:t>
          </w:r>
        </w:p>
        <w:sdt>
          <w:sdtPr>
            <w:alias w:val="是否适用：其他应付款的其他说明[双击切换]"/>
            <w:tag w:val="_GBC_0aed5652b81d438d96502aeef7e6dde5"/>
            <w:id w:val="865725775"/>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1"/>
        </w:rPr>
        <w:alias w:val="模块:持有待售负债"/>
        <w:tag w:val="_SEC_2c0a95e5ecb74946b3dc14c7a20e5997"/>
        <w:id w:val="865725778"/>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79"/>
            </w:numPr>
            <w:tabs>
              <w:tab w:val="left" w:pos="504"/>
            </w:tabs>
            <w:rPr>
              <w:szCs w:val="21"/>
            </w:rPr>
          </w:pPr>
          <w:r>
            <w:rPr>
              <w:rFonts w:hint="eastAsia" w:ascii="宋体" w:hAnsi="宋体"/>
              <w:szCs w:val="21"/>
            </w:rPr>
            <w:t>持有</w:t>
          </w:r>
          <w:r>
            <w:rPr>
              <w:rFonts w:hint="eastAsia"/>
              <w:szCs w:val="21"/>
            </w:rPr>
            <w:t>待售负债</w:t>
          </w:r>
        </w:p>
        <w:sdt>
          <w:sdtPr>
            <w:alias w:val="是否适用：划分为持有待售的负债[双击切换]"/>
            <w:tag w:val="_GBC_4ea9b2c6d4024d74b39e491f80a07798"/>
            <w:id w:val="865725777"/>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p>
      </w:sdtContent>
    </w:sdt>
    <w:sdt>
      <w:sdtPr>
        <w:rPr>
          <w:rFonts w:hint="eastAsia" w:ascii="宋体" w:hAnsi="宋体" w:cs="宋体"/>
          <w:b w:val="0"/>
          <w:bCs w:val="0"/>
          <w:kern w:val="0"/>
          <w:szCs w:val="21"/>
        </w:rPr>
        <w:alias w:val="模块:1年内到期的非流动负债"/>
        <w:tag w:val="_SEC_7d69c48a60a34405b349ddceb0a418a8"/>
        <w:id w:val="865725793"/>
        <w:lock w:val="sdtLocked"/>
        <w:placeholder>
          <w:docPart w:val="GBC22222222222222222222222222222"/>
        </w:placeholder>
      </w:sdtPr>
      <w:sdtEndPr>
        <w:rPr>
          <w:rFonts w:hint="default" w:ascii="Times New Roman" w:hAnsi="Times New Roman" w:cs="Times New Roman"/>
          <w:b w:val="0"/>
          <w:bCs w:val="0"/>
          <w:kern w:val="0"/>
          <w:szCs w:val="21"/>
        </w:rPr>
      </w:sdtEndPr>
      <w:sdtContent>
        <w:p>
          <w:pPr>
            <w:pStyle w:val="4"/>
            <w:numPr>
              <w:ilvl w:val="0"/>
              <w:numId w:val="79"/>
            </w:numPr>
            <w:tabs>
              <w:tab w:val="left" w:pos="504"/>
            </w:tabs>
            <w:rPr>
              <w:rFonts w:ascii="宋体" w:hAnsi="宋体"/>
              <w:szCs w:val="21"/>
            </w:rPr>
          </w:pPr>
          <w:bookmarkStart w:id="197" w:name="_Hlk24104125"/>
          <w:r>
            <w:rPr>
              <w:rFonts w:hint="eastAsia" w:ascii="宋体" w:hAnsi="宋体"/>
              <w:szCs w:val="21"/>
            </w:rPr>
            <w:t>1年内到期的非流动负债</w:t>
          </w:r>
        </w:p>
        <w:sdt>
          <w:sdtPr>
            <w:alias w:val="是否适用：1年内到期的非流动负债[双击切换]"/>
            <w:tag w:val="_GBC_bf40c7464345405f8470856436e2c6a3"/>
            <w:id w:val="86572577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1年内到期的非流动负债情况"/>
              <w:tag w:val="_GBC_fc5bef9f043c4967ab706b443fc31d3c"/>
              <w:id w:val="8657257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8657257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37"/>
            <w:gridCol w:w="3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20bf58d6f134f4caedbea03f8659c14"/>
                <w:id w:val="865725782"/>
                <w:lock w:val="sdtLocked"/>
              </w:sdtPr>
              <w:sdtEndPr>
                <w:rPr>
                  <w:rFonts w:ascii="Times New Roman" w:hAnsi="Times New Roman" w:cs="Times New Roman"/>
                </w:rPr>
              </w:sdtEndPr>
              <w:sdtContent>
                <w:tc>
                  <w:tcPr>
                    <w:tcW w:w="1607" w:type="pct"/>
                    <w:shd w:val="clear" w:color="auto" w:fill="auto"/>
                    <w:vAlign w:val="center"/>
                  </w:tcPr>
                  <w:p>
                    <w:pPr>
                      <w:jc w:val="both"/>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dad829d6a45646668218857399318d20"/>
                <w:id w:val="865725783"/>
                <w:lock w:val="sdtLocked"/>
              </w:sdtPr>
              <w:sdtEndPr>
                <w:rPr>
                  <w:rFonts w:ascii="Times New Roman" w:hAnsi="Times New Roman" w:cs="Times New Roman"/>
                </w:rPr>
              </w:sdtEndPr>
              <w:sdtContent>
                <w:tc>
                  <w:tcPr>
                    <w:tcW w:w="1678" w:type="pct"/>
                    <w:shd w:val="clear" w:color="auto" w:fill="auto"/>
                    <w:vAlign w:val="center"/>
                  </w:tcPr>
                  <w:p>
                    <w:pPr>
                      <w:jc w:val="right"/>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9d1d036ddf0544b2b2ddd1dc5633a114"/>
                <w:id w:val="865725784"/>
                <w:lock w:val="sdtLocked"/>
              </w:sdtPr>
              <w:sdtEndPr>
                <w:rPr>
                  <w:rFonts w:ascii="Times New Roman" w:hAnsi="Times New Roman" w:cs="Times New Roman"/>
                </w:rPr>
              </w:sdtEndPr>
              <w:sdtContent>
                <w:tc>
                  <w:tcPr>
                    <w:tcW w:w="1715" w:type="pct"/>
                    <w:shd w:val="clear" w:color="auto" w:fill="auto"/>
                    <w:vAlign w:val="center"/>
                  </w:tcPr>
                  <w:p>
                    <w:pPr>
                      <w:jc w:val="right"/>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1ecc50bff01445b96122b3c77584dd6"/>
                <w:id w:val="865725785"/>
                <w:lock w:val="sdtLocked"/>
              </w:sdtPr>
              <w:sdtEndPr>
                <w:rPr>
                  <w:rFonts w:ascii="Times New Roman" w:hAnsi="Times New Roman" w:cs="Times New Roman"/>
                </w:rPr>
              </w:sdtEndPr>
              <w:sdtContent>
                <w:tc>
                  <w:tcPr>
                    <w:tcW w:w="1607" w:type="pct"/>
                    <w:shd w:val="clear" w:color="auto" w:fill="auto"/>
                    <w:vAlign w:val="center"/>
                  </w:tcPr>
                  <w:p>
                    <w:pPr>
                      <w:jc w:val="both"/>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年内到期的长期借款</w:t>
                    </w:r>
                  </w:p>
                </w:tc>
              </w:sdtContent>
            </w:sdt>
            <w:tc>
              <w:tcPr>
                <w:tcW w:w="1678" w:type="pct"/>
                <w:shd w:val="clear" w:color="auto" w:fill="auto"/>
                <w:vAlign w:val="center"/>
              </w:tcPr>
              <w:p>
                <w:pPr>
                  <w:jc w:val="right"/>
                  <w:rPr>
                    <w:rFonts w:ascii="Times New Roman" w:hAnsi="Times New Roman" w:cs="Times New Roman"/>
                    <w:szCs w:val="21"/>
                  </w:rPr>
                </w:pPr>
              </w:p>
            </w:tc>
            <w:tc>
              <w:tcPr>
                <w:tcW w:w="1715"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ca447706246e46a1848c0ae9ccecfc20"/>
                <w:id w:val="865725786"/>
                <w:lock w:val="sdtLocked"/>
              </w:sdtPr>
              <w:sdtEndPr>
                <w:rPr>
                  <w:rFonts w:ascii="Times New Roman" w:hAnsi="Times New Roman" w:cs="Times New Roman"/>
                </w:rPr>
              </w:sdtEndPr>
              <w:sdtContent>
                <w:tc>
                  <w:tcPr>
                    <w:tcW w:w="1607" w:type="pct"/>
                    <w:shd w:val="clear" w:color="auto" w:fill="auto"/>
                    <w:vAlign w:val="center"/>
                  </w:tcPr>
                  <w:p>
                    <w:pPr>
                      <w:jc w:val="both"/>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年内到期的应付债券</w:t>
                    </w:r>
                  </w:p>
                </w:tc>
              </w:sdtContent>
            </w:sdt>
            <w:tc>
              <w:tcPr>
                <w:tcW w:w="1678" w:type="pct"/>
                <w:shd w:val="clear" w:color="auto" w:fill="auto"/>
                <w:vAlign w:val="center"/>
              </w:tcPr>
              <w:p>
                <w:pPr>
                  <w:jc w:val="right"/>
                  <w:rPr>
                    <w:rFonts w:ascii="Times New Roman" w:hAnsi="Times New Roman" w:cs="Times New Roman"/>
                    <w:szCs w:val="21"/>
                  </w:rPr>
                </w:pPr>
              </w:p>
            </w:tc>
            <w:tc>
              <w:tcPr>
                <w:tcW w:w="1715"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318273b209d4f209bc82e93099fb446"/>
                <w:id w:val="865725787"/>
                <w:lock w:val="sdtLocked"/>
              </w:sdtPr>
              <w:sdtEndPr>
                <w:rPr>
                  <w:rFonts w:ascii="Times New Roman" w:hAnsi="Times New Roman" w:cs="Times New Roman"/>
                </w:rPr>
              </w:sdtEndPr>
              <w:sdtContent>
                <w:tc>
                  <w:tcPr>
                    <w:tcW w:w="1607" w:type="pct"/>
                    <w:shd w:val="clear" w:color="auto" w:fill="auto"/>
                    <w:vAlign w:val="center"/>
                  </w:tcPr>
                  <w:p>
                    <w:pPr>
                      <w:jc w:val="both"/>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年内到期的长期应付款</w:t>
                    </w:r>
                  </w:p>
                </w:tc>
              </w:sdtContent>
            </w:sdt>
            <w:tc>
              <w:tcPr>
                <w:tcW w:w="1678" w:type="pct"/>
                <w:shd w:val="clear" w:color="auto" w:fill="auto"/>
                <w:vAlign w:val="center"/>
              </w:tcPr>
              <w:p>
                <w:pPr>
                  <w:jc w:val="right"/>
                  <w:rPr>
                    <w:rFonts w:ascii="Times New Roman" w:hAnsi="Times New Roman" w:cs="Times New Roman"/>
                    <w:szCs w:val="21"/>
                  </w:rPr>
                </w:pPr>
              </w:p>
            </w:tc>
            <w:tc>
              <w:tcPr>
                <w:tcW w:w="1715"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vAlign w:val="center"/>
              </w:tcPr>
              <w:sdt>
                <w:sdtPr>
                  <w:rPr>
                    <w:rFonts w:ascii="Times New Roman" w:hAnsi="Times New Roman" w:cs="Times New Roman"/>
                  </w:rPr>
                  <w:tag w:val="_PLD_2910478c4b5043d09cdfb21fefc96ebe"/>
                  <w:id w:val="865725788"/>
                  <w:lock w:val="sdtLocked"/>
                </w:sdtPr>
                <w:sdtEndPr>
                  <w:rPr>
                    <w:rFonts w:ascii="Times New Roman" w:hAnsi="Times New Roman" w:cs="Times New Roman"/>
                  </w:rPr>
                </w:sdtEndPr>
                <w:sdtContent>
                  <w:p>
                    <w:pPr>
                      <w:jc w:val="both"/>
                      <w:rPr>
                        <w:rFonts w:ascii="Times New Roman" w:hAnsi="Times New Roman" w:cs="Times New Roman"/>
                      </w:rPr>
                    </w:pPr>
                    <w:r>
                      <w:rPr>
                        <w:rFonts w:ascii="Times New Roman" w:hAnsi="Times New Roman" w:cs="Times New Roman"/>
                      </w:rPr>
                      <w:t>1</w:t>
                    </w:r>
                    <w:r>
                      <w:rPr>
                        <w:rFonts w:ascii="Times New Roman" w:cs="Times New Roman"/>
                      </w:rPr>
                      <w:t>年内到期的租赁负债</w:t>
                    </w:r>
                  </w:p>
                </w:sdtContent>
              </w:sdt>
            </w:tc>
            <w:tc>
              <w:tcPr>
                <w:tcW w:w="1678" w:type="pct"/>
                <w:shd w:val="clear" w:color="auto" w:fill="auto"/>
                <w:vAlign w:val="center"/>
              </w:tcPr>
              <w:p>
                <w:pPr>
                  <w:jc w:val="right"/>
                  <w:rPr>
                    <w:rFonts w:ascii="Times New Roman" w:hAnsi="Times New Roman" w:cs="Times New Roman"/>
                    <w:sz w:val="24"/>
                  </w:rPr>
                </w:pPr>
                <w:r>
                  <w:rPr>
                    <w:rFonts w:ascii="Times New Roman" w:hAnsi="Times New Roman" w:cs="Times New Roman"/>
                  </w:rPr>
                  <w:t>1,118,011.71</w:t>
                </w:r>
              </w:p>
            </w:tc>
            <w:tc>
              <w:tcPr>
                <w:tcW w:w="1715" w:type="pct"/>
                <w:shd w:val="clear" w:color="auto" w:fill="auto"/>
                <w:vAlign w:val="center"/>
              </w:tcPr>
              <w:p>
                <w:pPr>
                  <w:jc w:val="right"/>
                  <w:rPr>
                    <w:rFonts w:ascii="Times New Roman" w:hAnsi="Times New Roman" w:cs="Times New Roman"/>
                    <w:sz w:val="24"/>
                  </w:rPr>
                </w:pPr>
                <w:r>
                  <w:rPr>
                    <w:rFonts w:ascii="Times New Roman" w:hAnsi="Times New Roman" w:cs="Times New Roman"/>
                  </w:rPr>
                  <w:t>809,875.55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c3565b4df814772b0dc34a4cbdf3ad4"/>
                <w:id w:val="865725791"/>
                <w:lock w:val="sdtLocked"/>
              </w:sdtPr>
              <w:sdtEndPr>
                <w:rPr>
                  <w:rFonts w:ascii="Times New Roman" w:hAnsi="Times New Roman" w:cs="Times New Roman"/>
                </w:rPr>
              </w:sdtEndPr>
              <w:sdtContent>
                <w:tc>
                  <w:tcPr>
                    <w:tcW w:w="1607" w:type="pct"/>
                    <w:shd w:val="clear" w:color="auto" w:fill="auto"/>
                    <w:vAlign w:val="center"/>
                  </w:tcPr>
                  <w:p>
                    <w:pPr>
                      <w:jc w:val="both"/>
                      <w:rPr>
                        <w:rFonts w:ascii="Times New Roman" w:hAnsi="Times New Roman" w:cs="Times New Roman"/>
                        <w:szCs w:val="21"/>
                      </w:rPr>
                    </w:pPr>
                    <w:r>
                      <w:rPr>
                        <w:rFonts w:ascii="Times New Roman" w:cs="Times New Roman"/>
                        <w:szCs w:val="21"/>
                      </w:rPr>
                      <w:t>合计</w:t>
                    </w:r>
                  </w:p>
                </w:tc>
              </w:sdtContent>
            </w:sdt>
            <w:tc>
              <w:tcPr>
                <w:tcW w:w="1678" w:type="pct"/>
                <w:shd w:val="clear" w:color="auto" w:fill="auto"/>
                <w:vAlign w:val="center"/>
              </w:tcPr>
              <w:p>
                <w:pPr>
                  <w:jc w:val="right"/>
                  <w:rPr>
                    <w:rFonts w:ascii="Times New Roman" w:hAnsi="Times New Roman" w:cs="Times New Roman"/>
                    <w:sz w:val="24"/>
                  </w:rPr>
                </w:pPr>
                <w:r>
                  <w:rPr>
                    <w:rFonts w:ascii="Times New Roman" w:hAnsi="Times New Roman" w:cs="Times New Roman"/>
                  </w:rPr>
                  <w:t>1,118,011.71</w:t>
                </w:r>
              </w:p>
            </w:tc>
            <w:tc>
              <w:tcPr>
                <w:tcW w:w="1715" w:type="pct"/>
                <w:shd w:val="clear" w:color="auto" w:fill="auto"/>
                <w:vAlign w:val="center"/>
              </w:tcPr>
              <w:p>
                <w:pPr>
                  <w:jc w:val="right"/>
                  <w:rPr>
                    <w:rFonts w:ascii="Times New Roman" w:hAnsi="Times New Roman" w:cs="Times New Roman"/>
                    <w:sz w:val="24"/>
                  </w:rPr>
                </w:pPr>
                <w:r>
                  <w:rPr>
                    <w:rFonts w:ascii="Times New Roman" w:hAnsi="Times New Roman" w:cs="Times New Roman"/>
                  </w:rPr>
                  <w:t>809,875.55</w:t>
                </w:r>
              </w:p>
            </w:tc>
          </w:tr>
        </w:tbl>
        <w:p>
          <w:pPr>
            <w:spacing w:before="60" w:after="60"/>
            <w:rPr>
              <w:rFonts w:ascii="Times New Roman" w:hAnsi="Times New Roman" w:cs="Times New Roman"/>
              <w:szCs w:val="21"/>
            </w:rPr>
          </w:pPr>
          <w:r>
            <w:rPr>
              <w:rFonts w:ascii="Times New Roman" w:cs="Times New Roman"/>
              <w:szCs w:val="21"/>
            </w:rPr>
            <w:t>其他说明：</w:t>
          </w:r>
        </w:p>
        <w:sdt>
          <w:sdtPr>
            <w:rPr>
              <w:rFonts w:ascii="Times New Roman" w:hAnsi="Times New Roman" w:cs="Times New Roman"/>
              <w:szCs w:val="21"/>
            </w:rPr>
            <w:alias w:val="1年内到期的非流动负债说明"/>
            <w:tag w:val="_GBC_8d20cbb6880f4895b7051ae6dee973ca"/>
            <w:id w:val="865725792"/>
            <w:lock w:val="sdtLocked"/>
            <w:placeholder>
              <w:docPart w:val="GBC22222222222222222222222222222"/>
            </w:placeholder>
          </w:sdtPr>
          <w:sdtEndPr>
            <w:rPr>
              <w:rFonts w:ascii="Times New Roman" w:hAnsi="Times New Roman" w:cs="Times New Roman"/>
              <w:szCs w:val="21"/>
            </w:rPr>
          </w:sdtEndPr>
          <w:sdtContent>
            <w:p>
              <w:pPr>
                <w:rPr>
                  <w:rFonts w:ascii="Times New Roman" w:hAnsi="Times New Roman" w:cs="Times New Roman"/>
                  <w:szCs w:val="21"/>
                </w:rPr>
              </w:pPr>
              <w:r>
                <w:rPr>
                  <w:rFonts w:ascii="Times New Roman" w:cs="Times New Roman"/>
                  <w:color w:val="000000"/>
                  <w:szCs w:val="21"/>
                </w:rPr>
                <w:t>期初一年内到期的非流动负债余额为</w:t>
              </w:r>
              <w:r>
                <w:rPr>
                  <w:rFonts w:ascii="Times New Roman" w:hAnsi="Times New Roman" w:cs="Times New Roman"/>
                  <w:color w:val="000000"/>
                  <w:szCs w:val="21"/>
                </w:rPr>
                <w:t>809,875.55</w:t>
              </w:r>
              <w:r>
                <w:rPr>
                  <w:rFonts w:ascii="Times New Roman" w:cs="Times New Roman"/>
                  <w:color w:val="000000"/>
                  <w:szCs w:val="21"/>
                </w:rPr>
                <w:t>元，上年期末一年内到期的非流动负债余额为</w:t>
              </w:r>
              <w:r>
                <w:rPr>
                  <w:rFonts w:ascii="Times New Roman" w:hAnsi="Times New Roman" w:cs="Times New Roman"/>
                  <w:color w:val="000000"/>
                  <w:szCs w:val="21"/>
                </w:rPr>
                <w:t>0</w:t>
              </w:r>
              <w:r>
                <w:rPr>
                  <w:rFonts w:ascii="Times New Roman" w:cs="Times New Roman"/>
                  <w:color w:val="000000"/>
                  <w:szCs w:val="21"/>
                </w:rPr>
                <w:t>元，差异</w:t>
              </w:r>
              <w:r>
                <w:rPr>
                  <w:rFonts w:ascii="Times New Roman" w:hAnsi="Times New Roman" w:cs="Times New Roman"/>
                  <w:color w:val="000000"/>
                  <w:szCs w:val="21"/>
                </w:rPr>
                <w:t>809,875.55</w:t>
              </w:r>
              <w:r>
                <w:rPr>
                  <w:rFonts w:ascii="Times New Roman" w:cs="Times New Roman"/>
                  <w:color w:val="000000"/>
                  <w:szCs w:val="21"/>
                </w:rPr>
                <w:t>系首次执行新租赁准则调整期初财务报表所致。</w:t>
              </w:r>
            </w:p>
          </w:sdtContent>
        </w:sdt>
      </w:sdtContent>
    </w:sdt>
    <w:bookmarkEnd w:id="197"/>
    <w:p>
      <w:pPr>
        <w:pStyle w:val="4"/>
        <w:numPr>
          <w:ilvl w:val="0"/>
          <w:numId w:val="79"/>
        </w:numPr>
        <w:tabs>
          <w:tab w:val="left" w:pos="504"/>
        </w:tabs>
        <w:rPr>
          <w:rFonts w:ascii="宋体" w:hAnsi="宋体"/>
          <w:szCs w:val="21"/>
        </w:rPr>
      </w:pPr>
      <w:r>
        <w:rPr>
          <w:rFonts w:hint="eastAsia" w:ascii="宋体" w:hAnsi="宋体"/>
          <w:szCs w:val="21"/>
        </w:rPr>
        <w:t>其他流动负债</w:t>
      </w:r>
    </w:p>
    <w:sdt>
      <w:sdtPr>
        <w:rPr>
          <w:rFonts w:hint="eastAsia"/>
          <w:szCs w:val="21"/>
        </w:rPr>
        <w:alias w:val="模块:其他流动负债"/>
        <w:tag w:val="_SEC_028ee94ad65744bca4ead55dc3233ca9"/>
        <w:id w:val="865725806"/>
        <w:lock w:val="sdtLocked"/>
        <w:placeholder>
          <w:docPart w:val="GBC22222222222222222222222222222"/>
        </w:placeholder>
      </w:sdtPr>
      <w:sdtEndPr>
        <w:rPr>
          <w:rFonts w:hint="default" w:ascii="Times New Roman" w:hAnsi="Times New Roman" w:cs="Times New Roman"/>
          <w:color w:val="000000" w:themeColor="text1"/>
          <w:szCs w:val="21"/>
        </w:rPr>
      </w:sdtEndPr>
      <w:sdtContent>
        <w:p>
          <w:pPr>
            <w:rPr>
              <w:szCs w:val="21"/>
            </w:rPr>
          </w:pPr>
          <w:bookmarkStart w:id="198" w:name="_Hlk533670262"/>
          <w:r>
            <w:rPr>
              <w:rFonts w:hint="eastAsia"/>
              <w:szCs w:val="21"/>
            </w:rPr>
            <w:t>其他流动负债情况</w:t>
          </w:r>
        </w:p>
        <w:sdt>
          <w:sdtPr>
            <w:rPr>
              <w:rFonts w:hint="eastAsia"/>
              <w:szCs w:val="21"/>
            </w:rPr>
            <w:alias w:val="是否适用：其他流动负债情况 [双击切换]"/>
            <w:tag w:val="_GBC_a84ebf5eebf04d4ab9f07c3da85115c2"/>
            <w:id w:val="865725794"/>
            <w:lock w:val="sdtLocked"/>
          </w:sdtPr>
          <w:sdtEndPr>
            <w:rPr>
              <w:rFonts w:hint="eastAsia"/>
              <w:szCs w:val="21"/>
            </w:rPr>
          </w:sdtEndPr>
          <w:sdtContent>
            <w:p>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p>
          <w:pPr>
            <w:jc w:val="right"/>
            <w:rPr>
              <w:szCs w:val="21"/>
            </w:rPr>
          </w:pPr>
          <w:r>
            <w:rPr>
              <w:rFonts w:hint="eastAsia"/>
              <w:szCs w:val="21"/>
            </w:rPr>
            <w:t>单位：</w:t>
          </w:r>
          <w:sdt>
            <w:sdtPr>
              <w:rPr>
                <w:rFonts w:hint="eastAsia"/>
                <w:szCs w:val="21"/>
              </w:rPr>
              <w:alias w:val="单位：财务附注：其他流动负债"/>
              <w:tag w:val="_GBC_1a3ea80bd2b9426ead4537785c82d01e"/>
              <w:id w:val="865725795"/>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8657257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118"/>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imes New Roman" w:hAnsi="Times New Roman" w:cs="Times New Roman"/>
                </w:rPr>
                <w:tag w:val="_PLD_96b7e8e5e688449c87d23adc1b63439f"/>
                <w:id w:val="865725797"/>
                <w:lock w:val="sdtLocked"/>
              </w:sdtPr>
              <w:sdtEndPr>
                <w:rPr>
                  <w:rFonts w:ascii="Times New Roman" w:hAnsi="Times New Roman" w:cs="Times New Roman"/>
                </w:rPr>
              </w:sdtEndPr>
              <w:sdtContent>
                <w:tc>
                  <w:tcPr>
                    <w:tcW w:w="1548" w:type="pct"/>
                    <w:tcBorders>
                      <w:top w:val="single" w:color="auto" w:sz="4" w:space="0"/>
                      <w:left w:val="single" w:color="auto" w:sz="4" w:space="0"/>
                      <w:bottom w:val="single" w:color="auto" w:sz="4" w:space="0"/>
                      <w:right w:val="single" w:color="auto" w:sz="4" w:space="0"/>
                    </w:tcBorders>
                    <w:vAlign w:val="bottom"/>
                  </w:tcPr>
                  <w:p>
                    <w:pPr>
                      <w:tabs>
                        <w:tab w:val="right" w:pos="3690"/>
                        <w:tab w:val="right" w:pos="5130"/>
                        <w:tab w:val="right" w:pos="6030"/>
                        <w:tab w:val="right" w:pos="7650"/>
                        <w:tab w:val="right" w:pos="9270"/>
                      </w:tabs>
                      <w:snapToGrid w:val="0"/>
                      <w:ind w:left="-109" w:leftChars="-52"/>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741229e75da644bb809ec002cfe06423"/>
                <w:id w:val="865725798"/>
                <w:lock w:val="sdtLocked"/>
              </w:sdtPr>
              <w:sdtEndPr>
                <w:rPr>
                  <w:rFonts w:ascii="Times New Roman" w:hAnsi="Times New Roman" w:cs="Times New Roman"/>
                </w:rPr>
              </w:sdtEndPr>
              <w:sdtContent>
                <w:tc>
                  <w:tcPr>
                    <w:tcW w:w="1723" w:type="pct"/>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426d25a331b04af9b2ec53d6a7e168d4"/>
                <w:id w:val="865725799"/>
                <w:lock w:val="sdtLocked"/>
              </w:sdtPr>
              <w:sdtEndPr>
                <w:rPr>
                  <w:rFonts w:ascii="Times New Roman" w:hAnsi="Times New Roman" w:cs="Times New Roman"/>
                </w:rPr>
              </w:sdtEndPr>
              <w:sdtContent>
                <w:tc>
                  <w:tcPr>
                    <w:tcW w:w="1729" w:type="pct"/>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imes New Roman" w:hAnsi="Times New Roman" w:cs="Times New Roman"/>
                </w:rPr>
                <w:tag w:val="_PLD_6acc6f161628488bb87cfc7d64aaad61"/>
                <w:id w:val="865725800"/>
                <w:lock w:val="sdtLocked"/>
              </w:sdtPr>
              <w:sdtEndPr>
                <w:rPr>
                  <w:rFonts w:ascii="Times New Roman" w:hAnsi="Times New Roman" w:cs="Times New Roman"/>
                </w:rPr>
              </w:sdtEndPr>
              <w:sdtContent>
                <w:tc>
                  <w:tcPr>
                    <w:tcW w:w="1548"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000000" w:themeColor="text1"/>
                        <w:szCs w:val="21"/>
                      </w:rPr>
                    </w:pPr>
                    <w:r>
                      <w:rPr>
                        <w:rFonts w:ascii="Times New Roman" w:cs="Times New Roman"/>
                        <w:szCs w:val="21"/>
                      </w:rPr>
                      <w:t>短期应付债券</w:t>
                    </w:r>
                  </w:p>
                </w:tc>
              </w:sdtContent>
            </w:sdt>
            <w:tc>
              <w:tcPr>
                <w:tcW w:w="172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72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imes New Roman" w:hAnsi="Times New Roman" w:cs="Times New Roman"/>
                </w:rPr>
                <w:tag w:val="_PLD_0dd6f418c5b140db847358155d9aa351"/>
                <w:id w:val="865725801"/>
                <w:lock w:val="sdtLocked"/>
              </w:sdtPr>
              <w:sdtEndPr>
                <w:rPr>
                  <w:rFonts w:ascii="Times New Roman" w:hAnsi="Times New Roman" w:cs="Times New Roman"/>
                </w:rPr>
              </w:sdtEndPr>
              <w:sdtContent>
                <w:tc>
                  <w:tcPr>
                    <w:tcW w:w="1548"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cs="Times New Roman"/>
                      </w:rPr>
                      <w:t>应付退货款</w:t>
                    </w:r>
                  </w:p>
                </w:tc>
              </w:sdtContent>
            </w:sdt>
            <w:tc>
              <w:tcPr>
                <w:tcW w:w="172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72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r>
          <w:sdt>
            <w:sdtPr>
              <w:rPr>
                <w:rFonts w:ascii="Times New Roman" w:hAnsi="Times New Roman" w:cs="Times New Roman"/>
                <w:szCs w:val="21"/>
              </w:rPr>
              <w:alias w:val="其他流动负债明细"/>
              <w:tag w:val="_TUP_8ef71b98d0004c0995e58d8ec410e844"/>
              <w:id w:val="86572580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预提各项费用</w:t>
                    </w:r>
                  </w:p>
                </w:tc>
                <w:tc>
                  <w:tcPr>
                    <w:tcW w:w="172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szCs w:val="21"/>
                      </w:rPr>
                      <w:t>15,284,292.19</w:t>
                    </w:r>
                  </w:p>
                </w:tc>
                <w:tc>
                  <w:tcPr>
                    <w:tcW w:w="172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szCs w:val="21"/>
                      </w:rPr>
                      <w:t>17,003,903.43</w:t>
                    </w:r>
                  </w:p>
                </w:tc>
              </w:tr>
            </w:sdtContent>
          </w:sdt>
          <w:sdt>
            <w:sdtPr>
              <w:rPr>
                <w:rFonts w:ascii="Times New Roman" w:hAnsi="Times New Roman" w:cs="Times New Roman"/>
                <w:szCs w:val="21"/>
              </w:rPr>
              <w:alias w:val="其他流动负债明细"/>
              <w:tag w:val="_TUP_8ef71b98d0004c0995e58d8ec410e844"/>
              <w:id w:val="86572580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待转销项税</w:t>
                    </w:r>
                  </w:p>
                </w:tc>
                <w:tc>
                  <w:tcPr>
                    <w:tcW w:w="172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szCs w:val="21"/>
                      </w:rPr>
                      <w:t>4,631,111.70</w:t>
                    </w:r>
                  </w:p>
                </w:tc>
                <w:tc>
                  <w:tcPr>
                    <w:tcW w:w="172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szCs w:val="21"/>
                      </w:rPr>
                      <w:t>7,648,976.32</w:t>
                    </w:r>
                  </w:p>
                </w:tc>
              </w:tr>
            </w:sdtContent>
          </w:sdt>
          <w:sdt>
            <w:sdtPr>
              <w:rPr>
                <w:rFonts w:ascii="Times New Roman" w:hAnsi="Times New Roman" w:cs="Times New Roman"/>
                <w:szCs w:val="21"/>
              </w:rPr>
              <w:alias w:val="其他流动负债明细"/>
              <w:tag w:val="_TUP_8ef71b98d0004c0995e58d8ec410e844"/>
              <w:id w:val="86572580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其他</w:t>
                    </w:r>
                  </w:p>
                </w:tc>
                <w:tc>
                  <w:tcPr>
                    <w:tcW w:w="172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szCs w:val="21"/>
                      </w:rPr>
                      <w:t>10,312.50</w:t>
                    </w:r>
                  </w:p>
                </w:tc>
                <w:tc>
                  <w:tcPr>
                    <w:tcW w:w="172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szCs w:val="21"/>
                      </w:rPr>
                      <w:t>203,040.00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imes New Roman" w:hAnsi="Times New Roman" w:cs="Times New Roman"/>
                </w:rPr>
                <w:tag w:val="_PLD_757f197500f4471f8e3639c1d01c107a"/>
                <w:id w:val="865725805"/>
                <w:lock w:val="sdtLocked"/>
              </w:sdtPr>
              <w:sdtEndPr>
                <w:rPr>
                  <w:rFonts w:ascii="Times New Roman" w:hAnsi="Times New Roman" w:cs="Times New Roman"/>
                </w:rPr>
              </w:sdtEndPr>
              <w:sdtContent>
                <w:tc>
                  <w:tcPr>
                    <w:tcW w:w="1548"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ascii="Times New Roman" w:cs="Times New Roman"/>
                        <w:szCs w:val="21"/>
                      </w:rPr>
                      <w:t>合计</w:t>
                    </w:r>
                  </w:p>
                </w:tc>
              </w:sdtContent>
            </w:sdt>
            <w:tc>
              <w:tcPr>
                <w:tcW w:w="172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19,9</w:t>
                </w:r>
                <w:r>
                  <w:rPr>
                    <w:rFonts w:hint="eastAsia" w:ascii="Times New Roman" w:hAnsi="Times New Roman" w:cs="Times New Roman"/>
                    <w:szCs w:val="21"/>
                  </w:rPr>
                  <w:t>25</w:t>
                </w:r>
                <w:r>
                  <w:rPr>
                    <w:rFonts w:ascii="Times New Roman" w:hAnsi="Times New Roman" w:cs="Times New Roman"/>
                    <w:szCs w:val="21"/>
                  </w:rPr>
                  <w:t>,</w:t>
                </w:r>
                <w:r>
                  <w:rPr>
                    <w:rFonts w:hint="eastAsia" w:ascii="Times New Roman" w:hAnsi="Times New Roman" w:cs="Times New Roman"/>
                    <w:szCs w:val="21"/>
                  </w:rPr>
                  <w:t>716</w:t>
                </w:r>
                <w:r>
                  <w:rPr>
                    <w:rFonts w:ascii="Times New Roman" w:hAnsi="Times New Roman" w:cs="Times New Roman"/>
                    <w:szCs w:val="21"/>
                  </w:rPr>
                  <w:t>.</w:t>
                </w:r>
                <w:r>
                  <w:rPr>
                    <w:rFonts w:hint="eastAsia" w:ascii="Times New Roman" w:hAnsi="Times New Roman" w:cs="Times New Roman"/>
                    <w:szCs w:val="21"/>
                  </w:rPr>
                  <w:t>39</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24,855,919.75</w:t>
                </w:r>
              </w:p>
            </w:tc>
          </w:tr>
        </w:tbl>
        <w:p>
          <w:pPr>
            <w:rPr>
              <w:szCs w:val="21"/>
            </w:rPr>
          </w:pPr>
        </w:p>
        <w:p>
          <w:pPr>
            <w:rPr>
              <w:rFonts w:ascii="Times New Roman" w:hAnsi="Times New Roman" w:cs="Times New Roman"/>
              <w:szCs w:val="21"/>
            </w:rPr>
          </w:pPr>
          <w:r>
            <w:t>注</w:t>
          </w:r>
          <w:r>
            <w:rPr>
              <w:rFonts w:ascii="Times New Roman" w:cs="Times New Roman"/>
            </w:rPr>
            <w:t>：（</w:t>
          </w:r>
          <w:r>
            <w:rPr>
              <w:rFonts w:ascii="Times New Roman" w:hAnsi="Times New Roman" w:cs="Times New Roman"/>
            </w:rPr>
            <w:t>1</w:t>
          </w:r>
          <w:r>
            <w:rPr>
              <w:rFonts w:ascii="Times New Roman" w:cs="Times New Roman"/>
            </w:rPr>
            <w:t>）期初其他流动负债余额为</w:t>
          </w:r>
          <w:r>
            <w:rPr>
              <w:rFonts w:ascii="Times New Roman" w:hAnsi="Times New Roman" w:cs="Times New Roman"/>
            </w:rPr>
            <w:t>24,855,919.75</w:t>
          </w:r>
          <w:r>
            <w:rPr>
              <w:rFonts w:ascii="Times New Roman" w:cs="Times New Roman"/>
            </w:rPr>
            <w:t>元，上年期末其他流动负债余额为</w:t>
          </w:r>
          <w:r>
            <w:rPr>
              <w:rFonts w:ascii="Times New Roman" w:hAnsi="Times New Roman" w:cs="Times New Roman"/>
            </w:rPr>
            <w:t>24,652,879.75</w:t>
          </w:r>
          <w:r>
            <w:rPr>
              <w:rFonts w:ascii="Times New Roman" w:cs="Times New Roman"/>
            </w:rPr>
            <w:t>元，差异</w:t>
          </w:r>
          <w:r>
            <w:rPr>
              <w:rFonts w:ascii="Times New Roman" w:hAnsi="Times New Roman" w:cs="Times New Roman"/>
            </w:rPr>
            <w:t>203,040.00</w:t>
          </w:r>
          <w:r>
            <w:rPr>
              <w:rFonts w:ascii="Times New Roman" w:cs="Times New Roman"/>
            </w:rPr>
            <w:t>元系首次执行新租赁准则调整期初财务报表所致；（</w:t>
          </w:r>
          <w:r>
            <w:rPr>
              <w:rFonts w:ascii="Times New Roman" w:hAnsi="Times New Roman" w:cs="Times New Roman"/>
            </w:rPr>
            <w:t>2</w:t>
          </w:r>
          <w:r>
            <w:rPr>
              <w:rFonts w:ascii="Times New Roman" w:cs="Times New Roman"/>
            </w:rPr>
            <w:t>）预提各项费用主要为预提终端费用等。</w:t>
          </w:r>
        </w:p>
      </w:sdtContent>
    </w:sdt>
    <w:bookmarkEnd w:id="198"/>
    <w:sdt>
      <w:sdtPr>
        <w:rPr>
          <w:rFonts w:hint="eastAsia" w:asciiTheme="minorHAnsi" w:hAnsiTheme="minorHAnsi" w:eastAsiaTheme="minorEastAsia"/>
          <w:bCs/>
          <w:szCs w:val="22"/>
        </w:rPr>
        <w:alias w:val="模块:短期应付债券的增减变动"/>
        <w:tag w:val="_SEC_f5491fa163be4d50a9964567324132ed"/>
        <w:id w:val="865725808"/>
        <w:lock w:val="sdtLocked"/>
        <w:placeholder>
          <w:docPart w:val="GBC22222222222222222222222222222"/>
        </w:placeholder>
      </w:sdtPr>
      <w:sdtEndPr>
        <w:rPr>
          <w:rFonts w:hint="default" w:ascii="宋体" w:hAnsi="宋体" w:eastAsia="宋体" w:cstheme="minorBidi"/>
          <w:bCs w:val="0"/>
          <w:color w:val="000000" w:themeColor="text1"/>
          <w:kern w:val="2"/>
          <w:szCs w:val="21"/>
        </w:rPr>
      </w:sdtEndPr>
      <w:sdtContent>
        <w:p>
          <w:r>
            <w:rPr>
              <w:rFonts w:hint="eastAsia"/>
            </w:rPr>
            <w:t>短期</w:t>
          </w:r>
          <w:r>
            <w:t>应付债券的增减变动</w:t>
          </w:r>
          <w:r>
            <w:rPr>
              <w:rFonts w:hint="eastAsia"/>
            </w:rPr>
            <w:t>：</w:t>
          </w:r>
        </w:p>
        <w:sdt>
          <w:sdtPr>
            <w:alias w:val="是否适用：短期应付债券的增减变动[双击切换]"/>
            <w:tag w:val="_GBC_9702365af41547e6b7eeb62225fd79a4"/>
            <w:id w:val="865725807"/>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865725810"/>
        <w:lock w:val="sdtLocked"/>
        <w:placeholder>
          <w:docPart w:val="GBC22222222222222222222222222222"/>
        </w:placeholder>
      </w:sdtPr>
      <w:sdtEndPr>
        <w:rPr>
          <w:rFonts w:hint="default"/>
          <w:color w:val="000000" w:themeColor="text1"/>
          <w:szCs w:val="21"/>
        </w:rPr>
      </w:sdtEndPr>
      <w:sdtContent>
        <w:p>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865725809"/>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0"/>
          <w:numId w:val="79"/>
        </w:numPr>
        <w:tabs>
          <w:tab w:val="left" w:pos="504"/>
        </w:tabs>
        <w:rPr>
          <w:rFonts w:ascii="宋体" w:hAnsi="宋体"/>
          <w:szCs w:val="21"/>
        </w:rPr>
      </w:pPr>
      <w:r>
        <w:rPr>
          <w:rFonts w:hint="eastAsia" w:ascii="宋体" w:hAnsi="宋体"/>
          <w:szCs w:val="21"/>
        </w:rPr>
        <w:t>长期借款</w:t>
      </w:r>
    </w:p>
    <w:sdt>
      <w:sdtPr>
        <w:rPr>
          <w:rFonts w:hint="eastAsia" w:ascii="宋体" w:hAnsi="宋体" w:eastAsia="宋体" w:cs="宋体"/>
          <w:b w:val="0"/>
          <w:bCs w:val="0"/>
          <w:kern w:val="0"/>
          <w:szCs w:val="22"/>
        </w:rPr>
        <w:alias w:val="模块:长期借款分类 "/>
        <w:tag w:val="_SEC_bb20abc8fd5f49a68916f9dc55e11723"/>
        <w:id w:val="865725812"/>
        <w:lock w:val="sdtLocked"/>
        <w:placeholder>
          <w:docPart w:val="GBC22222222222222222222222222222"/>
        </w:placeholder>
      </w:sdtPr>
      <w:sdtEndPr>
        <w:rPr>
          <w:rFonts w:hint="default" w:ascii="宋体" w:hAnsi="宋体" w:eastAsia="宋体" w:cstheme="minorBidi"/>
          <w:b w:val="0"/>
          <w:bCs w:val="0"/>
          <w:color w:val="000000" w:themeColor="text1"/>
          <w:kern w:val="2"/>
          <w:szCs w:val="21"/>
        </w:rPr>
      </w:sdtEndPr>
      <w:sdtContent>
        <w:p>
          <w:pPr>
            <w:pStyle w:val="5"/>
            <w:numPr>
              <w:ilvl w:val="3"/>
              <w:numId w:val="105"/>
            </w:numPr>
          </w:pPr>
          <w:r>
            <w:rPr>
              <w:rFonts w:hint="eastAsia"/>
            </w:rPr>
            <w:t>长期借款分类</w:t>
          </w:r>
        </w:p>
        <w:sdt>
          <w:sdtPr>
            <w:alias w:val="是否适用：长期借款分类[双击切换]"/>
            <w:tag w:val="_GBC_f97d0882083646ed86769469b3ee8875"/>
            <w:id w:val="86572581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rPr>
              <w:rFonts w:cstheme="minorBidi"/>
              <w:color w:val="000000" w:themeColor="text1"/>
              <w:kern w:val="2"/>
              <w:szCs w:val="21"/>
            </w:rPr>
          </w:pPr>
        </w:p>
      </w:sdtContent>
    </w:sdt>
    <w:p>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865725814"/>
        <w:lock w:val="sdtLocked"/>
        <w:placeholder>
          <w:docPart w:val="GBC22222222222222222222222222222"/>
        </w:placeholder>
      </w:sdtPr>
      <w:sdtEndPr>
        <w:rPr>
          <w:rFonts w:hint="default"/>
          <w:color w:val="auto"/>
          <w:szCs w:val="21"/>
        </w:rPr>
      </w:sdtEndPr>
      <w:sdtContent>
        <w:p>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865725813"/>
            <w:lock w:val="sdtLocked"/>
            <w:placeholder>
              <w:docPart w:val="GBC22222222222222222222222222222"/>
            </w:placeholder>
          </w:sdtPr>
          <w:sdtEndPr>
            <w:rPr>
              <w:color w:val="000000" w:themeColor="text1"/>
              <w:szCs w:val="21"/>
            </w:rPr>
          </w:sdtEndPr>
          <w:sdtContent>
            <w:p>
              <w:pPr>
                <w:snapToGrid w:val="0"/>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pPr>
        <w:rPr>
          <w:szCs w:val="21"/>
        </w:rPr>
      </w:pPr>
    </w:p>
    <w:p>
      <w:pPr>
        <w:pStyle w:val="4"/>
        <w:numPr>
          <w:ilvl w:val="0"/>
          <w:numId w:val="79"/>
        </w:numPr>
        <w:tabs>
          <w:tab w:val="left" w:pos="504"/>
        </w:tabs>
        <w:rPr>
          <w:rFonts w:ascii="宋体" w:hAnsi="宋体"/>
          <w:szCs w:val="21"/>
        </w:rPr>
      </w:pPr>
      <w:r>
        <w:rPr>
          <w:rFonts w:hint="eastAsia" w:ascii="宋体" w:hAnsi="宋体"/>
          <w:szCs w:val="21"/>
        </w:rPr>
        <w:t>应付债券</w:t>
      </w:r>
    </w:p>
    <w:sdt>
      <w:sdtPr>
        <w:rPr>
          <w:rFonts w:hint="eastAsia" w:ascii="宋体" w:hAnsi="宋体" w:eastAsia="宋体" w:cs="宋体"/>
          <w:b w:val="0"/>
          <w:bCs w:val="0"/>
          <w:kern w:val="0"/>
          <w:szCs w:val="24"/>
        </w:rPr>
        <w:alias w:val="模块:应付债券"/>
        <w:tag w:val="_SEC_9fc1d89fd58b4dd7a11252f59005bfc6"/>
        <w:id w:val="865725816"/>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106"/>
            </w:numPr>
            <w:ind w:left="426" w:hanging="426"/>
          </w:pPr>
          <w:r>
            <w:rPr>
              <w:rFonts w:hint="eastAsia"/>
            </w:rPr>
            <w:t>应付债券</w:t>
          </w:r>
        </w:p>
        <w:sdt>
          <w:sdtPr>
            <w:alias w:val="是否适用：应付债券[双击切换]"/>
            <w:tag w:val="_GBC_645b020b25af4284b8eff88f14f8c5c2"/>
            <w:id w:val="86572581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eastAsia="宋体" w:asciiTheme="minorHAnsi" w:hAnsiTheme="minorHAnsi" w:cstheme="minorBidi"/>
          <w:b w:val="0"/>
          <w:bCs w:val="0"/>
          <w:kern w:val="0"/>
          <w:szCs w:val="22"/>
        </w:rPr>
        <w:alias w:val="模块:应付债券的增减变动"/>
        <w:tag w:val="_SEC_bd8994c3194244c3a4761d3ba9630357"/>
        <w:id w:val="865725818"/>
        <w:lock w:val="sdtLocked"/>
        <w:placeholder>
          <w:docPart w:val="GBC22222222222222222222222222222"/>
        </w:placeholder>
      </w:sdtPr>
      <w:sdtEndPr>
        <w:rPr>
          <w:rFonts w:hint="eastAsia" w:ascii="宋体" w:hAnsi="宋体" w:eastAsia="宋体" w:cstheme="minorBidi"/>
          <w:b w:val="0"/>
          <w:bCs w:val="0"/>
          <w:color w:val="000000" w:themeColor="text1"/>
          <w:kern w:val="0"/>
          <w:szCs w:val="21"/>
        </w:rPr>
      </w:sdtEndPr>
      <w:sdtContent>
        <w:p>
          <w:pPr>
            <w:pStyle w:val="5"/>
            <w:numPr>
              <w:ilvl w:val="0"/>
              <w:numId w:val="106"/>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86572581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可转换公司债券的转股条件、转股时间说明："/>
        <w:tag w:val="_SEC_757001457d924ad38aa4781484c5ba39"/>
        <w:id w:val="865725820"/>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106"/>
            </w:numPr>
            <w:ind w:left="426" w:hanging="426"/>
          </w:pPr>
          <w:bookmarkStart w:id="199" w:name="OLE_LINK16"/>
          <w:bookmarkStart w:id="200" w:name="OLE_LINK18"/>
          <w:r>
            <w:rPr>
              <w:rFonts w:hint="eastAsia"/>
            </w:rPr>
            <w:t>可</w:t>
          </w:r>
          <w:r>
            <w:rPr>
              <w:rFonts w:hint="eastAsia" w:ascii="宋体" w:hAnsi="宋体"/>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865725819"/>
            <w:lock w:val="sdtLocked"/>
            <w:placeholder>
              <w:docPart w:val="GBC22222222222222222222222222222"/>
            </w:placeholder>
          </w:sdtPr>
          <w:sdtEndPr>
            <w:rPr>
              <w:rFonts w:hint="eastAsia"/>
              <w:szCs w:val="21"/>
            </w:rPr>
          </w:sdtEndPr>
          <w:sdtContent>
            <w:p>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eastAsia="宋体" w:cs="宋体"/>
          <w:b w:val="0"/>
          <w:bCs w:val="0"/>
          <w:kern w:val="0"/>
          <w:szCs w:val="24"/>
        </w:rPr>
        <w:alias w:val="模块:划分为金融负债的其他金融工具说明"/>
        <w:tag w:val="_SEC_a518acf97f30496fb599ce9199c16315"/>
        <w:id w:val="865725824"/>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0"/>
              <w:numId w:val="106"/>
            </w:numPr>
            <w:ind w:left="426" w:hanging="426"/>
          </w:pPr>
          <w:bookmarkEnd w:id="199"/>
          <w:bookmarkEnd w:id="200"/>
          <w:r>
            <w:rPr>
              <w:rFonts w:hint="eastAsia"/>
            </w:rPr>
            <w:t>划分为金融负债的其他金融工具说明</w:t>
          </w:r>
        </w:p>
        <w:p>
          <w:r>
            <w:rPr>
              <w:rFonts w:hint="eastAsia"/>
            </w:rPr>
            <w:t>期末发行在外的优先股、永续债等其他金融工具基本情况</w:t>
          </w:r>
        </w:p>
        <w:sdt>
          <w:sdtPr>
            <w:alias w:val="是否适用：划分为金融负债的其他金融工具说明[双击切换]"/>
            <w:tag w:val="_GBC_354a73ce52fe4fcaa9d974bff59ad9cc"/>
            <w:id w:val="865725821"/>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86572582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865725823"/>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szCs w:val="21"/>
        </w:rPr>
        <w:alias w:val="模块:应付债券其他说明"/>
        <w:tag w:val="_SEC_a77cb0c0ba82436b82a7d5bb3bde2ada"/>
        <w:id w:val="865725826"/>
        <w:lock w:val="sdtLocked"/>
        <w:placeholder>
          <w:docPart w:val="GBC22222222222222222222222222222"/>
        </w:placeholder>
      </w:sdtPr>
      <w:sdtEndPr>
        <w:rPr>
          <w:rFonts w:hint="eastAsia"/>
          <w:szCs w:val="21"/>
        </w:rPr>
      </w:sdtEndPr>
      <w:sdtContent>
        <w:p>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865725825"/>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租赁负债"/>
        <w:tag w:val="_SEC_02d134bf8d8d4eb58c0ae104046b1ba8"/>
        <w:id w:val="865725838"/>
        <w:lock w:val="sdtLocked"/>
        <w:placeholder>
          <w:docPart w:val="GBC22222222222222222222222222222"/>
        </w:placeholder>
      </w:sdtPr>
      <w:sdtEndPr>
        <w:rPr>
          <w:rFonts w:hint="default" w:ascii="Times New Roman" w:hAnsi="Times New Roman" w:cs="Times New Roman"/>
          <w:b w:val="0"/>
          <w:bCs w:val="0"/>
          <w:kern w:val="0"/>
          <w:szCs w:val="21"/>
        </w:rPr>
      </w:sdtEndPr>
      <w:sdtContent>
        <w:p>
          <w:pPr>
            <w:pStyle w:val="4"/>
            <w:numPr>
              <w:ilvl w:val="0"/>
              <w:numId w:val="79"/>
            </w:numPr>
            <w:tabs>
              <w:tab w:val="left" w:pos="504"/>
            </w:tabs>
            <w:rPr>
              <w:szCs w:val="21"/>
            </w:rPr>
          </w:pPr>
          <w:bookmarkStart w:id="201" w:name="_Hlk24026742"/>
          <w:r>
            <w:rPr>
              <w:rFonts w:hint="eastAsia"/>
              <w:szCs w:val="21"/>
            </w:rPr>
            <w:t>租赁负债</w:t>
          </w:r>
        </w:p>
        <w:sdt>
          <w:sdtPr>
            <w:rPr>
              <w:szCs w:val="21"/>
            </w:rPr>
            <w:alias w:val="是否适用：租赁负债[双击切换]"/>
            <w:tag w:val="_GBC_abf9a23b0ddc4b63b6f39d768c084973"/>
            <w:id w:val="86572582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租赁负债"/>
              <w:tag w:val="_GBC_33e504b2a4a34d41946083d1a309022f"/>
              <w:id w:val="8657258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865725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5"/>
            <w:gridCol w:w="2921"/>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sdt>
              <w:sdtPr>
                <w:rPr>
                  <w:rFonts w:ascii="Times New Roman" w:hAnsi="Times New Roman" w:cs="Times New Roman"/>
                </w:rPr>
                <w:tag w:val="_PLD_a05982b715d74082b7e01db9e1e265ef"/>
                <w:id w:val="865725830"/>
                <w:lock w:val="sdtLocked"/>
              </w:sdtPr>
              <w:sdtEndPr>
                <w:rPr>
                  <w:rFonts w:ascii="Times New Roman" w:hAnsi="Times New Roman" w:cs="Times New Roman"/>
                </w:rPr>
              </w:sdtEndPr>
              <w:sdtContent>
                <w:tc>
                  <w:tcPr>
                    <w:tcW w:w="1771" w:type="pc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84a0d8719b674f50bfcfc1c6ed86fed6"/>
                <w:id w:val="865725831"/>
                <w:lock w:val="sdtLocked"/>
              </w:sdtPr>
              <w:sdtEndPr>
                <w:rPr>
                  <w:rFonts w:ascii="Times New Roman" w:hAnsi="Times New Roman" w:cs="Times New Roman"/>
                </w:rPr>
              </w:sdtEndPr>
              <w:sdtContent>
                <w:tc>
                  <w:tcPr>
                    <w:tcW w:w="1614" w:type="pct"/>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d601589800f8414abb18e7477e7b41d6"/>
                <w:id w:val="865725832"/>
                <w:lock w:val="sdtLocked"/>
              </w:sdtPr>
              <w:sdtEndPr>
                <w:rPr>
                  <w:rFonts w:ascii="Times New Roman" w:hAnsi="Times New Roman" w:cs="Times New Roman"/>
                </w:rPr>
              </w:sdtEndPr>
              <w:sdtContent>
                <w:tc>
                  <w:tcPr>
                    <w:tcW w:w="1615" w:type="pct"/>
                    <w:shd w:val="clear" w:color="auto" w:fill="auto"/>
                    <w:vAlign w:val="center"/>
                  </w:tcPr>
                  <w:p>
                    <w:pPr>
                      <w:jc w:val="center"/>
                      <w:rPr>
                        <w:rFonts w:ascii="Times New Roman" w:hAnsi="Times New Roman" w:cs="Times New Roman"/>
                        <w:szCs w:val="21"/>
                      </w:rPr>
                    </w:pPr>
                    <w:r>
                      <w:rPr>
                        <w:rFonts w:ascii="Times New Roman" w:cs="Times New Roman"/>
                        <w:szCs w:val="21"/>
                      </w:rPr>
                      <w:t>期初余额</w:t>
                    </w:r>
                  </w:p>
                </w:tc>
              </w:sdtContent>
            </w:sdt>
          </w:tr>
          <w:sdt>
            <w:sdtPr>
              <w:rPr>
                <w:rFonts w:ascii="Times New Roman" w:hAnsi="Times New Roman" w:cs="Times New Roman"/>
                <w:szCs w:val="21"/>
              </w:rPr>
              <w:alias w:val="租赁负债明细"/>
              <w:tag w:val="_TUP_6f466bed927f4939ae3a601adc9fe007"/>
              <w:id w:val="86572583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rFonts w:ascii="Times New Roman" w:hAnsi="Times New Roman" w:cs="Times New Roman"/>
                        <w:szCs w:val="21"/>
                      </w:rPr>
                    </w:pPr>
                    <w:r>
                      <w:rPr>
                        <w:rFonts w:ascii="Times New Roman" w:cs="Times New Roman"/>
                      </w:rPr>
                      <w:t>租赁付款额</w:t>
                    </w:r>
                  </w:p>
                </w:tc>
                <w:tc>
                  <w:tcPr>
                    <w:tcW w:w="1614" w:type="pct"/>
                    <w:vAlign w:val="center"/>
                  </w:tcPr>
                  <w:p>
                    <w:pPr>
                      <w:jc w:val="right"/>
                      <w:rPr>
                        <w:rFonts w:ascii="Times New Roman" w:hAnsi="Times New Roman" w:cs="Times New Roman"/>
                        <w:szCs w:val="21"/>
                      </w:rPr>
                    </w:pPr>
                    <w:r>
                      <w:rPr>
                        <w:rFonts w:ascii="Times New Roman" w:hAnsi="Times New Roman" w:cs="Times New Roman"/>
                      </w:rPr>
                      <w:t>2,294,160.00</w:t>
                    </w:r>
                  </w:p>
                </w:tc>
                <w:tc>
                  <w:tcPr>
                    <w:tcW w:w="1615" w:type="pct"/>
                    <w:vAlign w:val="center"/>
                  </w:tcPr>
                  <w:p>
                    <w:pPr>
                      <w:jc w:val="right"/>
                      <w:rPr>
                        <w:rFonts w:ascii="Times New Roman" w:hAnsi="Times New Roman" w:cs="Times New Roman"/>
                        <w:szCs w:val="21"/>
                      </w:rPr>
                    </w:pPr>
                    <w:r>
                      <w:rPr>
                        <w:rFonts w:ascii="Times New Roman" w:hAnsi="Times New Roman" w:cs="Times New Roman"/>
                      </w:rPr>
                      <w:t>2,315,040.00</w:t>
                    </w:r>
                  </w:p>
                </w:tc>
              </w:tr>
            </w:sdtContent>
          </w:sdt>
          <w:sdt>
            <w:sdtPr>
              <w:rPr>
                <w:rFonts w:ascii="Times New Roman" w:hAnsi="Times New Roman" w:cs="Times New Roman"/>
                <w:szCs w:val="21"/>
              </w:rPr>
              <w:alias w:val="租赁负债明细"/>
              <w:tag w:val="_TUP_6f466bed927f4939ae3a601adc9fe007"/>
              <w:id w:val="86572583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rFonts w:ascii="Times New Roman" w:hAnsi="Times New Roman" w:cs="Times New Roman"/>
                        <w:szCs w:val="21"/>
                      </w:rPr>
                    </w:pPr>
                    <w:r>
                      <w:rPr>
                        <w:rFonts w:ascii="Times New Roman" w:cs="Times New Roman"/>
                      </w:rPr>
                      <w:t>减：未确认融资产费用</w:t>
                    </w:r>
                  </w:p>
                </w:tc>
                <w:tc>
                  <w:tcPr>
                    <w:tcW w:w="1614" w:type="pct"/>
                    <w:vAlign w:val="center"/>
                  </w:tcPr>
                  <w:p>
                    <w:pPr>
                      <w:jc w:val="right"/>
                      <w:rPr>
                        <w:rFonts w:ascii="Times New Roman" w:hAnsi="Times New Roman" w:cs="Times New Roman"/>
                        <w:szCs w:val="21"/>
                      </w:rPr>
                    </w:pPr>
                    <w:r>
                      <w:rPr>
                        <w:rFonts w:ascii="Times New Roman" w:hAnsi="Times New Roman" w:cs="Times New Roman"/>
                      </w:rPr>
                      <w:t>-166,377.81</w:t>
                    </w:r>
                  </w:p>
                </w:tc>
                <w:tc>
                  <w:tcPr>
                    <w:tcW w:w="1615" w:type="pct"/>
                    <w:vAlign w:val="center"/>
                  </w:tcPr>
                  <w:p>
                    <w:pPr>
                      <w:jc w:val="right"/>
                      <w:rPr>
                        <w:rFonts w:ascii="Times New Roman" w:hAnsi="Times New Roman" w:cs="Times New Roman"/>
                        <w:szCs w:val="21"/>
                      </w:rPr>
                    </w:pPr>
                    <w:r>
                      <w:rPr>
                        <w:rFonts w:ascii="Times New Roman" w:hAnsi="Times New Roman" w:cs="Times New Roman"/>
                      </w:rPr>
                      <w:t>-190,544.56</w:t>
                    </w:r>
                  </w:p>
                </w:tc>
              </w:tr>
            </w:sdtContent>
          </w:sdt>
          <w:sdt>
            <w:sdtPr>
              <w:rPr>
                <w:rFonts w:ascii="Times New Roman" w:hAnsi="Times New Roman" w:cs="Times New Roman"/>
                <w:szCs w:val="21"/>
              </w:rPr>
              <w:alias w:val="租赁负债明细"/>
              <w:tag w:val="_TUP_6f466bed927f4939ae3a601adc9fe007"/>
              <w:id w:val="865725835"/>
              <w:lock w:val="sdtLocked"/>
            </w:sdtPr>
            <w:sdtEndPr>
              <w:rPr>
                <w:rFonts w:ascii="Times New Roman" w:hAnsi="Times New Roman" w:cs="Times New Roman"/>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rPr>
                        <w:rFonts w:ascii="Times New Roman" w:hAnsi="Times New Roman" w:cs="Times New Roman"/>
                        <w:szCs w:val="21"/>
                      </w:rPr>
                    </w:pPr>
                    <w:r>
                      <w:rPr>
                        <w:rFonts w:ascii="Times New Roman" w:cs="Times New Roman"/>
                      </w:rPr>
                      <w:t>减：一年内到期的租赁负债</w:t>
                    </w:r>
                  </w:p>
                </w:tc>
                <w:tc>
                  <w:tcPr>
                    <w:tcW w:w="1614" w:type="pct"/>
                    <w:vAlign w:val="center"/>
                  </w:tcPr>
                  <w:p>
                    <w:pPr>
                      <w:jc w:val="right"/>
                      <w:rPr>
                        <w:rFonts w:ascii="Times New Roman" w:hAnsi="Times New Roman" w:cs="Times New Roman"/>
                      </w:rPr>
                    </w:pPr>
                    <w:r>
                      <w:rPr>
                        <w:rFonts w:ascii="Times New Roman" w:hAnsi="Times New Roman" w:cs="Times New Roman"/>
                      </w:rPr>
                      <w:t>-1,118,011.71</w:t>
                    </w:r>
                  </w:p>
                </w:tc>
                <w:tc>
                  <w:tcPr>
                    <w:tcW w:w="1615" w:type="pct"/>
                    <w:vAlign w:val="center"/>
                  </w:tcPr>
                  <w:p>
                    <w:pPr>
                      <w:jc w:val="right"/>
                      <w:rPr>
                        <w:rFonts w:ascii="Times New Roman" w:hAnsi="Times New Roman" w:cs="Times New Roman"/>
                      </w:rPr>
                    </w:pPr>
                    <w:r>
                      <w:rPr>
                        <w:rFonts w:ascii="Times New Roman" w:hAnsi="Times New Roman" w:cs="Times New Roman"/>
                      </w:rPr>
                      <w:t>-809,875.55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sdt>
              <w:sdtPr>
                <w:rPr>
                  <w:rFonts w:ascii="Times New Roman" w:hAnsi="Times New Roman" w:cs="Times New Roman"/>
                </w:rPr>
                <w:tag w:val="_PLD_be650c59606949b3a386be1a4c816d84"/>
                <w:id w:val="865725836"/>
                <w:lock w:val="sdtLocked"/>
              </w:sdtPr>
              <w:sdtEndPr>
                <w:rPr>
                  <w:rFonts w:ascii="Times New Roman" w:hAnsi="Times New Roman" w:cs="Times New Roman"/>
                </w:rPr>
              </w:sdtEndPr>
              <w:sdtContent>
                <w:tc>
                  <w:tcPr>
                    <w:tcW w:w="1771" w:type="pct"/>
                  </w:tcPr>
                  <w:p>
                    <w:pPr>
                      <w:jc w:val="center"/>
                      <w:rPr>
                        <w:rFonts w:ascii="Times New Roman" w:hAnsi="Times New Roman" w:cs="Times New Roman"/>
                        <w:szCs w:val="21"/>
                      </w:rPr>
                    </w:pPr>
                    <w:r>
                      <w:rPr>
                        <w:rFonts w:ascii="Times New Roman" w:cs="Times New Roman"/>
                        <w:szCs w:val="21"/>
                      </w:rPr>
                      <w:t>合计</w:t>
                    </w:r>
                  </w:p>
                </w:tc>
              </w:sdtContent>
            </w:sdt>
            <w:tc>
              <w:tcPr>
                <w:tcW w:w="1614" w:type="pct"/>
                <w:vAlign w:val="center"/>
              </w:tcPr>
              <w:p>
                <w:pPr>
                  <w:jc w:val="right"/>
                  <w:rPr>
                    <w:rFonts w:ascii="Times New Roman" w:hAnsi="Times New Roman" w:cs="Times New Roman"/>
                    <w:sz w:val="24"/>
                  </w:rPr>
                </w:pPr>
                <w:r>
                  <w:rPr>
                    <w:rFonts w:ascii="Times New Roman" w:hAnsi="Times New Roman" w:cs="Times New Roman"/>
                  </w:rPr>
                  <w:t>1,009,770.48</w:t>
                </w:r>
              </w:p>
            </w:tc>
            <w:tc>
              <w:tcPr>
                <w:tcW w:w="1615" w:type="pct"/>
                <w:vAlign w:val="center"/>
              </w:tcPr>
              <w:p>
                <w:pPr>
                  <w:jc w:val="right"/>
                  <w:rPr>
                    <w:rFonts w:ascii="Times New Roman" w:hAnsi="Times New Roman" w:cs="Times New Roman"/>
                    <w:sz w:val="24"/>
                  </w:rPr>
                </w:pPr>
                <w:r>
                  <w:rPr>
                    <w:rFonts w:ascii="Times New Roman" w:hAnsi="Times New Roman" w:cs="Times New Roman"/>
                  </w:rPr>
                  <w:t>1,314,619.89</w:t>
                </w:r>
              </w:p>
            </w:tc>
          </w:tr>
        </w:tbl>
        <w:p>
          <w:pPr>
            <w:snapToGrid w:val="0"/>
            <w:spacing w:before="60" w:after="60" w:line="240" w:lineRule="atLeast"/>
            <w:rPr>
              <w:rFonts w:ascii="Times New Roman" w:hAnsi="Times New Roman" w:cs="Times New Roman"/>
              <w:szCs w:val="21"/>
            </w:rPr>
          </w:pPr>
          <w:r>
            <w:rPr>
              <w:rFonts w:ascii="Times New Roman" w:cs="Times New Roman"/>
              <w:szCs w:val="21"/>
            </w:rPr>
            <w:t>其他说明：</w:t>
          </w:r>
        </w:p>
        <w:sdt>
          <w:sdtPr>
            <w:rPr>
              <w:rFonts w:ascii="Times New Roman" w:hAnsi="Times New Roman" w:cs="Times New Roman"/>
              <w:szCs w:val="21"/>
            </w:rPr>
            <w:alias w:val="租赁负债其他说明"/>
            <w:tag w:val="_GBC_d655dad6394141cbbfbca3ff3319cddc"/>
            <w:id w:val="865725837"/>
            <w:lock w:val="sdtLocked"/>
            <w:placeholder>
              <w:docPart w:val="GBC22222222222222222222222222222"/>
            </w:placeholder>
          </w:sdtPr>
          <w:sdtEndPr>
            <w:rPr>
              <w:rFonts w:ascii="Times New Roman" w:hAnsi="Times New Roman" w:cs="Times New Roman"/>
              <w:szCs w:val="21"/>
            </w:rPr>
          </w:sdtEndPr>
          <w:sdtContent>
            <w:p>
              <w:pPr>
                <w:autoSpaceDE w:val="0"/>
                <w:autoSpaceDN w:val="0"/>
                <w:adjustRightInd w:val="0"/>
                <w:spacing w:line="400" w:lineRule="exact"/>
                <w:ind w:firstLine="420" w:firstLineChars="200"/>
                <w:rPr>
                  <w:rFonts w:ascii="Times New Roman" w:hAnsi="Times New Roman" w:cs="Times New Roman"/>
                  <w:color w:val="000000"/>
                  <w:szCs w:val="21"/>
                </w:rPr>
              </w:pPr>
              <w:r>
                <w:rPr>
                  <w:rFonts w:ascii="Times New Roman" w:cs="Times New Roman"/>
                  <w:color w:val="000000"/>
                  <w:szCs w:val="21"/>
                </w:rPr>
                <w:t>（</w:t>
              </w:r>
              <w:r>
                <w:rPr>
                  <w:rFonts w:ascii="Times New Roman" w:hAnsi="Times New Roman" w:cs="Times New Roman"/>
                  <w:color w:val="000000"/>
                  <w:szCs w:val="21"/>
                </w:rPr>
                <w:t>1</w:t>
              </w:r>
              <w:r>
                <w:rPr>
                  <w:rFonts w:ascii="Times New Roman" w:cs="Times New Roman"/>
                  <w:color w:val="000000"/>
                  <w:szCs w:val="21"/>
                </w:rPr>
                <w:t>）期初租赁负债余额为</w:t>
              </w:r>
              <w:r>
                <w:rPr>
                  <w:rFonts w:ascii="Times New Roman" w:hAnsi="Times New Roman" w:cs="Times New Roman"/>
                  <w:color w:val="000000"/>
                  <w:szCs w:val="21"/>
                </w:rPr>
                <w:t>1,314,619.89</w:t>
              </w:r>
              <w:r>
                <w:rPr>
                  <w:rFonts w:ascii="Times New Roman" w:cs="Times New Roman"/>
                  <w:color w:val="000000"/>
                  <w:szCs w:val="21"/>
                </w:rPr>
                <w:t>元，上年期末租赁负债余额为</w:t>
              </w:r>
              <w:r>
                <w:rPr>
                  <w:rFonts w:ascii="Times New Roman" w:hAnsi="Times New Roman" w:cs="Times New Roman"/>
                  <w:color w:val="000000"/>
                  <w:szCs w:val="21"/>
                </w:rPr>
                <w:t>0</w:t>
              </w:r>
              <w:r>
                <w:rPr>
                  <w:rFonts w:ascii="Times New Roman" w:cs="Times New Roman"/>
                  <w:color w:val="000000"/>
                  <w:szCs w:val="21"/>
                </w:rPr>
                <w:t>元，差异</w:t>
              </w:r>
              <w:r>
                <w:rPr>
                  <w:rFonts w:ascii="Times New Roman" w:hAnsi="Times New Roman" w:cs="Times New Roman"/>
                  <w:color w:val="000000"/>
                  <w:szCs w:val="21"/>
                </w:rPr>
                <w:t>1,314,619.89</w:t>
              </w:r>
              <w:r>
                <w:rPr>
                  <w:rFonts w:ascii="Times New Roman" w:cs="Times New Roman"/>
                  <w:color w:val="000000"/>
                  <w:szCs w:val="21"/>
                </w:rPr>
                <w:t>元系首次执行新租赁准则调整期初财务报表所致；（</w:t>
              </w:r>
              <w:r>
                <w:rPr>
                  <w:rFonts w:ascii="Times New Roman" w:hAnsi="Times New Roman" w:cs="Times New Roman"/>
                  <w:color w:val="000000"/>
                  <w:szCs w:val="21"/>
                </w:rPr>
                <w:t>2</w:t>
              </w:r>
              <w:r>
                <w:rPr>
                  <w:rFonts w:ascii="Times New Roman" w:cs="Times New Roman"/>
                  <w:color w:val="000000"/>
                  <w:szCs w:val="21"/>
                </w:rPr>
                <w:t>）</w:t>
              </w:r>
              <w:r>
                <w:rPr>
                  <w:rFonts w:ascii="Times New Roman" w:hAnsi="Times New Roman" w:cs="Times New Roman"/>
                  <w:color w:val="000000"/>
                  <w:szCs w:val="21"/>
                </w:rPr>
                <w:t>2021</w:t>
              </w:r>
              <w:r>
                <w:rPr>
                  <w:rFonts w:ascii="Times New Roman" w:cs="Times New Roman"/>
                  <w:color w:val="000000"/>
                  <w:szCs w:val="21"/>
                </w:rPr>
                <w:t>年计提租赁负债利息费用金额为</w:t>
              </w:r>
              <w:r>
                <w:rPr>
                  <w:rFonts w:ascii="Times New Roman" w:hAnsi="Times New Roman" w:cs="Times New Roman"/>
                  <w:color w:val="000000"/>
                  <w:szCs w:val="21"/>
                </w:rPr>
                <w:t>166,530.36</w:t>
              </w:r>
              <w:r>
                <w:rPr>
                  <w:rFonts w:ascii="Times New Roman" w:cs="Times New Roman"/>
                  <w:color w:val="000000"/>
                  <w:szCs w:val="21"/>
                </w:rPr>
                <w:t>元，计入财务费用</w:t>
              </w:r>
              <w:r>
                <w:rPr>
                  <w:rFonts w:ascii="Times New Roman" w:hAnsi="Times New Roman" w:cs="Times New Roman"/>
                  <w:color w:val="000000"/>
                  <w:szCs w:val="21"/>
                </w:rPr>
                <w:t>-</w:t>
              </w:r>
              <w:r>
                <w:rPr>
                  <w:rFonts w:ascii="Times New Roman" w:cs="Times New Roman"/>
                  <w:color w:val="000000"/>
                  <w:szCs w:val="21"/>
                </w:rPr>
                <w:t>利息支出。</w:t>
              </w:r>
            </w:p>
            <w:p>
              <w:pPr>
                <w:rPr>
                  <w:rFonts w:ascii="Times New Roman" w:hAnsi="Times New Roman" w:cs="Times New Roman"/>
                  <w:szCs w:val="21"/>
                </w:rPr>
              </w:pPr>
            </w:p>
          </w:sdtContent>
        </w:sdt>
      </w:sdtContent>
    </w:sdt>
    <w:bookmarkEnd w:id="201"/>
    <w:p>
      <w:pPr>
        <w:rPr>
          <w:szCs w:val="21"/>
        </w:rPr>
      </w:pPr>
    </w:p>
    <w:p>
      <w:pPr>
        <w:pStyle w:val="4"/>
        <w:numPr>
          <w:ilvl w:val="0"/>
          <w:numId w:val="79"/>
        </w:numPr>
        <w:tabs>
          <w:tab w:val="left" w:pos="504"/>
        </w:tabs>
        <w:rPr>
          <w:rFonts w:ascii="宋体" w:hAnsi="宋体"/>
          <w:szCs w:val="21"/>
        </w:rPr>
      </w:pPr>
      <w:r>
        <w:rPr>
          <w:rFonts w:hint="eastAsia" w:ascii="宋体" w:hAnsi="宋体"/>
          <w:szCs w:val="21"/>
        </w:rPr>
        <w:t>长期</w:t>
      </w:r>
      <w:r>
        <w:rPr>
          <w:rFonts w:hint="eastAsia"/>
          <w:szCs w:val="21"/>
        </w:rPr>
        <w:t>应付</w:t>
      </w:r>
      <w:r>
        <w:rPr>
          <w:rFonts w:hint="eastAsia" w:ascii="宋体" w:hAnsi="宋体"/>
          <w:szCs w:val="21"/>
        </w:rPr>
        <w:t>款</w:t>
      </w:r>
    </w:p>
    <w:sdt>
      <w:sdtPr>
        <w:rPr>
          <w:rFonts w:hint="eastAsia" w:ascii="宋体" w:hAnsi="宋体" w:eastAsia="宋体" w:cs="宋体"/>
          <w:b w:val="0"/>
          <w:bCs w:val="0"/>
          <w:kern w:val="0"/>
          <w:szCs w:val="24"/>
        </w:rPr>
        <w:alias w:val="模块:长期应付款分类列示"/>
        <w:tag w:val="_SEC_f3d4542e7833456492aa3f1fb43c4fd5"/>
        <w:id w:val="865725840"/>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pPr>
          <w:bookmarkStart w:id="202" w:name="_Hlk532911038"/>
          <w:r>
            <w:rPr>
              <w:rFonts w:hint="eastAsia"/>
            </w:rPr>
            <w:t>项目列示</w:t>
          </w:r>
        </w:p>
        <w:sdt>
          <w:sdtPr>
            <w:alias w:val="是否适用：长期应付款分类列示[双击切换]"/>
            <w:tag w:val="_GBC_90d4a9bd673140ef9c99898da48d1614"/>
            <w:id w:val="86572583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2"/>
    <w:sdt>
      <w:sdtPr>
        <w:rPr>
          <w:rFonts w:hint="eastAsia"/>
          <w:szCs w:val="21"/>
        </w:rPr>
        <w:alias w:val="模块:长期应付款分类列示其他说明"/>
        <w:tag w:val="_SEC_a0c78ab4e7864eb6ad0f9eb868ed1718"/>
        <w:id w:val="865725842"/>
        <w:lock w:val="sdtLocked"/>
        <w:placeholder>
          <w:docPart w:val="GBC22222222222222222222222222222"/>
        </w:placeholder>
      </w:sdtPr>
      <w:sdtEndPr>
        <w:rPr>
          <w:rFonts w:hint="eastAsia"/>
          <w:szCs w:val="21"/>
        </w:rPr>
      </w:sdtEndPr>
      <w:sdtContent>
        <w:p>
          <w:pPr>
            <w:rPr>
              <w:szCs w:val="21"/>
            </w:rPr>
          </w:pPr>
          <w:bookmarkStart w:id="203" w:name="_Hlk532911057"/>
          <w:r>
            <w:rPr>
              <w:rFonts w:hint="eastAsia"/>
              <w:szCs w:val="21"/>
            </w:rPr>
            <w:t>其他说明：</w:t>
          </w:r>
        </w:p>
        <w:sdt>
          <w:sdtPr>
            <w:rPr>
              <w:szCs w:val="21"/>
            </w:rPr>
            <w:alias w:val="是否适用：长期应付款分类列示其他说明[双击切换]"/>
            <w:tag w:val="_GBC_e7daa7f55cea4e3d835be6ee6457b35d"/>
            <w:id w:val="86572584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203"/>
    <w:p>
      <w:pPr>
        <w:pStyle w:val="5"/>
        <w:ind w:left="360" w:hanging="360"/>
      </w:pPr>
      <w:r>
        <w:rPr>
          <w:rFonts w:hint="eastAsia"/>
        </w:rPr>
        <w:t>长期应付款</w:t>
      </w:r>
    </w:p>
    <w:sdt>
      <w:sdtPr>
        <w:rPr>
          <w:rFonts w:eastAsia="宋体" w:asciiTheme="minorHAnsi" w:hAnsiTheme="minorHAnsi" w:cstheme="minorBidi"/>
          <w:b w:val="0"/>
          <w:bCs w:val="0"/>
          <w:kern w:val="0"/>
          <w:szCs w:val="24"/>
        </w:rPr>
        <w:alias w:val="模块:按款项性质列示长期应付款"/>
        <w:tag w:val="_SEC_7376b335bb274b24970a93a74d17b7c6"/>
        <w:id w:val="865725844"/>
        <w:lock w:val="sdtLocked"/>
        <w:placeholder>
          <w:docPart w:val="GBC22222222222222222222222222222"/>
        </w:placeholder>
      </w:sdtPr>
      <w:sdtEndPr>
        <w:rPr>
          <w:rFonts w:ascii="宋体" w:hAnsi="宋体" w:eastAsia="宋体" w:cstheme="minorBidi"/>
          <w:b w:val="0"/>
          <w:bCs w:val="0"/>
          <w:kern w:val="0"/>
          <w:szCs w:val="21"/>
        </w:rPr>
      </w:sdtEndPr>
      <w:sdtContent>
        <w:p>
          <w:pPr>
            <w:pStyle w:val="5"/>
            <w:numPr>
              <w:ilvl w:val="0"/>
              <w:numId w:val="107"/>
            </w:numPr>
            <w:ind w:left="426" w:hanging="426"/>
          </w:pPr>
          <w:r>
            <w:rPr>
              <w:rFonts w:hint="eastAsia"/>
            </w:rPr>
            <w:t>按款项性质列示长期应付款</w:t>
          </w:r>
        </w:p>
        <w:sdt>
          <w:sdtPr>
            <w:alias w:val="是否适用：按款项性质列示长期应付款[双击切换]"/>
            <w:tag w:val="_GBC_6a4cca7cce5341018cd4836f32746cd9"/>
            <w:id w:val="865725843"/>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p>
          <w:pPr>
            <w:snapToGrid w:val="0"/>
            <w:spacing w:line="240" w:lineRule="atLeast"/>
            <w:rPr>
              <w:rFonts w:cstheme="minorBidi"/>
              <w:szCs w:val="21"/>
            </w:rPr>
          </w:pPr>
        </w:p>
      </w:sdtContent>
    </w:sdt>
    <w:sdt>
      <w:sdtPr>
        <w:rPr>
          <w:rFonts w:hint="eastAsia" w:ascii="宋体" w:hAnsi="宋体" w:eastAsia="宋体" w:cs="宋体"/>
          <w:b w:val="0"/>
          <w:bCs w:val="0"/>
          <w:kern w:val="0"/>
          <w:szCs w:val="24"/>
        </w:rPr>
        <w:alias w:val="模块:专项应付款"/>
        <w:tag w:val="_SEC_0a84e0b09fc64975bf9a126557085875"/>
        <w:id w:val="865725846"/>
        <w:lock w:val="sdtLocked"/>
        <w:placeholder>
          <w:docPart w:val="GBC22222222222222222222222222222"/>
        </w:placeholder>
      </w:sdtPr>
      <w:sdtEndPr>
        <w:rPr>
          <w:rFonts w:hint="default" w:ascii="宋体" w:hAnsi="宋体" w:eastAsia="宋体" w:cstheme="minorBidi"/>
          <w:b w:val="0"/>
          <w:bCs w:val="0"/>
          <w:color w:val="000000" w:themeColor="text1"/>
          <w:kern w:val="2"/>
          <w:szCs w:val="21"/>
        </w:rPr>
      </w:sdtEndPr>
      <w:sdtContent>
        <w:p>
          <w:pPr>
            <w:pStyle w:val="5"/>
            <w:ind w:left="360" w:hanging="360"/>
          </w:pPr>
          <w:r>
            <w:rPr>
              <w:rFonts w:hint="eastAsia"/>
            </w:rPr>
            <w:t>专项应付款</w:t>
          </w:r>
        </w:p>
        <w:p>
          <w:pPr>
            <w:pStyle w:val="5"/>
            <w:numPr>
              <w:ilvl w:val="0"/>
              <w:numId w:val="107"/>
            </w:numPr>
            <w:ind w:left="426" w:hanging="426"/>
          </w:pPr>
          <w:r>
            <w:rPr>
              <w:rFonts w:hint="eastAsia"/>
            </w:rPr>
            <w:t>按款项性质列示专项应付款</w:t>
          </w:r>
        </w:p>
        <w:sdt>
          <w:sdtPr>
            <w:alias w:val="是否适用：专项应付款[双击切换]"/>
            <w:tag w:val="_GBC_857ddecb5bce4a0f99e428cd2635aa03"/>
            <w:id w:val="865725845"/>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rPr>
              <w:szCs w:val="21"/>
            </w:rPr>
          </w:pPr>
        </w:p>
        <w:p>
          <w:pPr>
            <w:snapToGrid w:val="0"/>
            <w:rPr>
              <w:szCs w:val="21"/>
            </w:rPr>
          </w:pPr>
        </w:p>
      </w:sdtContent>
    </w:sdt>
    <w:p>
      <w:pPr>
        <w:pStyle w:val="4"/>
        <w:numPr>
          <w:ilvl w:val="0"/>
          <w:numId w:val="79"/>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6572584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eastAsia="宋体" w:cs="宋体"/>
          <w:b w:val="0"/>
          <w:bCs w:val="0"/>
          <w:kern w:val="0"/>
          <w:szCs w:val="24"/>
        </w:rPr>
        <w:alias w:val="模块:长期应付职工薪酬"/>
        <w:tag w:val="_SEC_9e1dffe6ae18444d97446014b297dd69"/>
        <w:id w:val="865725860"/>
        <w:lock w:val="sdtLocked"/>
        <w:placeholder>
          <w:docPart w:val="GBC22222222222222222222222222222"/>
        </w:placeholder>
      </w:sdtPr>
      <w:sdtEndPr>
        <w:rPr>
          <w:rFonts w:hint="default" w:ascii="Times New Roman" w:hAnsi="Times New Roman" w:eastAsia="宋体" w:cs="Times New Roman"/>
          <w:b w:val="0"/>
          <w:bCs w:val="0"/>
          <w:kern w:val="0"/>
          <w:szCs w:val="21"/>
        </w:rPr>
      </w:sdtEndPr>
      <w:sdtContent>
        <w:p>
          <w:pPr>
            <w:pStyle w:val="5"/>
            <w:numPr>
              <w:ilvl w:val="0"/>
              <w:numId w:val="108"/>
            </w:numPr>
            <w:ind w:left="426" w:hanging="426"/>
          </w:pPr>
          <w:r>
            <w:rPr>
              <w:rFonts w:hint="eastAsia"/>
            </w:rPr>
            <w:t>长期应付职工薪酬表</w:t>
          </w:r>
        </w:p>
        <w:sdt>
          <w:sdtPr>
            <w:alias w:val="是否适用：长期应付职工薪酬表[双击切换]"/>
            <w:tag w:val="_GBC_b44de9fd198c4a3499852d2770fe541b"/>
            <w:id w:val="86572584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应付职工薪酬"/>
              <w:tag w:val="_GBC_494e432bb7b842a4b2966c2a30e46b7c"/>
              <w:id w:val="8657258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8657258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4"/>
            <w:gridCol w:w="2631"/>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7f8419ee43a44a3851aeb0ae20db3b3"/>
                <w:id w:val="865725851"/>
                <w:lock w:val="sdtLocked"/>
              </w:sdtPr>
              <w:sdtEndPr>
                <w:rPr>
                  <w:rFonts w:ascii="Times New Roman" w:hAnsi="Times New Roman" w:cs="Times New Roman"/>
                </w:rPr>
              </w:sdtEndPr>
              <w:sdtContent>
                <w:tc>
                  <w:tcPr>
                    <w:tcW w:w="201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s="Times New Roman"/>
                      </w:rPr>
                    </w:pPr>
                    <w:r>
                      <w:rPr>
                        <w:rFonts w:ascii="Times New Roman" w:cs="Times New Roman"/>
                      </w:rPr>
                      <w:t>项目</w:t>
                    </w:r>
                  </w:p>
                </w:tc>
              </w:sdtContent>
            </w:sdt>
            <w:sdt>
              <w:sdtPr>
                <w:rPr>
                  <w:rFonts w:ascii="Times New Roman" w:hAnsi="Times New Roman" w:cs="Times New Roman"/>
                </w:rPr>
                <w:tag w:val="_PLD_dc953e100cbb4806858d7d10436872c1"/>
                <w:id w:val="865725852"/>
                <w:lock w:val="sdtLocked"/>
              </w:sdtPr>
              <w:sdtEndPr>
                <w:rPr>
                  <w:rFonts w:ascii="Times New Roman" w:hAnsi="Times New Roman" w:cs="Times New Roman"/>
                </w:rPr>
              </w:sdtEndPr>
              <w:sdtContent>
                <w:tc>
                  <w:tcPr>
                    <w:tcW w:w="145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s="Times New Roman"/>
                      </w:rPr>
                    </w:pPr>
                    <w:r>
                      <w:rPr>
                        <w:rFonts w:ascii="Times New Roman" w:cs="Times New Roman"/>
                      </w:rPr>
                      <w:t>期末余额</w:t>
                    </w:r>
                  </w:p>
                </w:tc>
              </w:sdtContent>
            </w:sdt>
            <w:sdt>
              <w:sdtPr>
                <w:rPr>
                  <w:rFonts w:ascii="Times New Roman" w:hAnsi="Times New Roman" w:cs="Times New Roman"/>
                </w:rPr>
                <w:tag w:val="_PLD_28d4785454ea4bd99f4433899ff434f8"/>
                <w:id w:val="865725853"/>
                <w:lock w:val="sdtLocked"/>
              </w:sdtPr>
              <w:sdtEndPr>
                <w:rPr>
                  <w:rFonts w:ascii="Times New Roman" w:hAnsi="Times New Roman" w:cs="Times New Roman"/>
                </w:rPr>
              </w:sdtEndPr>
              <w:sdtContent>
                <w:tc>
                  <w:tcPr>
                    <w:tcW w:w="15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s="Times New Roman"/>
                      </w:rPr>
                    </w:pPr>
                    <w:r>
                      <w:rPr>
                        <w:rFonts w:ascii="Times New Roman" w:cs="Times New Roman"/>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c054f4398504cc3a2d7cf1b29ec137a"/>
                <w:id w:val="865725854"/>
                <w:lock w:val="sdtLocked"/>
              </w:sdtPr>
              <w:sdtEndPr>
                <w:rPr>
                  <w:rFonts w:ascii="Times New Roman" w:hAnsi="Times New Roman" w:cs="Times New Roman"/>
                </w:rPr>
              </w:sdtEndPr>
              <w:sdtContent>
                <w:tc>
                  <w:tcPr>
                    <w:tcW w:w="2019" w:type="pct"/>
                    <w:tcBorders>
                      <w:top w:val="single" w:color="auto" w:sz="6" w:space="0"/>
                      <w:left w:val="single" w:color="auto" w:sz="6" w:space="0"/>
                      <w:bottom w:val="single" w:color="auto" w:sz="6" w:space="0"/>
                      <w:right w:val="single" w:color="auto" w:sz="6" w:space="0"/>
                    </w:tcBorders>
                    <w:shd w:val="clear" w:color="auto" w:fill="auto"/>
                  </w:tcPr>
                  <w:p>
                    <w:pPr>
                      <w:rPr>
                        <w:rFonts w:ascii="Times New Roman" w:hAnsi="Times New Roman" w:cs="Times New Roman"/>
                      </w:rPr>
                    </w:pPr>
                    <w:r>
                      <w:rPr>
                        <w:rFonts w:ascii="Times New Roman" w:cs="Times New Roman"/>
                      </w:rPr>
                      <w:t>一、离职后福利</w:t>
                    </w:r>
                    <w:r>
                      <w:rPr>
                        <w:rFonts w:ascii="Times New Roman" w:hAnsi="Times New Roman" w:cs="Times New Roman"/>
                      </w:rPr>
                      <w:t>-</w:t>
                    </w:r>
                    <w:r>
                      <w:rPr>
                        <w:rFonts w:ascii="Times New Roman" w:cs="Times New Roman"/>
                      </w:rPr>
                      <w:t>设定受益计划净负债</w:t>
                    </w:r>
                  </w:p>
                </w:tc>
              </w:sdtContent>
            </w:sdt>
            <w:tc>
              <w:tcPr>
                <w:tcW w:w="1454" w:type="pct"/>
                <w:tcBorders>
                  <w:top w:val="single" w:color="auto" w:sz="6" w:space="0"/>
                  <w:left w:val="single" w:color="auto" w:sz="6"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3,653,811.00</w:t>
                </w:r>
              </w:p>
            </w:tc>
            <w:tc>
              <w:tcPr>
                <w:tcW w:w="1527" w:type="pct"/>
                <w:tcBorders>
                  <w:top w:val="single" w:color="auto" w:sz="6"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5,099,774.00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71a5260209f434783e30ba72915cc01"/>
                <w:id w:val="865725855"/>
                <w:lock w:val="sdtLocked"/>
              </w:sdtPr>
              <w:sdtEndPr>
                <w:rPr>
                  <w:rFonts w:ascii="Times New Roman" w:hAnsi="Times New Roman" w:cs="Times New Roman"/>
                </w:rPr>
              </w:sdtEndPr>
              <w:sdtContent>
                <w:tc>
                  <w:tcPr>
                    <w:tcW w:w="2019" w:type="pct"/>
                    <w:tcBorders>
                      <w:top w:val="single" w:color="auto" w:sz="6" w:space="0"/>
                      <w:left w:val="single" w:color="auto" w:sz="6" w:space="0"/>
                      <w:bottom w:val="single" w:color="auto" w:sz="6" w:space="0"/>
                      <w:right w:val="single" w:color="auto" w:sz="6" w:space="0"/>
                    </w:tcBorders>
                    <w:shd w:val="clear" w:color="auto" w:fill="auto"/>
                  </w:tcPr>
                  <w:p>
                    <w:pPr>
                      <w:rPr>
                        <w:rFonts w:ascii="Times New Roman" w:hAnsi="Times New Roman" w:cs="Times New Roman"/>
                      </w:rPr>
                    </w:pPr>
                    <w:r>
                      <w:rPr>
                        <w:rFonts w:ascii="Times New Roman" w:cs="Times New Roman"/>
                      </w:rPr>
                      <w:t>二、辞退福利</w:t>
                    </w:r>
                  </w:p>
                </w:tc>
              </w:sdtContent>
            </w:sdt>
            <w:tc>
              <w:tcPr>
                <w:tcW w:w="1454" w:type="pct"/>
                <w:tcBorders>
                  <w:top w:val="single" w:color="auto" w:sz="6" w:space="0"/>
                  <w:left w:val="single" w:color="auto" w:sz="6"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p>
            </w:tc>
            <w:tc>
              <w:tcPr>
                <w:tcW w:w="1527" w:type="pct"/>
                <w:tcBorders>
                  <w:top w:val="single" w:color="auto" w:sz="6"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5c9f6191bf246cca608bafd669a8865"/>
                <w:id w:val="865725856"/>
                <w:lock w:val="sdtLocked"/>
              </w:sdtPr>
              <w:sdtEndPr>
                <w:rPr>
                  <w:rFonts w:ascii="Times New Roman" w:hAnsi="Times New Roman" w:cs="Times New Roman"/>
                </w:rPr>
              </w:sdtEndPr>
              <w:sdtContent>
                <w:tc>
                  <w:tcPr>
                    <w:tcW w:w="2019" w:type="pct"/>
                    <w:tcBorders>
                      <w:top w:val="single" w:color="auto" w:sz="6" w:space="0"/>
                      <w:left w:val="single" w:color="auto" w:sz="6" w:space="0"/>
                      <w:bottom w:val="single" w:color="auto" w:sz="6" w:space="0"/>
                      <w:right w:val="single" w:color="auto" w:sz="6" w:space="0"/>
                    </w:tcBorders>
                    <w:shd w:val="clear" w:color="auto" w:fill="auto"/>
                  </w:tcPr>
                  <w:p>
                    <w:pPr>
                      <w:rPr>
                        <w:rFonts w:ascii="Times New Roman" w:hAnsi="Times New Roman" w:cs="Times New Roman"/>
                      </w:rPr>
                    </w:pPr>
                    <w:r>
                      <w:rPr>
                        <w:rFonts w:ascii="Times New Roman" w:cs="Times New Roman"/>
                      </w:rPr>
                      <w:t>三、其他长期福利</w:t>
                    </w:r>
                  </w:p>
                </w:tc>
              </w:sdtContent>
            </w:sdt>
            <w:tc>
              <w:tcPr>
                <w:tcW w:w="1454"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p>
            </w:tc>
            <w:tc>
              <w:tcPr>
                <w:tcW w:w="15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p>
            </w:tc>
          </w:tr>
          <w:sdt>
            <w:sdtPr>
              <w:rPr>
                <w:rFonts w:ascii="Times New Roman" w:hAnsi="Times New Roman" w:cs="Times New Roman"/>
              </w:rPr>
              <w:alias w:val="长期应付职工薪酬明细"/>
              <w:tag w:val="_TUP_7c90b84c67d04e5b818b464e8cca1a7e"/>
              <w:id w:val="865725857"/>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tcBorders>
                      <w:top w:val="single" w:color="auto" w:sz="4" w:space="0"/>
                      <w:left w:val="single" w:color="auto" w:sz="4" w:space="0"/>
                      <w:bottom w:val="single" w:color="auto" w:sz="6" w:space="0"/>
                      <w:right w:val="single" w:color="auto" w:sz="4" w:space="0"/>
                    </w:tcBorders>
                    <w:shd w:val="clear" w:color="auto" w:fill="auto"/>
                  </w:tcPr>
                  <w:p>
                    <w:pPr>
                      <w:rPr>
                        <w:rFonts w:ascii="Times New Roman" w:hAnsi="Times New Roman" w:cs="Times New Roman"/>
                      </w:rPr>
                    </w:pPr>
                    <w:r>
                      <w:rPr>
                        <w:rFonts w:ascii="Times New Roman" w:cs="Times New Roman"/>
                      </w:rPr>
                      <w:t>减：一年以内到期的未折现长期应付职工薪酬</w:t>
                    </w:r>
                  </w:p>
                </w:tc>
                <w:tc>
                  <w:tcPr>
                    <w:tcW w:w="145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1,380,862.00</w:t>
                    </w:r>
                  </w:p>
                </w:tc>
                <w:tc>
                  <w:tcPr>
                    <w:tcW w:w="15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1,741,838.00</w:t>
                    </w:r>
                  </w:p>
                </w:tc>
              </w:tr>
            </w:sdtContent>
          </w:sdt>
          <w:sdt>
            <w:sdtPr>
              <w:rPr>
                <w:rFonts w:ascii="Times New Roman" w:hAnsi="Times New Roman" w:cs="Times New Roman"/>
              </w:rPr>
              <w:alias w:val="长期应付职工薪酬明细"/>
              <w:tag w:val="_TUP_7c90b84c67d04e5b818b464e8cca1a7e"/>
              <w:id w:val="865725858"/>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tcBorders>
                      <w:top w:val="single" w:color="auto" w:sz="4" w:space="0"/>
                      <w:left w:val="single" w:color="auto" w:sz="4" w:space="0"/>
                      <w:bottom w:val="single" w:color="auto" w:sz="6" w:space="0"/>
                      <w:right w:val="single" w:color="auto" w:sz="4" w:space="0"/>
                    </w:tcBorders>
                    <w:shd w:val="clear" w:color="auto" w:fill="auto"/>
                  </w:tcPr>
                  <w:p>
                    <w:pPr>
                      <w:rPr>
                        <w:rFonts w:ascii="Times New Roman" w:hAnsi="Times New Roman" w:cs="Times New Roman"/>
                      </w:rPr>
                    </w:pPr>
                  </w:p>
                </w:tc>
                <w:tc>
                  <w:tcPr>
                    <w:tcW w:w="145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p>
                </w:tc>
                <w:tc>
                  <w:tcPr>
                    <w:tcW w:w="15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935fbc395df47e5900b69d5b9d2e7fb"/>
                <w:id w:val="865725859"/>
                <w:lock w:val="sdtLocked"/>
              </w:sdtPr>
              <w:sdtEndPr>
                <w:rPr>
                  <w:rFonts w:ascii="Times New Roman" w:hAnsi="Times New Roman" w:cs="Times New Roman"/>
                </w:rPr>
              </w:sdtEndPr>
              <w:sdtContent>
                <w:tc>
                  <w:tcPr>
                    <w:tcW w:w="201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cs="Times New Roman"/>
                      </w:rPr>
                    </w:pPr>
                    <w:r>
                      <w:rPr>
                        <w:rFonts w:ascii="Times New Roman" w:cs="Times New Roman"/>
                      </w:rPr>
                      <w:t>合计</w:t>
                    </w:r>
                  </w:p>
                </w:tc>
              </w:sdtContent>
            </w:sdt>
            <w:tc>
              <w:tcPr>
                <w:tcW w:w="1454"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2,272,949.00</w:t>
                </w:r>
              </w:p>
            </w:tc>
            <w:tc>
              <w:tcPr>
                <w:tcW w:w="15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3,357,936.00</w:t>
                </w:r>
              </w:p>
            </w:tc>
          </w:tr>
        </w:tbl>
        <w:p>
          <w:pPr>
            <w:widowControl w:val="0"/>
            <w:adjustRightInd w:val="0"/>
            <w:snapToGrid w:val="0"/>
            <w:spacing w:line="400" w:lineRule="exact"/>
            <w:ind w:firstLine="420" w:firstLineChars="200"/>
            <w:jc w:val="both"/>
            <w:rPr>
              <w:szCs w:val="21"/>
            </w:rPr>
          </w:pPr>
          <w:r>
            <w:rPr>
              <w:rFonts w:hint="eastAsia"/>
              <w:szCs w:val="21"/>
            </w:rPr>
            <w:t>注：公司对内退员工的内退福利计划，依据《企业会计准则第9号—职工薪酬》及公司会计政策，对此部分福利支出作为长期应付职工薪酬进行精算评估。内退员工的持续薪酬福利支出作为辞退福利计划进行精算评估。公司员工福利计划精算评估涉及以下风险：</w:t>
          </w:r>
        </w:p>
        <w:p>
          <w:pPr>
            <w:widowControl w:val="0"/>
            <w:adjustRightInd w:val="0"/>
            <w:snapToGrid w:val="0"/>
            <w:spacing w:line="400" w:lineRule="exact"/>
            <w:ind w:firstLine="420" w:firstLineChars="200"/>
            <w:jc w:val="both"/>
            <w:rPr>
              <w:szCs w:val="21"/>
            </w:rPr>
          </w:pPr>
          <w:r>
            <w:rPr>
              <w:rFonts w:hint="eastAsia"/>
              <w:szCs w:val="21"/>
            </w:rPr>
            <w:t>利率风险：计算计划福利义务现值时所采用的折现率的选取依据是中国国债收益率。国债收益率的下降会产生精算损失。</w:t>
          </w:r>
        </w:p>
        <w:p>
          <w:pPr>
            <w:widowControl w:val="0"/>
            <w:adjustRightInd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福利水平增长风险：计算计划福利义务现值时所采用的各项福利增长率假设的选取依据是各项福利的历史增长水平和公司管理层对各项福利增长率的长期预期。若实际福利增长率水平高于精算假设，会产生精算损失。</w:t>
          </w:r>
        </w:p>
        <w:p>
          <w:pPr>
            <w:widowControl w:val="0"/>
            <w:adjustRightInd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（1）长期应付职工薪酬重大精算假设说明</w:t>
          </w:r>
        </w:p>
        <w:p>
          <w:pPr>
            <w:widowControl w:val="0"/>
            <w:adjustRightInd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本年度公司评估采用以下精算假设：</w:t>
          </w:r>
        </w:p>
        <w:tbl>
          <w:tblPr>
            <w:tblStyle w:val="10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85" w:type="dxa"/>
              <w:bottom w:w="0" w:type="dxa"/>
              <w:right w:w="85" w:type="dxa"/>
            </w:tblCellMar>
          </w:tblPr>
          <w:tblGrid>
            <w:gridCol w:w="3290"/>
            <w:gridCol w:w="2630"/>
            <w:gridCol w:w="260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tblHeader/>
              <w:jc w:val="center"/>
            </w:trPr>
            <w:tc>
              <w:tcPr>
                <w:tcW w:w="1929" w:type="pct"/>
                <w:vAlign w:val="center"/>
              </w:tcPr>
              <w:p>
                <w:pPr>
                  <w:widowControl w:val="0"/>
                  <w:adjustRightInd w:val="0"/>
                  <w:snapToGrid w:val="0"/>
                  <w:spacing w:line="480" w:lineRule="exact"/>
                  <w:jc w:val="center"/>
                  <w:textAlignment w:val="baseline"/>
                  <w:rPr>
                    <w:rFonts w:ascii="Times New Roman" w:hAnsi="Times New Roman" w:cs="Times New Roman"/>
                    <w:sz w:val="18"/>
                    <w:szCs w:val="18"/>
                  </w:rPr>
                </w:pPr>
                <w:r>
                  <w:rPr>
                    <w:rFonts w:ascii="Times New Roman" w:cs="Times New Roman"/>
                    <w:sz w:val="18"/>
                    <w:szCs w:val="18"/>
                  </w:rPr>
                  <w:t>项目</w:t>
                </w:r>
              </w:p>
            </w:tc>
            <w:tc>
              <w:tcPr>
                <w:tcW w:w="1542" w:type="pct"/>
                <w:vAlign w:val="center"/>
              </w:tcPr>
              <w:p>
                <w:pPr>
                  <w:widowControl w:val="0"/>
                  <w:adjustRightInd w:val="0"/>
                  <w:snapToGrid w:val="0"/>
                  <w:spacing w:line="480" w:lineRule="exact"/>
                  <w:jc w:val="center"/>
                  <w:textAlignment w:val="baseline"/>
                  <w:rPr>
                    <w:rFonts w:ascii="Times New Roman" w:hAnsi="Times New Roman" w:cs="Times New Roman"/>
                    <w:sz w:val="18"/>
                    <w:szCs w:val="18"/>
                  </w:rPr>
                </w:pPr>
                <w:r>
                  <w:rPr>
                    <w:rFonts w:ascii="Times New Roman" w:cs="Times New Roman"/>
                    <w:sz w:val="18"/>
                    <w:szCs w:val="18"/>
                  </w:rPr>
                  <w:t>本期末</w:t>
                </w:r>
              </w:p>
            </w:tc>
            <w:tc>
              <w:tcPr>
                <w:tcW w:w="1529" w:type="pct"/>
                <w:vAlign w:val="center"/>
              </w:tcPr>
              <w:p>
                <w:pPr>
                  <w:widowControl w:val="0"/>
                  <w:adjustRightInd w:val="0"/>
                  <w:snapToGrid w:val="0"/>
                  <w:spacing w:line="480" w:lineRule="exact"/>
                  <w:jc w:val="center"/>
                  <w:textAlignment w:val="baseline"/>
                  <w:rPr>
                    <w:rFonts w:ascii="Times New Roman" w:hAnsi="Times New Roman" w:cs="Times New Roman"/>
                    <w:sz w:val="18"/>
                    <w:szCs w:val="18"/>
                  </w:rPr>
                </w:pPr>
                <w:r>
                  <w:rPr>
                    <w:rFonts w:ascii="Times New Roman" w:cs="Times New Roman"/>
                    <w:sz w:val="18"/>
                    <w:szCs w:val="18"/>
                  </w:rPr>
                  <w:t>上期末</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widowControl w:val="0"/>
                  <w:snapToGrid w:val="0"/>
                  <w:rPr>
                    <w:rFonts w:ascii="Times New Roman" w:hAnsi="Times New Roman" w:cs="Times New Roman"/>
                    <w:sz w:val="18"/>
                    <w:szCs w:val="18"/>
                  </w:rPr>
                </w:pPr>
                <w:r>
                  <w:rPr>
                    <w:rFonts w:ascii="Times New Roman" w:cs="Times New Roman"/>
                    <w:sz w:val="18"/>
                    <w:szCs w:val="18"/>
                  </w:rPr>
                  <w:t>年折现率</w:t>
                </w:r>
              </w:p>
            </w:tc>
            <w:tc>
              <w:tcPr>
                <w:tcW w:w="1542"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2.30%</w:t>
                </w:r>
              </w:p>
            </w:tc>
            <w:tc>
              <w:tcPr>
                <w:tcW w:w="1529"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2.60%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widowControl w:val="0"/>
                  <w:snapToGrid w:val="0"/>
                  <w:rPr>
                    <w:rFonts w:ascii="Times New Roman" w:hAnsi="Times New Roman" w:cs="Times New Roman"/>
                    <w:sz w:val="18"/>
                    <w:szCs w:val="18"/>
                  </w:rPr>
                </w:pPr>
                <w:r>
                  <w:rPr>
                    <w:rFonts w:ascii="Times New Roman" w:cs="Times New Roman"/>
                    <w:sz w:val="18"/>
                    <w:szCs w:val="18"/>
                  </w:rPr>
                  <w:t>内退工资年增长率</w:t>
                </w:r>
              </w:p>
            </w:tc>
            <w:tc>
              <w:tcPr>
                <w:tcW w:w="1542"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w:t>
                </w:r>
              </w:p>
            </w:tc>
            <w:tc>
              <w:tcPr>
                <w:tcW w:w="1529"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widowControl w:val="0"/>
                  <w:snapToGrid w:val="0"/>
                  <w:rPr>
                    <w:rFonts w:ascii="Times New Roman" w:hAnsi="Times New Roman" w:cs="Times New Roman"/>
                    <w:sz w:val="18"/>
                    <w:szCs w:val="18"/>
                  </w:rPr>
                </w:pPr>
                <w:r>
                  <w:rPr>
                    <w:rFonts w:ascii="Times New Roman" w:cs="Times New Roman"/>
                    <w:sz w:val="18"/>
                    <w:szCs w:val="18"/>
                  </w:rPr>
                  <w:t>社保及公积金年增长率</w:t>
                </w:r>
              </w:p>
            </w:tc>
            <w:tc>
              <w:tcPr>
                <w:tcW w:w="1542"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7%</w:t>
                </w:r>
              </w:p>
            </w:tc>
            <w:tc>
              <w:tcPr>
                <w:tcW w:w="1529"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widowControl w:val="0"/>
                  <w:snapToGrid w:val="0"/>
                  <w:rPr>
                    <w:rFonts w:ascii="Times New Roman" w:hAnsi="Times New Roman" w:cs="Times New Roman"/>
                    <w:sz w:val="18"/>
                    <w:szCs w:val="18"/>
                  </w:rPr>
                </w:pPr>
                <w:r>
                  <w:rPr>
                    <w:rFonts w:ascii="Times New Roman" w:cs="Times New Roman"/>
                    <w:sz w:val="18"/>
                    <w:szCs w:val="18"/>
                  </w:rPr>
                  <w:t>过节费等其它按年支付的福利年增长率</w:t>
                </w:r>
              </w:p>
            </w:tc>
            <w:tc>
              <w:tcPr>
                <w:tcW w:w="1542"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w:t>
                </w:r>
              </w:p>
            </w:tc>
            <w:tc>
              <w:tcPr>
                <w:tcW w:w="1529"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widowControl w:val="0"/>
                  <w:snapToGrid w:val="0"/>
                  <w:rPr>
                    <w:rFonts w:ascii="Times New Roman" w:hAnsi="Times New Roman" w:cs="Times New Roman"/>
                    <w:sz w:val="18"/>
                    <w:szCs w:val="18"/>
                  </w:rPr>
                </w:pPr>
                <w:r>
                  <w:rPr>
                    <w:rFonts w:ascii="Times New Roman" w:cs="Times New Roman"/>
                    <w:sz w:val="18"/>
                    <w:szCs w:val="18"/>
                  </w:rPr>
                  <w:t>体检费（每两年支付一次）年增长率</w:t>
                </w:r>
              </w:p>
            </w:tc>
            <w:tc>
              <w:tcPr>
                <w:tcW w:w="1542"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3%</w:t>
                </w:r>
              </w:p>
            </w:tc>
            <w:tc>
              <w:tcPr>
                <w:tcW w:w="1529" w:type="pct"/>
                <w:vAlign w:val="center"/>
              </w:tcPr>
              <w:p>
                <w:pPr>
                  <w:spacing w:line="48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85" w:type="dxa"/>
                <w:bottom w:w="0" w:type="dxa"/>
                <w:right w:w="85" w:type="dxa"/>
              </w:tblCellMar>
            </w:tblPrEx>
            <w:trPr>
              <w:trHeight w:val="351" w:hRule="atLeast"/>
              <w:jc w:val="center"/>
            </w:trPr>
            <w:tc>
              <w:tcPr>
                <w:tcW w:w="1929" w:type="pct"/>
                <w:vAlign w:val="center"/>
              </w:tcPr>
              <w:p>
                <w:pPr>
                  <w:widowControl w:val="0"/>
                  <w:snapToGrid w:val="0"/>
                  <w:spacing w:line="240" w:lineRule="exact"/>
                  <w:rPr>
                    <w:rFonts w:ascii="Times New Roman" w:hAnsi="Times New Roman" w:cs="Times New Roman"/>
                    <w:sz w:val="18"/>
                    <w:szCs w:val="18"/>
                  </w:rPr>
                </w:pPr>
                <w:r>
                  <w:rPr>
                    <w:rFonts w:ascii="Times New Roman" w:cs="Times New Roman"/>
                    <w:sz w:val="18"/>
                    <w:szCs w:val="18"/>
                  </w:rPr>
                  <w:t>死亡率</w:t>
                </w:r>
              </w:p>
            </w:tc>
            <w:tc>
              <w:tcPr>
                <w:tcW w:w="1542" w:type="pct"/>
                <w:vAlign w:val="center"/>
              </w:tcPr>
              <w:p>
                <w:pPr>
                  <w:spacing w:line="240" w:lineRule="exact"/>
                  <w:jc w:val="center"/>
                  <w:rPr>
                    <w:rFonts w:ascii="Times New Roman" w:hAnsi="Times New Roman" w:cs="Times New Roman" w:eastAsiaTheme="minorEastAsia"/>
                    <w:color w:val="000000"/>
                    <w:sz w:val="18"/>
                    <w:szCs w:val="18"/>
                  </w:rPr>
                </w:pPr>
                <w:r>
                  <w:rPr>
                    <w:rFonts w:ascii="Times New Roman" w:cs="Times New Roman" w:hAnsiTheme="minorEastAsia" w:eastAsiaTheme="minorEastAsia"/>
                    <w:color w:val="000000"/>
                    <w:sz w:val="18"/>
                    <w:szCs w:val="18"/>
                  </w:rPr>
                  <w:t>中国人寿保险业经验生命表（</w:t>
                </w:r>
                <w:r>
                  <w:rPr>
                    <w:rFonts w:ascii="Times New Roman" w:hAnsi="Times New Roman" w:cs="Times New Roman" w:eastAsiaTheme="minorEastAsia"/>
                    <w:color w:val="000000"/>
                    <w:sz w:val="18"/>
                    <w:szCs w:val="18"/>
                  </w:rPr>
                  <w:t>2010-2013</w:t>
                </w:r>
                <w:r>
                  <w:rPr>
                    <w:rFonts w:ascii="Times New Roman" w:cs="Times New Roman" w:hAnsiTheme="minorEastAsia" w:eastAsiaTheme="minorEastAsia"/>
                    <w:color w:val="000000"/>
                    <w:sz w:val="18"/>
                    <w:szCs w:val="18"/>
                  </w:rPr>
                  <w:t>）男性</w:t>
                </w:r>
                <w:r>
                  <w:rPr>
                    <w:rFonts w:ascii="Times New Roman" w:hAnsi="Times New Roman" w:cs="Times New Roman" w:eastAsiaTheme="minorEastAsia"/>
                    <w:color w:val="000000"/>
                    <w:sz w:val="18"/>
                    <w:szCs w:val="18"/>
                  </w:rPr>
                  <w:t>CL5</w:t>
                </w:r>
                <w:r>
                  <w:rPr>
                    <w:rFonts w:ascii="Times New Roman" w:cs="Times New Roman" w:hAnsiTheme="minorEastAsia" w:eastAsiaTheme="minorEastAsia"/>
                    <w:color w:val="000000"/>
                    <w:sz w:val="18"/>
                    <w:szCs w:val="18"/>
                  </w:rPr>
                  <w:t>和女性</w:t>
                </w:r>
                <w:r>
                  <w:rPr>
                    <w:rFonts w:ascii="Times New Roman" w:hAnsi="Times New Roman" w:cs="Times New Roman" w:eastAsiaTheme="minorEastAsia"/>
                    <w:color w:val="000000"/>
                    <w:sz w:val="18"/>
                    <w:szCs w:val="18"/>
                  </w:rPr>
                  <w:t>CL6</w:t>
                </w:r>
              </w:p>
            </w:tc>
            <w:tc>
              <w:tcPr>
                <w:tcW w:w="1529" w:type="pct"/>
                <w:vAlign w:val="center"/>
              </w:tcPr>
              <w:p>
                <w:pPr>
                  <w:spacing w:line="240" w:lineRule="exact"/>
                  <w:jc w:val="center"/>
                  <w:rPr>
                    <w:rFonts w:ascii="Times New Roman" w:hAnsi="Times New Roman" w:cs="Times New Roman" w:eastAsiaTheme="minorEastAsia"/>
                    <w:color w:val="000000"/>
                    <w:sz w:val="18"/>
                    <w:szCs w:val="18"/>
                  </w:rPr>
                </w:pPr>
                <w:r>
                  <w:rPr>
                    <w:rFonts w:ascii="Times New Roman" w:cs="Times New Roman" w:hAnsiTheme="minorEastAsia" w:eastAsiaTheme="minorEastAsia"/>
                    <w:color w:val="000000"/>
                    <w:sz w:val="18"/>
                    <w:szCs w:val="18"/>
                  </w:rPr>
                  <w:t>中国人寿保险业经验生命表（</w:t>
                </w:r>
                <w:r>
                  <w:rPr>
                    <w:rFonts w:ascii="Times New Roman" w:hAnsi="Times New Roman" w:cs="Times New Roman" w:eastAsiaTheme="minorEastAsia"/>
                    <w:color w:val="000000"/>
                    <w:sz w:val="18"/>
                    <w:szCs w:val="18"/>
                  </w:rPr>
                  <w:t>2010-2013</w:t>
                </w:r>
                <w:r>
                  <w:rPr>
                    <w:rFonts w:ascii="Times New Roman" w:cs="Times New Roman" w:hAnsiTheme="minorEastAsia" w:eastAsiaTheme="minorEastAsia"/>
                    <w:color w:val="000000"/>
                    <w:sz w:val="18"/>
                    <w:szCs w:val="18"/>
                  </w:rPr>
                  <w:t>）男性</w:t>
                </w:r>
                <w:r>
                  <w:rPr>
                    <w:rFonts w:ascii="Times New Roman" w:hAnsi="Times New Roman" w:cs="Times New Roman" w:eastAsiaTheme="minorEastAsia"/>
                    <w:color w:val="000000"/>
                    <w:sz w:val="18"/>
                    <w:szCs w:val="18"/>
                  </w:rPr>
                  <w:t>CL5</w:t>
                </w:r>
                <w:r>
                  <w:rPr>
                    <w:rFonts w:ascii="Times New Roman" w:cs="Times New Roman" w:hAnsiTheme="minorEastAsia" w:eastAsiaTheme="minorEastAsia"/>
                    <w:color w:val="000000"/>
                    <w:sz w:val="18"/>
                    <w:szCs w:val="18"/>
                  </w:rPr>
                  <w:t>和女性</w:t>
                </w:r>
                <w:r>
                  <w:rPr>
                    <w:rFonts w:ascii="Times New Roman" w:hAnsi="Times New Roman" w:cs="Times New Roman" w:eastAsiaTheme="minorEastAsia"/>
                    <w:color w:val="000000"/>
                    <w:sz w:val="18"/>
                    <w:szCs w:val="18"/>
                  </w:rPr>
                  <w:t>CL6</w:t>
                </w:r>
              </w:p>
            </w:tc>
          </w:tr>
        </w:tbl>
        <w:p>
          <w:pPr>
            <w:spacing w:line="400" w:lineRule="exact"/>
            <w:rPr>
              <w:rFonts w:ascii="Times New Roman" w:hAnsi="Times New Roman" w:cs="Times New Roman"/>
              <w:szCs w:val="21"/>
            </w:rPr>
          </w:pPr>
          <w:r>
            <w:rPr>
              <w:rFonts w:ascii="Times New Roman" w:cs="Times New Roman" w:hAnsiTheme="minorEastAsia" w:eastAsiaTheme="minorEastAsia"/>
              <w:szCs w:val="21"/>
            </w:rPr>
            <w:t>折现率以国债即期收益率为设定折现率的参考标准，在各评估时点确定内退福利计划负债平均修正久期的年期，再参考相应年期的国债收益率数据，从而决定适用的年折现率。</w:t>
          </w:r>
          <w:r>
            <w:rPr>
              <w:rFonts w:ascii="Times New Roman" w:cs="Times New Roman"/>
              <w:szCs w:val="21"/>
            </w:rPr>
            <w:t>内退员工每两年体检一次，本次增长率为</w:t>
          </w:r>
          <w:r>
            <w:rPr>
              <w:rFonts w:ascii="Times New Roman" w:hAnsi="Times New Roman" w:cs="Times New Roman"/>
              <w:szCs w:val="21"/>
            </w:rPr>
            <w:t>2.30%</w:t>
          </w:r>
          <w:r>
            <w:rPr>
              <w:rFonts w:ascii="Times New Roman" w:cs="Times New Roman"/>
              <w:szCs w:val="21"/>
            </w:rPr>
            <w:t>。</w:t>
          </w:r>
        </w:p>
      </w:sdtContent>
    </w:sdt>
    <w:sdt>
      <w:sdtPr>
        <w:rPr>
          <w:rFonts w:hint="eastAsia" w:ascii="宋体" w:hAnsi="宋体" w:eastAsia="宋体" w:cs="宋体"/>
          <w:b w:val="0"/>
          <w:bCs w:val="0"/>
          <w:kern w:val="0"/>
          <w:szCs w:val="21"/>
        </w:rPr>
        <w:alias w:val="模块:设定受益计划变动情况"/>
        <w:tag w:val="_SEC_5a389db9711a4a889c729ab40da926ed"/>
        <w:id w:val="865725867"/>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108"/>
            </w:numPr>
            <w:ind w:left="426" w:hanging="426"/>
            <w:rPr>
              <w:szCs w:val="21"/>
            </w:rPr>
          </w:pPr>
          <w:r>
            <w:rPr>
              <w:rFonts w:hint="eastAsia"/>
              <w:szCs w:val="21"/>
            </w:rPr>
            <w:t>设定受益计划变动情况</w:t>
          </w:r>
        </w:p>
        <w:p>
          <w:pPr>
            <w:rPr>
              <w:szCs w:val="21"/>
            </w:rPr>
          </w:pPr>
          <w:r>
            <w:rPr>
              <w:rFonts w:hint="eastAsia"/>
              <w:szCs w:val="21"/>
            </w:rPr>
            <w:t>设定受益计划义务现值：</w:t>
          </w:r>
        </w:p>
        <w:sdt>
          <w:sdtPr>
            <w:rPr>
              <w:szCs w:val="21"/>
            </w:rPr>
            <w:alias w:val="是否适用：设定受益计划义务现值[双击切换]"/>
            <w:tag w:val="_GBC_898bbd8ee5bb4ad698965551469ae3fb"/>
            <w:id w:val="86572586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r>
            <w:rPr>
              <w:rFonts w:hint="eastAsia"/>
              <w:szCs w:val="21"/>
            </w:rPr>
            <w:t>计划资产：</w:t>
          </w:r>
        </w:p>
        <w:p>
          <w:pPr>
            <w:rPr>
              <w:szCs w:val="21"/>
            </w:rPr>
          </w:pPr>
          <w:sdt>
            <w:sdtPr>
              <w:rPr>
                <w:rFonts w:hint="eastAsia"/>
                <w:szCs w:val="21"/>
              </w:rPr>
              <w:alias w:val="是否适用：设定受益计划变动情况_计划资产[双击切换]"/>
              <w:tag w:val="_GBC_da74e4a7bfc84e888afc38ffa6096a31"/>
              <w:id w:val="865725862"/>
              <w:lock w:val="sdtLocked"/>
              <w:placeholder>
                <w:docPart w:val="GBC22222222222222222222222222222"/>
              </w:placeholder>
            </w:sdtPr>
            <w:sdtEndPr>
              <w:rPr>
                <w:rFonts w:hint="eastAsia"/>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rPr>
              <w:szCs w:val="21"/>
            </w:rPr>
          </w:pPr>
          <w:r>
            <w:rPr>
              <w:rFonts w:hint="eastAsia"/>
              <w:szCs w:val="21"/>
            </w:rPr>
            <w:t>设定受益计划净负债（净资产）</w:t>
          </w:r>
        </w:p>
        <w:sdt>
          <w:sdtPr>
            <w:rPr>
              <w:szCs w:val="21"/>
            </w:rPr>
            <w:alias w:val="是否适用：设定受益计划变动情况_设定受益计划净负债[双击切换]"/>
            <w:tag w:val="_GBC_4ef7ea9e6dc7431c9365dcd01da99b90"/>
            <w:id w:val="86572586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865725864"/>
            <w:lock w:val="sdtLocked"/>
            <w:placeholder>
              <w:docPart w:val="GBC22222222222222222222222222222"/>
            </w:placeholder>
          </w:sdtPr>
          <w:sdtEndPr>
            <w:rPr>
              <w:szCs w:val="21"/>
            </w:rPr>
          </w:sdtEnd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86572586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szCs w:val="21"/>
        </w:rPr>
        <w:alias w:val="模块:长期应付职工薪酬的其他说明"/>
        <w:tag w:val="_SEC_bdb4f6c5fc6642808a65fce4599aa115"/>
        <w:id w:val="865725869"/>
        <w:lock w:val="sdtLocked"/>
        <w:placeholder>
          <w:docPart w:val="GBC22222222222222222222222222222"/>
        </w:placeholder>
      </w:sdtPr>
      <w:sdtEndPr>
        <w:rPr>
          <w:szCs w:val="21"/>
        </w:rPr>
      </w:sdtEndPr>
      <w:sdtContent>
        <w:p>
          <w:pPr>
            <w:rPr>
              <w:szCs w:val="21"/>
            </w:rPr>
          </w:pPr>
          <w:r>
            <w:rPr>
              <w:rFonts w:hint="eastAsia"/>
              <w:szCs w:val="21"/>
            </w:rPr>
            <w:t>其他说明：</w:t>
          </w:r>
        </w:p>
        <w:sdt>
          <w:sdtPr>
            <w:rPr>
              <w:szCs w:val="21"/>
            </w:rPr>
            <w:alias w:val="是否适用：长期应付职工薪酬的其他说明[双击切换]"/>
            <w:tag w:val="_GBC_4c32051ec1ee486180dafb68d556d339"/>
            <w:id w:val="86572586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预计负债"/>
        <w:tag w:val="_SEC_f21973cd15af4f4f8cba4c68d4e9e36f"/>
        <w:id w:val="865725871"/>
        <w:lock w:val="sdtLocked"/>
        <w:placeholder>
          <w:docPart w:val="GBC22222222222222222222222222222"/>
        </w:placeholder>
      </w:sdtPr>
      <w:sdtEndPr>
        <w:rPr>
          <w:rFonts w:hint="default" w:ascii="宋体" w:hAnsi="宋体" w:cstheme="minorBidi"/>
          <w:b w:val="0"/>
          <w:bCs w:val="0"/>
          <w:kern w:val="2"/>
          <w:szCs w:val="21"/>
        </w:rPr>
      </w:sdtEndPr>
      <w:sdtContent>
        <w:p>
          <w:pPr>
            <w:pStyle w:val="4"/>
            <w:numPr>
              <w:ilvl w:val="0"/>
              <w:numId w:val="79"/>
            </w:numPr>
            <w:tabs>
              <w:tab w:val="left" w:pos="504"/>
            </w:tabs>
            <w:rPr>
              <w:rFonts w:ascii="宋体" w:hAnsi="宋体"/>
              <w:szCs w:val="21"/>
            </w:rPr>
          </w:pPr>
          <w:bookmarkStart w:id="204" w:name="_Hlk533670325"/>
          <w:r>
            <w:rPr>
              <w:rFonts w:hint="eastAsia" w:ascii="宋体" w:hAnsi="宋体"/>
              <w:szCs w:val="21"/>
            </w:rPr>
            <w:t>预计负债</w:t>
          </w:r>
        </w:p>
        <w:sdt>
          <w:sdtPr>
            <w:alias w:val="是否适用：预计负债[双击切换]"/>
            <w:tag w:val="_GBC_d57ab9083835465c9b1fdeb5ed46b3ce"/>
            <w:id w:val="86572587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rPr>
              <w:szCs w:val="21"/>
            </w:rPr>
          </w:pPr>
        </w:p>
      </w:sdtContent>
    </w:sdt>
    <w:bookmarkEnd w:id="204"/>
    <w:p>
      <w:pPr>
        <w:rPr>
          <w:szCs w:val="21"/>
        </w:rPr>
      </w:pPr>
    </w:p>
    <w:p>
      <w:pPr>
        <w:pStyle w:val="4"/>
        <w:numPr>
          <w:ilvl w:val="0"/>
          <w:numId w:val="79"/>
        </w:numPr>
        <w:tabs>
          <w:tab w:val="left" w:pos="504"/>
        </w:tabs>
        <w:rPr>
          <w:rFonts w:ascii="宋体" w:hAnsi="宋体"/>
          <w:szCs w:val="21"/>
        </w:rPr>
      </w:pPr>
      <w:r>
        <w:rPr>
          <w:rFonts w:hint="eastAsia" w:ascii="宋体" w:hAnsi="宋体"/>
          <w:szCs w:val="21"/>
        </w:rPr>
        <w:t>递延收益</w:t>
      </w:r>
    </w:p>
    <w:sdt>
      <w:sdtPr>
        <w:rPr>
          <w:rFonts w:hint="eastAsia" w:ascii="宋体" w:hAnsi="宋体" w:cs="宋体"/>
          <w:kern w:val="0"/>
          <w:szCs w:val="21"/>
        </w:rPr>
        <w:alias w:val="模块:递延收益"/>
        <w:tag w:val="_SEC_77e89ee1eab949ef9b025afd8f005609"/>
        <w:id w:val="865725888"/>
        <w:lock w:val="sdtLocked"/>
        <w:placeholder>
          <w:docPart w:val="GBC22222222222222222222222222222"/>
        </w:placeholder>
      </w:sdtPr>
      <w:sdtEndPr>
        <w:rPr>
          <w:rFonts w:hint="default" w:ascii="宋体" w:hAnsi="宋体" w:cs="宋体"/>
          <w:kern w:val="0"/>
          <w:szCs w:val="24"/>
        </w:rPr>
      </w:sdtEndPr>
      <w:sdtContent>
        <w:p>
          <w:pPr>
            <w:pStyle w:val="55"/>
            <w:ind w:firstLine="0" w:firstLineChars="0"/>
            <w:jc w:val="left"/>
            <w:rPr>
              <w:rFonts w:ascii="宋体" w:hAnsi="宋体" w:cs="宋体"/>
              <w:kern w:val="0"/>
              <w:szCs w:val="21"/>
            </w:rPr>
          </w:pPr>
          <w:r>
            <w:rPr>
              <w:rFonts w:hint="eastAsia" w:ascii="宋体" w:hAnsi="宋体" w:cs="宋体"/>
              <w:kern w:val="0"/>
              <w:szCs w:val="21"/>
            </w:rPr>
            <w:t>递延收益情况</w:t>
          </w:r>
        </w:p>
        <w:sdt>
          <w:sdtPr>
            <w:rPr>
              <w:rFonts w:hint="eastAsia" w:ascii="宋体" w:hAnsi="宋体" w:cs="宋体"/>
              <w:kern w:val="0"/>
              <w:szCs w:val="21"/>
            </w:rPr>
            <w:alias w:val="是否适用：递延收益情况 [双击切换]"/>
            <w:tag w:val="_GBC_1dc89c2a3092474186405d574af5f0a9"/>
            <w:id w:val="865725872"/>
            <w:lock w:val="sdtLocked"/>
            <w:placeholder>
              <w:docPart w:val="GBC22222222222222222222222222222"/>
            </w:placeholder>
          </w:sdtPr>
          <w:sdtEndPr>
            <w:rPr>
              <w:rFonts w:hint="eastAsia" w:ascii="宋体" w:hAnsi="宋体" w:cs="宋体"/>
              <w:kern w:val="0"/>
              <w:szCs w:val="21"/>
            </w:rPr>
          </w:sdtEndPr>
          <w:sdtContent>
            <w:p>
              <w:pPr>
                <w:pStyle w:val="55"/>
                <w:ind w:firstLine="0" w:firstLineChars="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pPr>
            <w:pStyle w:val="5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递延收益"/>
              <w:tag w:val="_GBC_302facde74424f4893f0a42db0d6e1ba"/>
              <w:id w:val="8657258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递延收益"/>
              <w:tag w:val="_GBC_99380f3ab3514d54aa39945566772fb3"/>
              <w:id w:val="8657258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525"/>
            <w:gridCol w:w="1486"/>
            <w:gridCol w:w="1480"/>
            <w:gridCol w:w="1466"/>
            <w:gridCol w:w="1509"/>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35" w:hRule="atLeast"/>
            </w:trPr>
            <w:sdt>
              <w:sdtPr>
                <w:rPr>
                  <w:rFonts w:ascii="Times New Roman" w:hAnsi="Times New Roman" w:cs="Times New Roman"/>
                </w:rPr>
                <w:tag w:val="_PLD_06c0ddfa4a2746ca8f12eddff124e05c"/>
                <w:id w:val="865725875"/>
                <w:lock w:val="sdtLocked"/>
              </w:sdtPr>
              <w:sdtEndPr>
                <w:rPr>
                  <w:rFonts w:ascii="Times New Roman" w:hAnsi="Times New Roman" w:cs="Times New Roman"/>
                </w:rPr>
              </w:sdtEndPr>
              <w:sdtContent>
                <w:tc>
                  <w:tcPr>
                    <w:tcW w:w="842" w:type="pc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4c41187d18a94eb4908c030c31b5a141"/>
                <w:id w:val="865725876"/>
                <w:lock w:val="sdtLocked"/>
              </w:sdtPr>
              <w:sdtEndPr>
                <w:rPr>
                  <w:rFonts w:ascii="Times New Roman" w:hAnsi="Times New Roman" w:cs="Times New Roman"/>
                </w:rPr>
              </w:sdtEndPr>
              <w:sdtContent>
                <w:tc>
                  <w:tcPr>
                    <w:tcW w:w="820" w:type="pct"/>
                    <w:shd w:val="clear" w:color="auto" w:fill="auto"/>
                    <w:vAlign w:val="center"/>
                  </w:tcPr>
                  <w:p>
                    <w:pPr>
                      <w:jc w:val="center"/>
                      <w:rPr>
                        <w:rFonts w:ascii="Times New Roman" w:hAnsi="Times New Roman" w:cs="Times New Roman"/>
                        <w:szCs w:val="21"/>
                      </w:rPr>
                    </w:pPr>
                    <w:r>
                      <w:rPr>
                        <w:rFonts w:ascii="Times New Roman" w:cs="Times New Roman"/>
                        <w:szCs w:val="21"/>
                      </w:rPr>
                      <w:t>期初余额</w:t>
                    </w:r>
                  </w:p>
                </w:tc>
              </w:sdtContent>
            </w:sdt>
            <w:sdt>
              <w:sdtPr>
                <w:rPr>
                  <w:rFonts w:ascii="Times New Roman" w:hAnsi="Times New Roman" w:cs="Times New Roman"/>
                </w:rPr>
                <w:tag w:val="_PLD_7823db68b61845e58a185dffbbfd2804"/>
                <w:id w:val="865725877"/>
                <w:lock w:val="sdtLocked"/>
              </w:sdtPr>
              <w:sdtEndPr>
                <w:rPr>
                  <w:rFonts w:ascii="Times New Roman" w:hAnsi="Times New Roman" w:cs="Times New Roman"/>
                </w:rPr>
              </w:sdtEndPr>
              <w:sdtContent>
                <w:tc>
                  <w:tcPr>
                    <w:tcW w:w="817" w:type="pct"/>
                    <w:shd w:val="clear" w:color="auto" w:fill="auto"/>
                    <w:vAlign w:val="center"/>
                  </w:tcPr>
                  <w:p>
                    <w:pPr>
                      <w:jc w:val="center"/>
                      <w:rPr>
                        <w:rFonts w:ascii="Times New Roman" w:hAnsi="Times New Roman" w:cs="Times New Roman"/>
                        <w:szCs w:val="21"/>
                      </w:rPr>
                    </w:pPr>
                    <w:r>
                      <w:rPr>
                        <w:rFonts w:ascii="Times New Roman" w:cs="Times New Roman"/>
                        <w:szCs w:val="21"/>
                      </w:rPr>
                      <w:t>本期增加</w:t>
                    </w:r>
                  </w:p>
                </w:tc>
              </w:sdtContent>
            </w:sdt>
            <w:sdt>
              <w:sdtPr>
                <w:rPr>
                  <w:rFonts w:ascii="Times New Roman" w:hAnsi="Times New Roman" w:cs="Times New Roman"/>
                </w:rPr>
                <w:tag w:val="_PLD_53b43bfd28984007852c2e00c870c71e"/>
                <w:id w:val="865725878"/>
                <w:lock w:val="sdtLocked"/>
              </w:sdtPr>
              <w:sdtEndPr>
                <w:rPr>
                  <w:rFonts w:ascii="Times New Roman" w:hAnsi="Times New Roman" w:cs="Times New Roman"/>
                </w:rPr>
              </w:sdtEndPr>
              <w:sdtContent>
                <w:tc>
                  <w:tcPr>
                    <w:tcW w:w="809" w:type="pct"/>
                    <w:shd w:val="clear" w:color="auto" w:fill="auto"/>
                    <w:vAlign w:val="center"/>
                  </w:tcPr>
                  <w:p>
                    <w:pPr>
                      <w:jc w:val="center"/>
                      <w:rPr>
                        <w:rFonts w:ascii="Times New Roman" w:hAnsi="Times New Roman" w:cs="Times New Roman"/>
                        <w:szCs w:val="21"/>
                      </w:rPr>
                    </w:pPr>
                    <w:r>
                      <w:rPr>
                        <w:rFonts w:ascii="Times New Roman" w:cs="Times New Roman"/>
                        <w:szCs w:val="21"/>
                      </w:rPr>
                      <w:t>本期减少</w:t>
                    </w:r>
                  </w:p>
                </w:tc>
              </w:sdtContent>
            </w:sdt>
            <w:sdt>
              <w:sdtPr>
                <w:rPr>
                  <w:rFonts w:ascii="Times New Roman" w:hAnsi="Times New Roman" w:cs="Times New Roman"/>
                </w:rPr>
                <w:tag w:val="_PLD_f07e96209c8b4d728b2a1b24ad38bcf7"/>
                <w:id w:val="865725879"/>
                <w:lock w:val="sdtLocked"/>
              </w:sdtPr>
              <w:sdtEndPr>
                <w:rPr>
                  <w:rFonts w:ascii="Times New Roman" w:hAnsi="Times New Roman" w:cs="Times New Roman"/>
                </w:rPr>
              </w:sdtEndPr>
              <w:sdtContent>
                <w:tc>
                  <w:tcPr>
                    <w:tcW w:w="833" w:type="pct"/>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86dc51c05b1340c5968feded0e64c1f1"/>
                <w:id w:val="865725880"/>
                <w:lock w:val="sdtLocked"/>
              </w:sdtPr>
              <w:sdtEndPr>
                <w:rPr>
                  <w:rFonts w:ascii="Times New Roman" w:hAnsi="Times New Roman" w:cs="Times New Roman"/>
                </w:rPr>
              </w:sdtEndPr>
              <w:sdtContent>
                <w:tc>
                  <w:tcPr>
                    <w:tcW w:w="879" w:type="pct"/>
                    <w:shd w:val="clear" w:color="auto" w:fill="auto"/>
                    <w:vAlign w:val="center"/>
                  </w:tcPr>
                  <w:p>
                    <w:pPr>
                      <w:jc w:val="center"/>
                      <w:rPr>
                        <w:rFonts w:ascii="Times New Roman" w:hAnsi="Times New Roman" w:cs="Times New Roman"/>
                        <w:szCs w:val="21"/>
                      </w:rPr>
                    </w:pPr>
                    <w:r>
                      <w:rPr>
                        <w:rFonts w:ascii="Times New Roman" w:cs="Times New Roman"/>
                        <w:szCs w:val="21"/>
                      </w:rPr>
                      <w:t>形成原因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8dc45c68aab84586a2df4b6838458b87"/>
                <w:id w:val="865725881"/>
                <w:lock w:val="sdtLocked"/>
              </w:sdtPr>
              <w:sdtEndPr>
                <w:rPr>
                  <w:rFonts w:ascii="Times New Roman" w:hAnsi="Times New Roman" w:cs="Times New Roman"/>
                </w:rPr>
              </w:sdtEndPr>
              <w:sdtContent>
                <w:tc>
                  <w:tcPr>
                    <w:tcW w:w="842" w:type="pct"/>
                    <w:shd w:val="clear" w:color="auto" w:fill="auto"/>
                    <w:vAlign w:val="center"/>
                  </w:tcPr>
                  <w:p>
                    <w:pPr>
                      <w:rPr>
                        <w:rFonts w:ascii="Times New Roman" w:hAnsi="Times New Roman" w:cs="Times New Roman"/>
                        <w:szCs w:val="21"/>
                      </w:rPr>
                    </w:pPr>
                    <w:r>
                      <w:rPr>
                        <w:rFonts w:ascii="Times New Roman" w:cs="Times New Roman"/>
                        <w:szCs w:val="21"/>
                      </w:rPr>
                      <w:t>政府补助</w:t>
                    </w:r>
                  </w:p>
                </w:tc>
              </w:sdtContent>
            </w:sdt>
            <w:tc>
              <w:tcPr>
                <w:tcW w:w="820" w:type="pct"/>
                <w:shd w:val="clear" w:color="auto" w:fill="auto"/>
              </w:tcPr>
              <w:p>
                <w:pPr>
                  <w:jc w:val="right"/>
                  <w:rPr>
                    <w:rFonts w:ascii="Times New Roman" w:hAnsi="Times New Roman" w:cs="Times New Roman"/>
                    <w:szCs w:val="21"/>
                  </w:rPr>
                </w:pPr>
              </w:p>
            </w:tc>
            <w:tc>
              <w:tcPr>
                <w:tcW w:w="817" w:type="pct"/>
                <w:shd w:val="clear" w:color="auto" w:fill="auto"/>
              </w:tcPr>
              <w:p>
                <w:pPr>
                  <w:jc w:val="right"/>
                  <w:rPr>
                    <w:rFonts w:ascii="Times New Roman" w:hAnsi="Times New Roman" w:cs="Times New Roman"/>
                    <w:szCs w:val="21"/>
                  </w:rPr>
                </w:pPr>
              </w:p>
            </w:tc>
            <w:tc>
              <w:tcPr>
                <w:tcW w:w="809" w:type="pct"/>
                <w:shd w:val="clear" w:color="auto" w:fill="auto"/>
              </w:tcPr>
              <w:p>
                <w:pPr>
                  <w:jc w:val="right"/>
                  <w:rPr>
                    <w:rFonts w:ascii="Times New Roman" w:hAnsi="Times New Roman" w:cs="Times New Roman"/>
                    <w:szCs w:val="21"/>
                  </w:rPr>
                </w:pPr>
              </w:p>
            </w:tc>
            <w:tc>
              <w:tcPr>
                <w:tcW w:w="833" w:type="pct"/>
                <w:shd w:val="clear" w:color="auto" w:fill="auto"/>
              </w:tcPr>
              <w:p>
                <w:pPr>
                  <w:jc w:val="right"/>
                  <w:rPr>
                    <w:rFonts w:ascii="Times New Roman" w:hAnsi="Times New Roman" w:cs="Times New Roman"/>
                    <w:szCs w:val="21"/>
                  </w:rPr>
                </w:pPr>
              </w:p>
            </w:tc>
            <w:tc>
              <w:tcPr>
                <w:tcW w:w="879" w:type="pct"/>
                <w:shd w:val="clear" w:color="auto" w:fill="auto"/>
              </w:tcPr>
              <w:p>
                <w:pPr>
                  <w:rPr>
                    <w:rFonts w:ascii="Times New Roman" w:hAnsi="Times New Roman" w:cs="Times New Roman"/>
                    <w:szCs w:val="21"/>
                  </w:rPr>
                </w:pPr>
              </w:p>
            </w:tc>
          </w:tr>
          <w:sdt>
            <w:sdtPr>
              <w:rPr>
                <w:rFonts w:ascii="Times New Roman" w:hAnsi="Times New Roman" w:cs="Times New Roman"/>
                <w:szCs w:val="21"/>
              </w:rPr>
              <w:alias w:val="递延收益明细"/>
              <w:tag w:val="_TUP_bb0c0ca59e3d4d279e0ece6e30d3f6f4"/>
              <w:id w:val="86572588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2" w:type="pct"/>
                    <w:shd w:val="clear" w:color="auto" w:fill="auto"/>
                    <w:vAlign w:val="center"/>
                  </w:tcPr>
                  <w:p>
                    <w:pPr>
                      <w:jc w:val="both"/>
                      <w:rPr>
                        <w:rFonts w:ascii="Times New Roman" w:hAnsi="Times New Roman" w:cs="Times New Roman"/>
                        <w:szCs w:val="21"/>
                      </w:rPr>
                    </w:pPr>
                    <w:r>
                      <w:rPr>
                        <w:rFonts w:ascii="Times New Roman" w:cs="Times New Roman"/>
                      </w:rPr>
                      <w:t>节能减排项目</w:t>
                    </w:r>
                  </w:p>
                </w:tc>
                <w:tc>
                  <w:tcPr>
                    <w:tcW w:w="820" w:type="pct"/>
                    <w:shd w:val="clear" w:color="auto" w:fill="auto"/>
                    <w:vAlign w:val="center"/>
                  </w:tcPr>
                  <w:p>
                    <w:pPr>
                      <w:jc w:val="right"/>
                      <w:rPr>
                        <w:rFonts w:ascii="Times New Roman" w:hAnsi="Times New Roman" w:cs="Times New Roman"/>
                        <w:szCs w:val="21"/>
                      </w:rPr>
                    </w:pPr>
                    <w:r>
                      <w:rPr>
                        <w:rFonts w:ascii="Times New Roman" w:hAnsi="Times New Roman" w:cs="Times New Roman"/>
                      </w:rPr>
                      <w:t>759,604.15</w:t>
                    </w:r>
                  </w:p>
                </w:tc>
                <w:tc>
                  <w:tcPr>
                    <w:tcW w:w="817" w:type="pct"/>
                    <w:shd w:val="clear" w:color="auto" w:fill="auto"/>
                    <w:vAlign w:val="center"/>
                  </w:tcPr>
                  <w:p>
                    <w:pPr>
                      <w:jc w:val="right"/>
                      <w:rPr>
                        <w:rFonts w:ascii="Times New Roman" w:hAnsi="Times New Roman" w:cs="Times New Roman"/>
                        <w:szCs w:val="21"/>
                      </w:rPr>
                    </w:pPr>
                  </w:p>
                </w:tc>
                <w:tc>
                  <w:tcPr>
                    <w:tcW w:w="809" w:type="pct"/>
                    <w:shd w:val="clear" w:color="auto" w:fill="auto"/>
                    <w:vAlign w:val="center"/>
                  </w:tcPr>
                  <w:p>
                    <w:pPr>
                      <w:jc w:val="right"/>
                      <w:rPr>
                        <w:rFonts w:ascii="Times New Roman" w:hAnsi="Times New Roman" w:cs="Times New Roman"/>
                        <w:szCs w:val="21"/>
                      </w:rPr>
                    </w:pPr>
                    <w:r>
                      <w:rPr>
                        <w:rFonts w:ascii="Times New Roman" w:hAnsi="Times New Roman" w:cs="Times New Roman"/>
                      </w:rPr>
                      <w:t>71,828.40</w:t>
                    </w:r>
                  </w:p>
                </w:tc>
                <w:tc>
                  <w:tcPr>
                    <w:tcW w:w="833" w:type="pct"/>
                    <w:shd w:val="clear" w:color="auto" w:fill="auto"/>
                    <w:vAlign w:val="center"/>
                  </w:tcPr>
                  <w:p>
                    <w:pPr>
                      <w:jc w:val="right"/>
                      <w:rPr>
                        <w:rFonts w:ascii="Times New Roman" w:hAnsi="Times New Roman" w:cs="Times New Roman"/>
                        <w:szCs w:val="21"/>
                      </w:rPr>
                    </w:pPr>
                    <w:r>
                      <w:rPr>
                        <w:rFonts w:ascii="Times New Roman" w:hAnsi="Times New Roman" w:cs="Times New Roman"/>
                      </w:rPr>
                      <w:t>687,775.75</w:t>
                    </w:r>
                  </w:p>
                </w:tc>
                <w:tc>
                  <w:tcPr>
                    <w:tcW w:w="879" w:type="pct"/>
                    <w:shd w:val="clear" w:color="auto" w:fill="auto"/>
                    <w:vAlign w:val="center"/>
                  </w:tcPr>
                  <w:p>
                    <w:pPr>
                      <w:jc w:val="both"/>
                      <w:rPr>
                        <w:rFonts w:ascii="Times New Roman" w:hAnsi="Times New Roman" w:cs="Times New Roman"/>
                        <w:szCs w:val="21"/>
                      </w:rPr>
                    </w:pPr>
                    <w:r>
                      <w:rPr>
                        <w:rFonts w:ascii="Times New Roman" w:cs="Times New Roman"/>
                      </w:rPr>
                      <w:t>亿康药业</w:t>
                    </w:r>
                    <w:r>
                      <w:rPr>
                        <w:rFonts w:ascii="Times New Roman" w:hAnsi="Times New Roman" w:cs="Times New Roman"/>
                      </w:rPr>
                      <w:t>2016</w:t>
                    </w:r>
                    <w:r>
                      <w:rPr>
                        <w:rFonts w:ascii="Times New Roman" w:cs="Times New Roman"/>
                      </w:rPr>
                      <w:t>年收到的项目资金初始</w:t>
                    </w:r>
                    <w:r>
                      <w:rPr>
                        <w:rFonts w:ascii="Times New Roman" w:hAnsi="Times New Roman" w:cs="Times New Roman"/>
                      </w:rPr>
                      <w:t>60</w:t>
                    </w:r>
                    <w:r>
                      <w:rPr>
                        <w:rFonts w:ascii="Times New Roman" w:cs="Times New Roman"/>
                      </w:rPr>
                      <w:t>万；</w:t>
                    </w:r>
                    <w:r>
                      <w:rPr>
                        <w:rFonts w:ascii="Times New Roman" w:hAnsi="Times New Roman" w:cs="Times New Roman"/>
                      </w:rPr>
                      <w:t>2019</w:t>
                    </w:r>
                    <w:r>
                      <w:rPr>
                        <w:rFonts w:ascii="Times New Roman" w:cs="Times New Roman"/>
                      </w:rPr>
                      <w:t>年收到</w:t>
                    </w:r>
                    <w:r>
                      <w:rPr>
                        <w:rFonts w:ascii="Times New Roman" w:hAnsi="Times New Roman" w:cs="Times New Roman"/>
                      </w:rPr>
                      <w:t>40</w:t>
                    </w:r>
                    <w:r>
                      <w:rPr>
                        <w:rFonts w:ascii="Times New Roman" w:cs="Times New Roman"/>
                      </w:rPr>
                      <w:t>万元</w:t>
                    </w:r>
                  </w:p>
                </w:tc>
              </w:tr>
            </w:sdtContent>
          </w:sdt>
          <w:sdt>
            <w:sdtPr>
              <w:rPr>
                <w:rFonts w:ascii="Times New Roman" w:hAnsi="Times New Roman" w:cs="Times New Roman"/>
                <w:szCs w:val="21"/>
              </w:rPr>
              <w:alias w:val="递延收益明细"/>
              <w:tag w:val="_TUP_bb0c0ca59e3d4d279e0ece6e30d3f6f4"/>
              <w:id w:val="86572588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2" w:type="pct"/>
                    <w:shd w:val="clear" w:color="auto" w:fill="auto"/>
                    <w:vAlign w:val="center"/>
                  </w:tcPr>
                  <w:p>
                    <w:pPr>
                      <w:jc w:val="both"/>
                      <w:rPr>
                        <w:rFonts w:ascii="Times New Roman" w:hAnsi="Times New Roman" w:cs="Times New Roman"/>
                        <w:szCs w:val="21"/>
                      </w:rPr>
                    </w:pPr>
                    <w:r>
                      <w:rPr>
                        <w:rFonts w:ascii="Times New Roman" w:cs="Times New Roman"/>
                      </w:rPr>
                      <w:t>愈创木酚磺酸钾项目</w:t>
                    </w:r>
                  </w:p>
                </w:tc>
                <w:tc>
                  <w:tcPr>
                    <w:tcW w:w="820" w:type="pct"/>
                    <w:shd w:val="clear" w:color="auto" w:fill="auto"/>
                    <w:vAlign w:val="center"/>
                  </w:tcPr>
                  <w:p>
                    <w:pPr>
                      <w:jc w:val="right"/>
                      <w:rPr>
                        <w:rFonts w:ascii="Times New Roman" w:hAnsi="Times New Roman" w:cs="Times New Roman"/>
                        <w:szCs w:val="21"/>
                      </w:rPr>
                    </w:pPr>
                    <w:r>
                      <w:rPr>
                        <w:rFonts w:ascii="Times New Roman" w:hAnsi="Times New Roman" w:cs="Times New Roman"/>
                      </w:rPr>
                      <w:t>262,278.60</w:t>
                    </w:r>
                  </w:p>
                </w:tc>
                <w:tc>
                  <w:tcPr>
                    <w:tcW w:w="817" w:type="pct"/>
                    <w:shd w:val="clear" w:color="auto" w:fill="auto"/>
                    <w:vAlign w:val="center"/>
                  </w:tcPr>
                  <w:p>
                    <w:pPr>
                      <w:jc w:val="right"/>
                      <w:rPr>
                        <w:rFonts w:ascii="Times New Roman" w:hAnsi="Times New Roman" w:cs="Times New Roman"/>
                        <w:szCs w:val="21"/>
                      </w:rPr>
                    </w:pPr>
                  </w:p>
                </w:tc>
                <w:tc>
                  <w:tcPr>
                    <w:tcW w:w="809" w:type="pct"/>
                    <w:shd w:val="clear" w:color="auto" w:fill="auto"/>
                    <w:vAlign w:val="center"/>
                  </w:tcPr>
                  <w:p>
                    <w:pPr>
                      <w:jc w:val="right"/>
                      <w:rPr>
                        <w:rFonts w:ascii="Times New Roman" w:hAnsi="Times New Roman" w:cs="Times New Roman"/>
                        <w:szCs w:val="21"/>
                      </w:rPr>
                    </w:pPr>
                    <w:r>
                      <w:rPr>
                        <w:rFonts w:ascii="Times New Roman" w:hAnsi="Times New Roman" w:cs="Times New Roman"/>
                      </w:rPr>
                      <w:t>33,360.70</w:t>
                    </w:r>
                  </w:p>
                </w:tc>
                <w:tc>
                  <w:tcPr>
                    <w:tcW w:w="833" w:type="pct"/>
                    <w:shd w:val="clear" w:color="auto" w:fill="auto"/>
                    <w:vAlign w:val="center"/>
                  </w:tcPr>
                  <w:p>
                    <w:pPr>
                      <w:jc w:val="right"/>
                      <w:rPr>
                        <w:rFonts w:ascii="Times New Roman" w:hAnsi="Times New Roman" w:cs="Times New Roman"/>
                        <w:szCs w:val="21"/>
                      </w:rPr>
                    </w:pPr>
                    <w:r>
                      <w:rPr>
                        <w:rFonts w:ascii="Times New Roman" w:hAnsi="Times New Roman" w:cs="Times New Roman"/>
                      </w:rPr>
                      <w:t>228,917.90</w:t>
                    </w:r>
                  </w:p>
                </w:tc>
                <w:tc>
                  <w:tcPr>
                    <w:tcW w:w="879" w:type="pct"/>
                    <w:shd w:val="clear" w:color="auto" w:fill="auto"/>
                    <w:vAlign w:val="center"/>
                  </w:tcPr>
                  <w:p>
                    <w:pPr>
                      <w:jc w:val="both"/>
                      <w:rPr>
                        <w:rFonts w:ascii="Times New Roman" w:hAnsi="Times New Roman" w:cs="Times New Roman"/>
                        <w:szCs w:val="21"/>
                      </w:rPr>
                    </w:pPr>
                    <w:r>
                      <w:rPr>
                        <w:rFonts w:ascii="Times New Roman" w:cs="Times New Roman"/>
                      </w:rPr>
                      <w:t>亿康药业</w:t>
                    </w:r>
                    <w:r>
                      <w:rPr>
                        <w:rFonts w:ascii="Times New Roman" w:hAnsi="Times New Roman" w:cs="Times New Roman"/>
                      </w:rPr>
                      <w:t>2018</w:t>
                    </w:r>
                    <w:r>
                      <w:rPr>
                        <w:rFonts w:ascii="Times New Roman" w:cs="Times New Roman"/>
                      </w:rPr>
                      <w:t>年收到项目资金</w:t>
                    </w:r>
                    <w:r>
                      <w:rPr>
                        <w:rFonts w:ascii="Times New Roman" w:hAnsi="Times New Roman" w:cs="Times New Roman"/>
                      </w:rPr>
                      <w:t>35</w:t>
                    </w:r>
                    <w:r>
                      <w:rPr>
                        <w:rFonts w:ascii="Times New Roman" w:cs="Times New Roman"/>
                      </w:rPr>
                      <w:t>万元</w:t>
                    </w:r>
                  </w:p>
                </w:tc>
              </w:tr>
            </w:sdtContent>
          </w:sdt>
          <w:sdt>
            <w:sdtPr>
              <w:rPr>
                <w:rFonts w:ascii="Times New Roman" w:hAnsi="Times New Roman" w:cs="Times New Roman"/>
                <w:szCs w:val="21"/>
              </w:rPr>
              <w:alias w:val="递延收益明细"/>
              <w:tag w:val="_TUP_bb0c0ca59e3d4d279e0ece6e30d3f6f4"/>
              <w:id w:val="86572588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2" w:type="pct"/>
                    <w:shd w:val="clear" w:color="auto" w:fill="auto"/>
                    <w:vAlign w:val="center"/>
                  </w:tcPr>
                  <w:p>
                    <w:pPr>
                      <w:jc w:val="both"/>
                      <w:rPr>
                        <w:rFonts w:ascii="Times New Roman" w:hAnsi="Times New Roman" w:cs="Times New Roman"/>
                        <w:szCs w:val="21"/>
                      </w:rPr>
                    </w:pPr>
                    <w:r>
                      <w:rPr>
                        <w:rFonts w:ascii="Times New Roman" w:cs="Times New Roman"/>
                      </w:rPr>
                      <w:t>安徽芳草工业园财政补助</w:t>
                    </w:r>
                  </w:p>
                </w:tc>
                <w:tc>
                  <w:tcPr>
                    <w:tcW w:w="820" w:type="pct"/>
                    <w:shd w:val="clear" w:color="auto" w:fill="auto"/>
                    <w:vAlign w:val="center"/>
                  </w:tcPr>
                  <w:p>
                    <w:pPr>
                      <w:jc w:val="right"/>
                      <w:rPr>
                        <w:rFonts w:ascii="Times New Roman" w:hAnsi="Times New Roman" w:cs="Times New Roman"/>
                        <w:szCs w:val="21"/>
                      </w:rPr>
                    </w:pPr>
                    <w:r>
                      <w:rPr>
                        <w:rFonts w:ascii="Times New Roman" w:hAnsi="Times New Roman" w:cs="Times New Roman"/>
                      </w:rPr>
                      <w:t>7,012,642.24</w:t>
                    </w:r>
                  </w:p>
                </w:tc>
                <w:tc>
                  <w:tcPr>
                    <w:tcW w:w="817" w:type="pct"/>
                    <w:shd w:val="clear" w:color="auto" w:fill="auto"/>
                    <w:vAlign w:val="center"/>
                  </w:tcPr>
                  <w:p>
                    <w:pPr>
                      <w:jc w:val="right"/>
                      <w:rPr>
                        <w:rFonts w:ascii="Times New Roman" w:hAnsi="Times New Roman" w:cs="Times New Roman"/>
                        <w:szCs w:val="21"/>
                      </w:rPr>
                    </w:pPr>
                  </w:p>
                </w:tc>
                <w:tc>
                  <w:tcPr>
                    <w:tcW w:w="809" w:type="pct"/>
                    <w:shd w:val="clear" w:color="auto" w:fill="auto"/>
                    <w:vAlign w:val="center"/>
                  </w:tcPr>
                  <w:p>
                    <w:pPr>
                      <w:jc w:val="right"/>
                      <w:rPr>
                        <w:rFonts w:ascii="Times New Roman" w:hAnsi="Times New Roman" w:cs="Times New Roman"/>
                        <w:szCs w:val="21"/>
                      </w:rPr>
                    </w:pPr>
                    <w:r>
                      <w:rPr>
                        <w:rFonts w:ascii="Times New Roman" w:hAnsi="Times New Roman" w:cs="Times New Roman"/>
                      </w:rPr>
                      <w:t>176,789.28</w:t>
                    </w:r>
                  </w:p>
                </w:tc>
                <w:tc>
                  <w:tcPr>
                    <w:tcW w:w="833" w:type="pct"/>
                    <w:shd w:val="clear" w:color="auto" w:fill="auto"/>
                    <w:vAlign w:val="center"/>
                  </w:tcPr>
                  <w:p>
                    <w:pPr>
                      <w:jc w:val="right"/>
                      <w:rPr>
                        <w:rFonts w:ascii="Times New Roman" w:hAnsi="Times New Roman" w:cs="Times New Roman"/>
                        <w:szCs w:val="21"/>
                      </w:rPr>
                    </w:pPr>
                    <w:r>
                      <w:rPr>
                        <w:rFonts w:ascii="Times New Roman" w:hAnsi="Times New Roman" w:cs="Times New Roman"/>
                      </w:rPr>
                      <w:t>6,835,852.96</w:t>
                    </w:r>
                  </w:p>
                </w:tc>
                <w:tc>
                  <w:tcPr>
                    <w:tcW w:w="879" w:type="pct"/>
                    <w:shd w:val="clear" w:color="auto" w:fill="auto"/>
                    <w:vAlign w:val="center"/>
                  </w:tcPr>
                  <w:p>
                    <w:pPr>
                      <w:jc w:val="both"/>
                      <w:rPr>
                        <w:rFonts w:ascii="Times New Roman" w:hAnsi="Times New Roman" w:cs="Times New Roman"/>
                        <w:szCs w:val="21"/>
                      </w:rPr>
                    </w:pPr>
                    <w:r>
                      <w:rPr>
                        <w:rFonts w:ascii="Times New Roman" w:hAnsi="Times New Roman" w:cs="Times New Roman"/>
                      </w:rPr>
                      <w:t>2010</w:t>
                    </w:r>
                    <w:r>
                      <w:rPr>
                        <w:rFonts w:ascii="Times New Roman" w:cs="Times New Roman"/>
                      </w:rPr>
                      <w:t>年合肥芳草工业园财政补助，初始入账</w:t>
                    </w:r>
                    <w:r>
                      <w:rPr>
                        <w:rFonts w:ascii="Times New Roman" w:hAnsi="Times New Roman" w:cs="Times New Roman"/>
                      </w:rPr>
                      <w:t>881</w:t>
                    </w:r>
                    <w:r>
                      <w:rPr>
                        <w:rFonts w:ascii="Times New Roman" w:cs="Times New Roman"/>
                      </w:rPr>
                      <w:t>万</w:t>
                    </w:r>
                  </w:p>
                </w:tc>
              </w:tr>
            </w:sdtContent>
          </w:sdt>
          <w:sdt>
            <w:sdtPr>
              <w:rPr>
                <w:rFonts w:ascii="Times New Roman" w:hAnsi="Times New Roman" w:cs="Times New Roman"/>
                <w:szCs w:val="21"/>
              </w:rPr>
              <w:alias w:val="递延收益明细"/>
              <w:tag w:val="_TUP_bb0c0ca59e3d4d279e0ece6e30d3f6f4"/>
              <w:id w:val="86572588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2" w:type="pct"/>
                    <w:shd w:val="clear" w:color="auto" w:fill="auto"/>
                    <w:vAlign w:val="center"/>
                  </w:tcPr>
                  <w:p>
                    <w:pPr>
                      <w:jc w:val="both"/>
                      <w:rPr>
                        <w:rFonts w:ascii="Times New Roman" w:hAnsi="Times New Roman" w:cs="Times New Roman"/>
                        <w:szCs w:val="21"/>
                      </w:rPr>
                    </w:pPr>
                    <w:r>
                      <w:rPr>
                        <w:rFonts w:ascii="Times New Roman" w:cs="Times New Roman"/>
                      </w:rPr>
                      <w:t>全渠道大数据营销管理云平台建设项目</w:t>
                    </w:r>
                  </w:p>
                </w:tc>
                <w:tc>
                  <w:tcPr>
                    <w:tcW w:w="820" w:type="pct"/>
                    <w:shd w:val="clear" w:color="auto" w:fill="auto"/>
                    <w:vAlign w:val="center"/>
                  </w:tcPr>
                  <w:p>
                    <w:pPr>
                      <w:jc w:val="right"/>
                      <w:rPr>
                        <w:rFonts w:ascii="Times New Roman" w:hAnsi="Times New Roman" w:cs="Times New Roman"/>
                        <w:szCs w:val="21"/>
                      </w:rPr>
                    </w:pPr>
                    <w:r>
                      <w:rPr>
                        <w:rFonts w:ascii="Times New Roman" w:hAnsi="Times New Roman" w:cs="Times New Roman"/>
                      </w:rPr>
                      <w:t>1,044,000.00</w:t>
                    </w:r>
                  </w:p>
                </w:tc>
                <w:tc>
                  <w:tcPr>
                    <w:tcW w:w="817" w:type="pct"/>
                    <w:shd w:val="clear" w:color="auto" w:fill="auto"/>
                    <w:vAlign w:val="center"/>
                  </w:tcPr>
                  <w:p>
                    <w:pPr>
                      <w:jc w:val="right"/>
                      <w:rPr>
                        <w:rFonts w:ascii="Times New Roman" w:hAnsi="Times New Roman" w:cs="Times New Roman"/>
                        <w:szCs w:val="21"/>
                      </w:rPr>
                    </w:pPr>
                  </w:p>
                </w:tc>
                <w:tc>
                  <w:tcPr>
                    <w:tcW w:w="809" w:type="pct"/>
                    <w:shd w:val="clear" w:color="auto" w:fill="auto"/>
                    <w:vAlign w:val="center"/>
                  </w:tcPr>
                  <w:p>
                    <w:pPr>
                      <w:jc w:val="right"/>
                      <w:rPr>
                        <w:rFonts w:ascii="Times New Roman" w:hAnsi="Times New Roman" w:cs="Times New Roman"/>
                        <w:szCs w:val="21"/>
                      </w:rPr>
                    </w:pPr>
                    <w:r>
                      <w:rPr>
                        <w:rFonts w:ascii="Times New Roman" w:hAnsi="Times New Roman" w:cs="Times New Roman"/>
                      </w:rPr>
                      <w:t>116,000.04</w:t>
                    </w:r>
                  </w:p>
                </w:tc>
                <w:tc>
                  <w:tcPr>
                    <w:tcW w:w="833" w:type="pct"/>
                    <w:shd w:val="clear" w:color="auto" w:fill="auto"/>
                    <w:vAlign w:val="center"/>
                  </w:tcPr>
                  <w:p>
                    <w:pPr>
                      <w:jc w:val="right"/>
                      <w:rPr>
                        <w:rFonts w:ascii="Times New Roman" w:hAnsi="Times New Roman" w:cs="Times New Roman"/>
                        <w:szCs w:val="21"/>
                      </w:rPr>
                    </w:pPr>
                    <w:r>
                      <w:rPr>
                        <w:rFonts w:ascii="Times New Roman" w:hAnsi="Times New Roman" w:cs="Times New Roman"/>
                      </w:rPr>
                      <w:t>927,999.96</w:t>
                    </w:r>
                  </w:p>
                </w:tc>
                <w:tc>
                  <w:tcPr>
                    <w:tcW w:w="879" w:type="pct"/>
                    <w:shd w:val="clear" w:color="auto" w:fill="auto"/>
                    <w:vAlign w:val="center"/>
                  </w:tcPr>
                  <w:p>
                    <w:pPr>
                      <w:jc w:val="both"/>
                      <w:rPr>
                        <w:rFonts w:ascii="Times New Roman" w:hAnsi="Times New Roman" w:cs="Times New Roman"/>
                        <w:szCs w:val="21"/>
                      </w:rPr>
                    </w:pPr>
                    <w:r>
                      <w:rPr>
                        <w:rFonts w:ascii="Times New Roman" w:cs="Times New Roman"/>
                      </w:rPr>
                      <w:t>本公司</w:t>
                    </w:r>
                    <w:r>
                      <w:rPr>
                        <w:rFonts w:ascii="Times New Roman" w:hAnsi="Times New Roman" w:cs="Times New Roman"/>
                      </w:rPr>
                      <w:t>2020</w:t>
                    </w:r>
                    <w:r>
                      <w:rPr>
                        <w:rFonts w:ascii="Times New Roman" w:cs="Times New Roman"/>
                      </w:rPr>
                      <w:t>年收到项目资金</w:t>
                    </w:r>
                    <w:r>
                      <w:rPr>
                        <w:rFonts w:ascii="Times New Roman" w:hAnsi="Times New Roman" w:cs="Times New Roman"/>
                      </w:rPr>
                      <w:t>116</w:t>
                    </w:r>
                    <w:r>
                      <w:rPr>
                        <w:rFonts w:ascii="Times New Roman" w:cs="Times New Roman"/>
                      </w:rPr>
                      <w:t>万元</w:t>
                    </w:r>
                  </w:p>
                </w:tc>
              </w:tr>
            </w:sdtContent>
          </w:sdt>
          <w:sdt>
            <w:sdtPr>
              <w:rPr>
                <w:rFonts w:ascii="Times New Roman" w:hAnsi="Times New Roman" w:cs="Times New Roman"/>
                <w:szCs w:val="21"/>
              </w:rPr>
              <w:alias w:val="递延收益明细"/>
              <w:tag w:val="_TUP_bb0c0ca59e3d4d279e0ece6e30d3f6f4"/>
              <w:id w:val="86572588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42" w:type="pct"/>
                    <w:shd w:val="clear" w:color="auto" w:fill="auto"/>
                    <w:vAlign w:val="center"/>
                  </w:tcPr>
                  <w:p>
                    <w:pPr>
                      <w:jc w:val="both"/>
                      <w:rPr>
                        <w:rFonts w:ascii="Times New Roman" w:hAnsi="Times New Roman" w:cs="Times New Roman"/>
                        <w:szCs w:val="21"/>
                      </w:rPr>
                    </w:pPr>
                    <w:r>
                      <w:rPr>
                        <w:rFonts w:ascii="Times New Roman" w:cs="Times New Roman"/>
                      </w:rPr>
                      <w:t>植物</w:t>
                    </w:r>
                    <w:r>
                      <w:rPr>
                        <w:rFonts w:ascii="Times New Roman" w:hAnsi="Times New Roman" w:cs="Times New Roman"/>
                      </w:rPr>
                      <w:t>—Ag</w:t>
                    </w:r>
                    <w:r>
                      <w:rPr>
                        <w:rFonts w:ascii="Times New Roman" w:cs="Times New Roman"/>
                      </w:rPr>
                      <w:t>离子复合型消毒剂研发</w:t>
                    </w:r>
                  </w:p>
                </w:tc>
                <w:tc>
                  <w:tcPr>
                    <w:tcW w:w="820" w:type="pct"/>
                    <w:shd w:val="clear" w:color="auto" w:fill="auto"/>
                    <w:vAlign w:val="center"/>
                  </w:tcPr>
                  <w:p>
                    <w:pPr>
                      <w:jc w:val="right"/>
                      <w:rPr>
                        <w:rFonts w:ascii="Times New Roman" w:hAnsi="Times New Roman" w:cs="Times New Roman"/>
                        <w:szCs w:val="21"/>
                      </w:rPr>
                    </w:pPr>
                  </w:p>
                </w:tc>
                <w:tc>
                  <w:tcPr>
                    <w:tcW w:w="817" w:type="pct"/>
                    <w:shd w:val="clear" w:color="auto" w:fill="auto"/>
                    <w:vAlign w:val="center"/>
                  </w:tcPr>
                  <w:p>
                    <w:pPr>
                      <w:jc w:val="right"/>
                      <w:rPr>
                        <w:rFonts w:ascii="Times New Roman" w:hAnsi="Times New Roman" w:cs="Times New Roman"/>
                        <w:szCs w:val="21"/>
                      </w:rPr>
                    </w:pPr>
                    <w:r>
                      <w:rPr>
                        <w:rFonts w:ascii="Times New Roman" w:hAnsi="Times New Roman" w:cs="Times New Roman"/>
                      </w:rPr>
                      <w:t>130,000.00</w:t>
                    </w:r>
                  </w:p>
                </w:tc>
                <w:tc>
                  <w:tcPr>
                    <w:tcW w:w="809" w:type="pct"/>
                    <w:shd w:val="clear" w:color="auto" w:fill="auto"/>
                    <w:vAlign w:val="center"/>
                  </w:tcPr>
                  <w:p>
                    <w:pPr>
                      <w:jc w:val="right"/>
                      <w:rPr>
                        <w:rFonts w:ascii="Times New Roman" w:hAnsi="Times New Roman" w:cs="Times New Roman"/>
                        <w:szCs w:val="21"/>
                      </w:rPr>
                    </w:pPr>
                  </w:p>
                </w:tc>
                <w:tc>
                  <w:tcPr>
                    <w:tcW w:w="833" w:type="pct"/>
                    <w:shd w:val="clear" w:color="auto" w:fill="auto"/>
                    <w:vAlign w:val="center"/>
                  </w:tcPr>
                  <w:p>
                    <w:pPr>
                      <w:jc w:val="right"/>
                      <w:rPr>
                        <w:rFonts w:ascii="Times New Roman" w:hAnsi="Times New Roman" w:cs="Times New Roman"/>
                        <w:szCs w:val="21"/>
                      </w:rPr>
                    </w:pPr>
                    <w:r>
                      <w:rPr>
                        <w:rFonts w:ascii="Times New Roman" w:hAnsi="Times New Roman" w:cs="Times New Roman"/>
                      </w:rPr>
                      <w:t>130,000.00</w:t>
                    </w:r>
                  </w:p>
                </w:tc>
                <w:tc>
                  <w:tcPr>
                    <w:tcW w:w="879" w:type="pct"/>
                    <w:shd w:val="clear" w:color="auto" w:fill="auto"/>
                  </w:tcPr>
                  <w:p>
                    <w:pPr>
                      <w:rPr>
                        <w:rFonts w:ascii="Times New Roman" w:hAnsi="Times New Roman" w:cs="Times New Roman"/>
                        <w:szCs w:val="21"/>
                      </w:rPr>
                    </w:pPr>
                    <w:r>
                      <w:rPr>
                        <w:rFonts w:ascii="Times New Roman" w:cs="Times New Roman"/>
                      </w:rPr>
                      <w:t>本公司</w:t>
                    </w:r>
                    <w:r>
                      <w:rPr>
                        <w:rFonts w:ascii="Times New Roman" w:hAnsi="Times New Roman" w:cs="Times New Roman"/>
                      </w:rPr>
                      <w:t>2021</w:t>
                    </w:r>
                    <w:r>
                      <w:rPr>
                        <w:rFonts w:ascii="Times New Roman" w:cs="Times New Roman"/>
                      </w:rPr>
                      <w:t>年收到项目资金</w:t>
                    </w:r>
                    <w:r>
                      <w:rPr>
                        <w:rFonts w:ascii="Times New Roman" w:hAnsi="Times New Roman" w:cs="Times New Roman"/>
                      </w:rPr>
                      <w:t>13</w:t>
                    </w:r>
                    <w:r>
                      <w:rPr>
                        <w:rFonts w:ascii="Times New Roman" w:cs="Times New Roman"/>
                      </w:rPr>
                      <w:t>万元</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ae092bfcbb914e4ea850ab4195c0f4b9"/>
                <w:id w:val="865725887"/>
                <w:lock w:val="sdtLocked"/>
              </w:sdtPr>
              <w:sdtEndPr>
                <w:rPr>
                  <w:rFonts w:ascii="Times New Roman" w:hAnsi="Times New Roman" w:cs="Times New Roman"/>
                </w:rPr>
              </w:sdtEndPr>
              <w:sdtContent>
                <w:tc>
                  <w:tcPr>
                    <w:tcW w:w="842" w:type="pct"/>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820" w:type="pct"/>
                <w:shd w:val="clear" w:color="auto" w:fill="auto"/>
                <w:vAlign w:val="center"/>
              </w:tcPr>
              <w:p>
                <w:pPr>
                  <w:jc w:val="right"/>
                  <w:rPr>
                    <w:rFonts w:ascii="Times New Roman" w:hAnsi="Times New Roman" w:cs="Times New Roman"/>
                    <w:sz w:val="24"/>
                  </w:rPr>
                </w:pPr>
                <w:r>
                  <w:rPr>
                    <w:rFonts w:ascii="Times New Roman" w:hAnsi="Times New Roman" w:cs="Times New Roman"/>
                  </w:rPr>
                  <w:t>9,078,524.99</w:t>
                </w:r>
              </w:p>
            </w:tc>
            <w:tc>
              <w:tcPr>
                <w:tcW w:w="817" w:type="pct"/>
                <w:shd w:val="clear" w:color="auto" w:fill="auto"/>
                <w:vAlign w:val="center"/>
              </w:tcPr>
              <w:p>
                <w:pPr>
                  <w:jc w:val="right"/>
                  <w:rPr>
                    <w:rFonts w:ascii="Times New Roman" w:hAnsi="Times New Roman" w:cs="Times New Roman"/>
                    <w:sz w:val="24"/>
                  </w:rPr>
                </w:pPr>
                <w:r>
                  <w:rPr>
                    <w:rFonts w:ascii="Times New Roman" w:hAnsi="Times New Roman" w:cs="Times New Roman"/>
                  </w:rPr>
                  <w:t>130,000.00</w:t>
                </w:r>
              </w:p>
            </w:tc>
            <w:tc>
              <w:tcPr>
                <w:tcW w:w="809" w:type="pct"/>
                <w:shd w:val="clear" w:color="auto" w:fill="auto"/>
                <w:vAlign w:val="center"/>
              </w:tcPr>
              <w:p>
                <w:pPr>
                  <w:jc w:val="right"/>
                  <w:rPr>
                    <w:rFonts w:ascii="Times New Roman" w:hAnsi="Times New Roman" w:cs="Times New Roman"/>
                    <w:sz w:val="24"/>
                  </w:rPr>
                </w:pPr>
                <w:r>
                  <w:rPr>
                    <w:rFonts w:ascii="Times New Roman" w:hAnsi="Times New Roman" w:cs="Times New Roman"/>
                  </w:rPr>
                  <w:t>397,978.42</w:t>
                </w:r>
              </w:p>
            </w:tc>
            <w:tc>
              <w:tcPr>
                <w:tcW w:w="833" w:type="pct"/>
                <w:shd w:val="clear" w:color="auto" w:fill="auto"/>
                <w:vAlign w:val="center"/>
              </w:tcPr>
              <w:p>
                <w:pPr>
                  <w:jc w:val="right"/>
                  <w:rPr>
                    <w:rFonts w:ascii="Times New Roman" w:hAnsi="Times New Roman" w:cs="Times New Roman"/>
                    <w:sz w:val="24"/>
                  </w:rPr>
                </w:pPr>
                <w:r>
                  <w:rPr>
                    <w:rFonts w:ascii="Times New Roman" w:hAnsi="Times New Roman" w:cs="Times New Roman"/>
                  </w:rPr>
                  <w:t>8,810,546.57</w:t>
                </w:r>
              </w:p>
            </w:tc>
            <w:tc>
              <w:tcPr>
                <w:tcW w:w="879" w:type="pct"/>
                <w:shd w:val="clear" w:color="auto" w:fill="auto"/>
              </w:tcPr>
              <w:p>
                <w:pPr>
                  <w:jc w:val="center"/>
                  <w:rPr>
                    <w:rFonts w:ascii="Times New Roman" w:hAnsi="Times New Roman" w:cs="Times New Roman"/>
                    <w:szCs w:val="21"/>
                  </w:rPr>
                </w:pPr>
                <w:r>
                  <w:rPr>
                    <w:rFonts w:ascii="Times New Roman" w:hAnsi="Times New Roman" w:cs="Times New Roman"/>
                    <w:szCs w:val="21"/>
                  </w:rPr>
                  <w:t>/</w:t>
                </w:r>
              </w:p>
            </w:tc>
          </w:tr>
        </w:tbl>
        <w:p>
          <w:pPr>
            <w:widowControl w:val="0"/>
            <w:adjustRightInd w:val="0"/>
            <w:snapToGrid w:val="0"/>
            <w:spacing w:line="480" w:lineRule="exact"/>
            <w:ind w:firstLine="420" w:firstLineChars="200"/>
            <w:jc w:val="both"/>
            <w:rPr>
              <w:rFonts w:ascii="Times New Roman" w:hAnsi="Times New Roman" w:cs="Times New Roman" w:eastAsiaTheme="minorEastAsia"/>
              <w:szCs w:val="21"/>
            </w:rPr>
          </w:pPr>
          <w:r>
            <w:rPr>
              <w:rFonts w:ascii="Times New Roman" w:cs="Times New Roman" w:hAnsiTheme="minorEastAsia" w:eastAsiaTheme="minorEastAsia"/>
              <w:szCs w:val="21"/>
            </w:rPr>
            <w:t>注：根据柳州市科学技术局与本公司签订的柳州市科技项目合同的约定，本年度公司收到植物</w:t>
          </w:r>
          <w:r>
            <w:rPr>
              <w:rFonts w:ascii="Times New Roman" w:hAnsi="Times New Roman" w:cs="Times New Roman" w:eastAsiaTheme="minorEastAsia"/>
              <w:szCs w:val="21"/>
            </w:rPr>
            <w:t>—Ag</w:t>
          </w:r>
          <w:r>
            <w:rPr>
              <w:rFonts w:ascii="Times New Roman" w:cs="Times New Roman" w:hAnsiTheme="minorEastAsia" w:eastAsiaTheme="minorEastAsia"/>
              <w:szCs w:val="21"/>
            </w:rPr>
            <w:t>离子复合型消毒剂研发项目科技经费</w:t>
          </w:r>
          <w:r>
            <w:rPr>
              <w:rFonts w:ascii="Times New Roman" w:hAnsi="Times New Roman" w:cs="Times New Roman" w:eastAsiaTheme="minorEastAsia"/>
              <w:szCs w:val="21"/>
            </w:rPr>
            <w:t>13.00</w:t>
          </w:r>
          <w:r>
            <w:rPr>
              <w:rFonts w:ascii="Times New Roman" w:cs="Times New Roman" w:hAnsiTheme="minorEastAsia" w:eastAsiaTheme="minorEastAsia"/>
              <w:szCs w:val="21"/>
            </w:rPr>
            <w:t>万元。</w:t>
          </w:r>
        </w:p>
        <w:p>
          <w:pPr>
            <w:rPr>
              <w:rFonts w:ascii="Times New Roman" w:hAnsi="Times New Roman" w:cs="Times New Roman"/>
              <w:szCs w:val="21"/>
            </w:rPr>
          </w:pPr>
        </w:p>
        <w:p/>
      </w:sdtContent>
    </w:sdt>
    <w:sdt>
      <w:sdtPr>
        <w:rPr>
          <w:rFonts w:hint="eastAsia"/>
          <w:szCs w:val="21"/>
        </w:rPr>
        <w:alias w:val="模块:涉及政府补助的负债项目"/>
        <w:tag w:val="_SEC_8d3befcc5cef4618a8781744946ac9ad"/>
        <w:id w:val="865725907"/>
        <w:lock w:val="sdtLocked"/>
        <w:placeholder>
          <w:docPart w:val="GBC22222222222222222222222222222"/>
        </w:placeholder>
      </w:sdtPr>
      <w:sdtEndPr>
        <w:rPr>
          <w:rFonts w:hint="default"/>
          <w:szCs w:val="24"/>
        </w:rPr>
      </w:sdtEndPr>
      <w:sdtContent>
        <w:p>
          <w:pPr>
            <w:spacing w:before="60" w:after="60"/>
            <w:rPr>
              <w:szCs w:val="21"/>
            </w:rPr>
          </w:pPr>
          <w:bookmarkStart w:id="205" w:name="_Hlk532902569"/>
          <w:r>
            <w:rPr>
              <w:rFonts w:hint="eastAsia"/>
              <w:szCs w:val="21"/>
            </w:rPr>
            <w:t>涉及政府补助的项目：</w:t>
          </w:r>
        </w:p>
        <w:sdt>
          <w:sdtPr>
            <w:rPr>
              <w:szCs w:val="21"/>
            </w:rPr>
            <w:alias w:val="是否适用：涉及政府补助的项目_递延收益[双击切换]"/>
            <w:tag w:val="_GBC_feac278b5163472d8d82d1371d429354"/>
            <w:id w:val="865725889"/>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865725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865725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79"/>
            <w:gridCol w:w="1437"/>
            <w:gridCol w:w="1171"/>
            <w:gridCol w:w="745"/>
            <w:gridCol w:w="1171"/>
            <w:gridCol w:w="531"/>
            <w:gridCol w:w="1439"/>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rFonts w:ascii="Times New Roman" w:hAnsi="Times New Roman" w:cs="Times New Roman"/>
                </w:rPr>
                <w:tag w:val="_PLD_32eff034d92d4cfdac78650437120e87"/>
                <w:id w:val="865725892"/>
                <w:lock w:val="sdtLocked"/>
              </w:sdtPr>
              <w:sdtEndPr>
                <w:rPr>
                  <w:rFonts w:ascii="Times New Roman" w:hAnsi="Times New Roman" w:cs="Times New Roman"/>
                </w:rPr>
              </w:sdtEndPr>
              <w:sdtContent>
                <w:tc>
                  <w:tcPr>
                    <w:tcW w:w="77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bookmarkStart w:id="206" w:name="_Hlk532902543"/>
                    <w:r>
                      <w:rPr>
                        <w:rFonts w:ascii="Times New Roman" w:cs="Times New Roman"/>
                        <w:szCs w:val="21"/>
                      </w:rPr>
                      <w:t>负债项目</w:t>
                    </w:r>
                  </w:p>
                </w:tc>
              </w:sdtContent>
            </w:sdt>
            <w:sdt>
              <w:sdtPr>
                <w:rPr>
                  <w:rFonts w:ascii="Times New Roman" w:hAnsi="Times New Roman" w:cs="Times New Roman"/>
                </w:rPr>
                <w:tag w:val="_PLD_6b8b04d30cad4566aa98e48a212cd018"/>
                <w:id w:val="865725893"/>
                <w:lock w:val="sdtLocked"/>
              </w:sdtPr>
              <w:sdtEndPr>
                <w:rPr>
                  <w:rFonts w:ascii="Times New Roman" w:hAnsi="Times New Roman" w:cs="Times New Roman"/>
                </w:rPr>
              </w:sdtEndPr>
              <w:sdtContent>
                <w:tc>
                  <w:tcPr>
                    <w:tcW w:w="80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期初余额</w:t>
                    </w:r>
                  </w:p>
                </w:tc>
              </w:sdtContent>
            </w:sdt>
            <w:sdt>
              <w:sdtPr>
                <w:rPr>
                  <w:rFonts w:ascii="Times New Roman" w:hAnsi="Times New Roman" w:cs="Times New Roman"/>
                </w:rPr>
                <w:tag w:val="_PLD_e3f7db3d344d46f3a8ac40a6c0f54b04"/>
                <w:id w:val="865725894"/>
                <w:lock w:val="sdtLocked"/>
              </w:sdtPr>
              <w:sdtEndPr>
                <w:rPr>
                  <w:rFonts w:ascii="Times New Roman" w:hAnsi="Times New Roman" w:cs="Times New Roman"/>
                </w:rPr>
              </w:sdtEndPr>
              <w:sdtContent>
                <w:tc>
                  <w:tcPr>
                    <w:tcW w:w="6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本期新增补助金额</w:t>
                    </w:r>
                  </w:p>
                </w:tc>
              </w:sdtContent>
            </w:sdt>
            <w:sdt>
              <w:sdtPr>
                <w:rPr>
                  <w:rFonts w:ascii="Times New Roman" w:hAnsi="Times New Roman" w:cs="Times New Roman"/>
                </w:rPr>
                <w:tag w:val="_PLD_e0684930f8044d8fb633a5b3b2b7015f"/>
                <w:id w:val="865725895"/>
                <w:lock w:val="sdtLocked"/>
              </w:sdtPr>
              <w:sdtEndPr>
                <w:rPr>
                  <w:rFonts w:ascii="Times New Roman" w:hAnsi="Times New Roman" w:cs="Times New Roman"/>
                </w:rPr>
              </w:sdtEndPr>
              <w:sdtContent>
                <w:tc>
                  <w:tcPr>
                    <w:tcW w:w="4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本期计入营业外收入金额</w:t>
                    </w:r>
                  </w:p>
                </w:tc>
              </w:sdtContent>
            </w:sdt>
            <w:tc>
              <w:tcPr>
                <w:tcW w:w="655" w:type="pct"/>
                <w:tcBorders>
                  <w:top w:val="single" w:color="auto" w:sz="4" w:space="0"/>
                  <w:left w:val="single" w:color="auto" w:sz="4" w:space="0"/>
                  <w:bottom w:val="single" w:color="auto" w:sz="4" w:space="0"/>
                  <w:right w:val="single" w:color="auto" w:sz="4" w:space="0"/>
                </w:tcBorders>
              </w:tcPr>
              <w:sdt>
                <w:sdtPr>
                  <w:rPr>
                    <w:rFonts w:ascii="Times New Roman" w:hAnsi="Times New Roman" w:cs="Times New Roman"/>
                  </w:rPr>
                  <w:tag w:val="_PLD_c1024a6e8c9a40abb33d53361407d3fb"/>
                  <w:id w:val="865725896"/>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本期计入其他收益金额</w:t>
                    </w:r>
                  </w:p>
                </w:sdtContent>
              </w:sdt>
            </w:tc>
            <w:sdt>
              <w:sdtPr>
                <w:rPr>
                  <w:rFonts w:ascii="Times New Roman" w:hAnsi="Times New Roman" w:cs="Times New Roman"/>
                </w:rPr>
                <w:tag w:val="_PLD_61a1de166e8e440b8f858efc3615c33f"/>
                <w:id w:val="865725897"/>
                <w:lock w:val="sdtLocked"/>
              </w:sdtPr>
              <w:sdtEndPr>
                <w:rPr>
                  <w:rFonts w:ascii="Times New Roman" w:hAnsi="Times New Roman" w:cs="Times New Roman"/>
                </w:rPr>
              </w:sdtEndPr>
              <w:sdtContent>
                <w:tc>
                  <w:tcPr>
                    <w:tcW w:w="2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其他变动</w:t>
                    </w:r>
                  </w:p>
                </w:tc>
              </w:sdtContent>
            </w:sdt>
            <w:sdt>
              <w:sdtPr>
                <w:rPr>
                  <w:rFonts w:ascii="Times New Roman" w:hAnsi="Times New Roman" w:cs="Times New Roman"/>
                </w:rPr>
                <w:tag w:val="_PLD_5e7663577b4c4e42aabbd04ac10ecfbb"/>
                <w:id w:val="865725898"/>
                <w:lock w:val="sdtLocked"/>
              </w:sdtPr>
              <w:sdtEndPr>
                <w:rPr>
                  <w:rFonts w:ascii="Times New Roman" w:hAnsi="Times New Roman" w:cs="Times New Roman"/>
                </w:rPr>
              </w:sdtEndPr>
              <w:sdtContent>
                <w:tc>
                  <w:tcPr>
                    <w:tcW w:w="8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b3abd7b748b949d4b39849146d1b03f2"/>
                <w:id w:val="865725899"/>
                <w:lock w:val="sdtLocked"/>
              </w:sdtPr>
              <w:sdtEndPr>
                <w:rPr>
                  <w:rFonts w:ascii="Times New Roman" w:hAnsi="Times New Roman" w:cs="Times New Roman"/>
                </w:rPr>
              </w:sdtEndPr>
              <w:sdtContent>
                <w:tc>
                  <w:tcPr>
                    <w:tcW w:w="59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与资产相关</w:t>
                    </w:r>
                    <w:r>
                      <w:rPr>
                        <w:rFonts w:ascii="Times New Roman" w:hAnsi="Times New Roman" w:cs="Times New Roman"/>
                        <w:szCs w:val="21"/>
                      </w:rPr>
                      <w:t>/</w:t>
                    </w:r>
                    <w:r>
                      <w:rPr>
                        <w:rFonts w:ascii="Times New Roman" w:cs="Times New Roman"/>
                        <w:szCs w:val="21"/>
                      </w:rPr>
                      <w:t>与收益相关</w:t>
                    </w:r>
                  </w:p>
                </w:tc>
              </w:sdtContent>
            </w:sdt>
          </w:tr>
          <w:sdt>
            <w:sdtPr>
              <w:rPr>
                <w:rFonts w:ascii="Times New Roman" w:hAnsi="Times New Roman" w:cs="Times New Roman"/>
                <w:szCs w:val="21"/>
              </w:rPr>
              <w:alias w:val="涉及政府补助的负债项目明细"/>
              <w:tag w:val="_TUP_18b74354bae84fc8af0f06e77d03f295"/>
              <w:id w:val="86572590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rPr>
                      <w:t>节能减排项目</w:t>
                    </w:r>
                  </w:p>
                </w:tc>
                <w:tc>
                  <w:tcPr>
                    <w:tcW w:w="80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759,604.15</w:t>
                    </w:r>
                  </w:p>
                </w:tc>
                <w:tc>
                  <w:tcPr>
                    <w:tcW w:w="65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41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6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71,828.40</w:t>
                    </w:r>
                  </w:p>
                </w:tc>
                <w:tc>
                  <w:tcPr>
                    <w:tcW w:w="29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0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687,775.75</w:t>
                    </w:r>
                  </w:p>
                </w:tc>
                <w:tc>
                  <w:tcPr>
                    <w:tcW w:w="595"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86572590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rPr>
                      <w:t>愈创木酚磺酸钾项目</w:t>
                    </w:r>
                  </w:p>
                </w:tc>
                <w:tc>
                  <w:tcPr>
                    <w:tcW w:w="80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262,278.60</w:t>
                    </w:r>
                  </w:p>
                </w:tc>
                <w:tc>
                  <w:tcPr>
                    <w:tcW w:w="65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41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6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33,360.70</w:t>
                    </w:r>
                  </w:p>
                </w:tc>
                <w:tc>
                  <w:tcPr>
                    <w:tcW w:w="29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0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228,917.90</w:t>
                    </w:r>
                  </w:p>
                </w:tc>
                <w:tc>
                  <w:tcPr>
                    <w:tcW w:w="595"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86572590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rPr>
                      <w:t>安徽芳草工业园财政补助</w:t>
                    </w:r>
                  </w:p>
                </w:tc>
                <w:tc>
                  <w:tcPr>
                    <w:tcW w:w="80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7,012,642.24</w:t>
                    </w:r>
                  </w:p>
                </w:tc>
                <w:tc>
                  <w:tcPr>
                    <w:tcW w:w="65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41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6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176,789.28</w:t>
                    </w:r>
                  </w:p>
                </w:tc>
                <w:tc>
                  <w:tcPr>
                    <w:tcW w:w="29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0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6,835,852.96</w:t>
                    </w:r>
                  </w:p>
                </w:tc>
                <w:tc>
                  <w:tcPr>
                    <w:tcW w:w="595"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86572590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rPr>
                      <w:t>全渠道大数据营销管理云平台建设项目</w:t>
                    </w:r>
                  </w:p>
                </w:tc>
                <w:tc>
                  <w:tcPr>
                    <w:tcW w:w="80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1,044,000.00</w:t>
                    </w:r>
                  </w:p>
                </w:tc>
                <w:tc>
                  <w:tcPr>
                    <w:tcW w:w="65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41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6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r>
                      <w:rPr>
                        <w:rFonts w:ascii="Times New Roman" w:hAnsi="Times New Roman" w:cs="Times New Roman"/>
                      </w:rPr>
                      <w:t>116,000.04</w:t>
                    </w:r>
                  </w:p>
                </w:tc>
                <w:tc>
                  <w:tcPr>
                    <w:tcW w:w="29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0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927,999.96</w:t>
                    </w:r>
                  </w:p>
                </w:tc>
                <w:tc>
                  <w:tcPr>
                    <w:tcW w:w="595"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86572590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rPr>
                      <w:t>植物</w:t>
                    </w:r>
                    <w:r>
                      <w:rPr>
                        <w:rFonts w:ascii="Times New Roman" w:hAnsi="Times New Roman" w:cs="Times New Roman"/>
                      </w:rPr>
                      <w:t>—Ag</w:t>
                    </w:r>
                    <w:r>
                      <w:rPr>
                        <w:rFonts w:ascii="Times New Roman" w:cs="Times New Roman"/>
                      </w:rPr>
                      <w:t>离子复合型消毒剂研发</w:t>
                    </w:r>
                  </w:p>
                </w:tc>
                <w:tc>
                  <w:tcPr>
                    <w:tcW w:w="80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65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130,000.00</w:t>
                    </w:r>
                  </w:p>
                </w:tc>
                <w:tc>
                  <w:tcPr>
                    <w:tcW w:w="41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6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29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0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130,000.00</w:t>
                    </w:r>
                  </w:p>
                </w:tc>
                <w:tc>
                  <w:tcPr>
                    <w:tcW w:w="595"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86572590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p>
                </w:tc>
                <w:tc>
                  <w:tcPr>
                    <w:tcW w:w="80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65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41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6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29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805"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595"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p>
                </w:tc>
              </w:tr>
            </w:sdtContent>
          </w:sdt>
          <w:sdt>
            <w:sdtPr>
              <w:rPr>
                <w:rFonts w:ascii="Times New Roman" w:hAnsi="Times New Roman" w:cs="Times New Roman"/>
                <w:szCs w:val="21"/>
              </w:rPr>
              <w:alias w:val="涉及政府补助的负债项目明细"/>
              <w:tag w:val="_TUP_18b74354bae84fc8af0f06e77d03f295"/>
              <w:id w:val="86572590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rPr>
                      <w:t>合计</w:t>
                    </w:r>
                  </w:p>
                </w:tc>
                <w:tc>
                  <w:tcPr>
                    <w:tcW w:w="80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9,078,524.99</w:t>
                    </w:r>
                  </w:p>
                </w:tc>
                <w:tc>
                  <w:tcPr>
                    <w:tcW w:w="65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130,000.00</w:t>
                    </w:r>
                  </w:p>
                </w:tc>
                <w:tc>
                  <w:tcPr>
                    <w:tcW w:w="41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65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397,978.42</w:t>
                    </w:r>
                  </w:p>
                </w:tc>
                <w:tc>
                  <w:tcPr>
                    <w:tcW w:w="29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80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8,810,546.57</w:t>
                    </w:r>
                  </w:p>
                </w:tc>
                <w:tc>
                  <w:tcPr>
                    <w:tcW w:w="595"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p>
                </w:tc>
              </w:tr>
            </w:sdtContent>
          </w:sdt>
        </w:tbl>
        <w:p/>
        <w:p/>
      </w:sdtContent>
    </w:sdt>
    <w:bookmarkEnd w:id="205"/>
    <w:bookmarkEnd w:id="206"/>
    <w:sdt>
      <w:sdtPr>
        <w:rPr>
          <w:rFonts w:hint="eastAsia"/>
          <w:szCs w:val="21"/>
        </w:rPr>
        <w:alias w:val="模块:递延收益其他说明"/>
        <w:tag w:val="_SEC_7cd38d14438443479401d71c7f066fdf"/>
        <w:id w:val="865725909"/>
        <w:lock w:val="sdtLocked"/>
        <w:placeholder>
          <w:docPart w:val="GBC22222222222222222222222222222"/>
        </w:placeholder>
      </w:sdtPr>
      <w:sdtEndPr>
        <w:rPr>
          <w:rFonts w:hint="default"/>
          <w:szCs w:val="21"/>
        </w:rPr>
      </w:sdtEndPr>
      <w:sdtContent>
        <w:p>
          <w:pPr>
            <w:spacing w:before="60" w:after="60"/>
            <w:rPr>
              <w:szCs w:val="21"/>
            </w:rPr>
          </w:pPr>
          <w:bookmarkStart w:id="207" w:name="OLE_LINK84"/>
          <w:bookmarkStart w:id="208" w:name="OLE_LINK85"/>
          <w:r>
            <w:rPr>
              <w:rFonts w:hint="eastAsia"/>
              <w:szCs w:val="21"/>
            </w:rPr>
            <w:t>其他说明：</w:t>
          </w:r>
        </w:p>
        <w:sdt>
          <w:sdtPr>
            <w:rPr>
              <w:szCs w:val="21"/>
            </w:rPr>
            <w:alias w:val="是否适用：递延收益的其他说明[双击切换]"/>
            <w:tag w:val="_GBC_0c28db54a76349869056f2b92b5d9400"/>
            <w:id w:val="865725908"/>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7"/>
    <w:bookmarkEnd w:id="208"/>
    <w:p>
      <w:pPr>
        <w:snapToGrid w:val="0"/>
        <w:spacing w:line="240" w:lineRule="atLeast"/>
        <w:rPr>
          <w:szCs w:val="21"/>
        </w:rPr>
      </w:pPr>
    </w:p>
    <w:sdt>
      <w:sdtPr>
        <w:rPr>
          <w:rFonts w:hint="eastAsia" w:ascii="宋体" w:hAnsi="宋体" w:cs="宋体"/>
          <w:b w:val="0"/>
          <w:bCs w:val="0"/>
          <w:kern w:val="0"/>
          <w:szCs w:val="21"/>
        </w:rPr>
        <w:alias w:val="模块:其他非流动负债"/>
        <w:tag w:val="_SEC_e6f817e4d74a4d95acbb17b048314a10"/>
        <w:id w:val="865725911"/>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4"/>
            <w:numPr>
              <w:ilvl w:val="0"/>
              <w:numId w:val="79"/>
            </w:numPr>
            <w:tabs>
              <w:tab w:val="left" w:pos="504"/>
            </w:tabs>
            <w:rPr>
              <w:rFonts w:ascii="宋体" w:hAnsi="宋体"/>
              <w:szCs w:val="21"/>
            </w:rPr>
          </w:pPr>
          <w:bookmarkStart w:id="209" w:name="_Hlk533670383"/>
          <w:r>
            <w:rPr>
              <w:rFonts w:hint="eastAsia" w:ascii="宋体" w:hAnsi="宋体"/>
              <w:szCs w:val="21"/>
            </w:rPr>
            <w:t>其他非流动负债</w:t>
          </w:r>
        </w:p>
        <w:sdt>
          <w:sdtPr>
            <w:alias w:val="是否适用：其他非流动负债[双击切换]"/>
            <w:tag w:val="_GBC_05e5676f32624ce18727385761bd1a9a"/>
            <w:id w:val="86572591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bookmarkEnd w:id="209"/>
    <w:p>
      <w:pPr>
        <w:rPr>
          <w:szCs w:val="21"/>
        </w:rPr>
      </w:pPr>
    </w:p>
    <w:sdt>
      <w:sdtPr>
        <w:rPr>
          <w:rFonts w:hint="eastAsia" w:ascii="宋体" w:hAnsi="宋体" w:cs="宋体"/>
          <w:b w:val="0"/>
          <w:bCs w:val="0"/>
          <w:kern w:val="0"/>
          <w:szCs w:val="21"/>
        </w:rPr>
        <w:alias w:val="模块:股本"/>
        <w:tag w:val="_SEC_8a6ae55fcdf4458585bca7ece234d93f"/>
        <w:id w:val="865725925"/>
        <w:lock w:val="sdtLocked"/>
        <w:placeholder>
          <w:docPart w:val="GBC22222222222222222222222222222"/>
        </w:placeholder>
      </w:sdtPr>
      <w:sdtEndPr>
        <w:rPr>
          <w:rFonts w:hint="default" w:ascii="宋体" w:hAnsi="宋体" w:cstheme="minorBidi"/>
          <w:b w:val="0"/>
          <w:bCs w:val="0"/>
          <w:color w:val="000000" w:themeColor="text1"/>
          <w:kern w:val="0"/>
          <w:szCs w:val="21"/>
        </w:rPr>
      </w:sdtEndPr>
      <w:sdtContent>
        <w:p>
          <w:pPr>
            <w:pStyle w:val="4"/>
            <w:numPr>
              <w:ilvl w:val="0"/>
              <w:numId w:val="79"/>
            </w:numPr>
            <w:tabs>
              <w:tab w:val="left" w:pos="504"/>
            </w:tabs>
            <w:rPr>
              <w:rFonts w:ascii="宋体" w:hAnsi="宋体"/>
              <w:szCs w:val="21"/>
            </w:rPr>
          </w:pPr>
          <w:r>
            <w:rPr>
              <w:rFonts w:hint="eastAsia" w:ascii="宋体" w:hAnsi="宋体"/>
              <w:szCs w:val="21"/>
            </w:rPr>
            <w:t>股本</w:t>
          </w:r>
        </w:p>
        <w:sdt>
          <w:sdtPr>
            <w:alias w:val="是否适用：股本[双击切换]"/>
            <w:tag w:val="_GBC_a2069fb3657946ee9810a9154eb11422"/>
            <w:id w:val="86572591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股本"/>
              <w:tag w:val="_GBC_e2cacf7f2d9f4ad78dce53a3e345569e"/>
              <w:id w:val="8657259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8657259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529"/>
            <w:gridCol w:w="937"/>
            <w:gridCol w:w="937"/>
            <w:gridCol w:w="1007"/>
            <w:gridCol w:w="1022"/>
            <w:gridCol w:w="995"/>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640" w:type="pct"/>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p>
            </w:tc>
            <w:sdt>
              <w:sdtPr>
                <w:rPr>
                  <w:rFonts w:ascii="Times New Roman" w:hAnsi="Times New Roman" w:cs="Times New Roman"/>
                </w:rPr>
                <w:tag w:val="_PLD_fd63a619db16496bad52eeb145839158"/>
                <w:id w:val="865725915"/>
                <w:lock w:val="sdtLocked"/>
              </w:sdtPr>
              <w:sdtEndPr>
                <w:rPr>
                  <w:rFonts w:ascii="Times New Roman" w:hAnsi="Times New Roman" w:cs="Times New Roman"/>
                </w:rPr>
              </w:sdtEndPr>
              <w:sdtContent>
                <w:tc>
                  <w:tcPr>
                    <w:tcW w:w="72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期初余额</w:t>
                    </w:r>
                  </w:p>
                </w:tc>
              </w:sdtContent>
            </w:sdt>
            <w:sdt>
              <w:sdtPr>
                <w:rPr>
                  <w:rFonts w:ascii="Times New Roman" w:hAnsi="Times New Roman" w:cs="Times New Roman"/>
                </w:rPr>
                <w:tag w:val="_PLD_2cb33d9d8b0d47539581498c039e86aa"/>
                <w:id w:val="865725916"/>
                <w:lock w:val="sdtLocked"/>
              </w:sdtPr>
              <w:sdtEndPr>
                <w:rPr>
                  <w:rFonts w:ascii="Times New Roman" w:hAnsi="Times New Roman" w:cs="Times New Roman"/>
                </w:rPr>
              </w:sdtEndPr>
              <w:sdtContent>
                <w:tc>
                  <w:tcPr>
                    <w:tcW w:w="2883" w:type="pct"/>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本次变动增减（</w:t>
                    </w:r>
                    <w:r>
                      <w:rPr>
                        <w:rFonts w:ascii="Times New Roman" w:hAnsi="Times New Roman" w:cs="Times New Roman"/>
                        <w:szCs w:val="21"/>
                      </w:rPr>
                      <w:t>+</w:t>
                    </w:r>
                    <w:r>
                      <w:rPr>
                        <w:rFonts w:ascii="Times New Roman" w:cs="Times New Roman"/>
                        <w:szCs w:val="21"/>
                      </w:rPr>
                      <w:t>、一）</w:t>
                    </w:r>
                  </w:p>
                </w:tc>
              </w:sdtContent>
            </w:sdt>
            <w:sdt>
              <w:sdtPr>
                <w:rPr>
                  <w:rFonts w:ascii="Times New Roman" w:hAnsi="Times New Roman" w:cs="Times New Roman"/>
                </w:rPr>
                <w:tag w:val="_PLD_e579078cb28f47a09273701ab9e2e37a"/>
                <w:id w:val="865725917"/>
                <w:lock w:val="sdtLocked"/>
              </w:sdtPr>
              <w:sdtEndPr>
                <w:rPr>
                  <w:rFonts w:ascii="Times New Roman" w:hAnsi="Times New Roman" w:cs="Times New Roman"/>
                </w:rPr>
              </w:sdtEndPr>
              <w:sdtContent>
                <w:tc>
                  <w:tcPr>
                    <w:tcW w:w="750"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40" w:type="pct"/>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p>
            </w:tc>
            <w:tc>
              <w:tcPr>
                <w:tcW w:w="727" w:type="pct"/>
                <w:vMerge w:val="continue"/>
                <w:tcBorders>
                  <w:left w:val="single" w:color="auto" w:sz="4" w:space="0"/>
                  <w:bottom w:val="single" w:color="auto" w:sz="4" w:space="0"/>
                  <w:right w:val="single" w:color="auto" w:sz="4" w:space="0"/>
                </w:tcBorders>
              </w:tcPr>
              <w:p>
                <w:pPr>
                  <w:ind w:left="-250" w:leftChars="-119" w:firstLine="249" w:firstLineChars="119"/>
                  <w:rPr>
                    <w:rFonts w:ascii="Times New Roman" w:hAnsi="Times New Roman" w:cs="Times New Roman"/>
                    <w:szCs w:val="21"/>
                  </w:rPr>
                </w:pPr>
              </w:p>
            </w:tc>
            <w:sdt>
              <w:sdtPr>
                <w:rPr>
                  <w:rFonts w:ascii="Times New Roman" w:hAnsi="Times New Roman" w:cs="Times New Roman"/>
                </w:rPr>
                <w:tag w:val="_PLD_2f067dcfa40a4e2d896a383f16e2e483"/>
                <w:id w:val="865725918"/>
                <w:lock w:val="sdtLocked"/>
              </w:sdtPr>
              <w:sdtEndPr>
                <w:rPr>
                  <w:rFonts w:ascii="Times New Roman" w:hAnsi="Times New Roman" w:cs="Times New Roman"/>
                </w:rPr>
              </w:sdtEndPr>
              <w:sdtContent>
                <w:tc>
                  <w:tcPr>
                    <w:tcW w:w="55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发行</w:t>
                    </w:r>
                  </w:p>
                  <w:p>
                    <w:pPr>
                      <w:jc w:val="center"/>
                      <w:rPr>
                        <w:rFonts w:ascii="Times New Roman" w:hAnsi="Times New Roman" w:cs="Times New Roman"/>
                        <w:szCs w:val="21"/>
                      </w:rPr>
                    </w:pPr>
                    <w:r>
                      <w:rPr>
                        <w:rFonts w:ascii="Times New Roman" w:cs="Times New Roman"/>
                        <w:szCs w:val="21"/>
                      </w:rPr>
                      <w:t>新股</w:t>
                    </w:r>
                  </w:p>
                </w:tc>
              </w:sdtContent>
            </w:sdt>
            <w:sdt>
              <w:sdtPr>
                <w:rPr>
                  <w:rFonts w:ascii="Times New Roman" w:hAnsi="Times New Roman" w:cs="Times New Roman"/>
                </w:rPr>
                <w:tag w:val="_PLD_afc58df66e0343a29873ec3c2270451e"/>
                <w:id w:val="865725919"/>
                <w:lock w:val="sdtLocked"/>
              </w:sdtPr>
              <w:sdtEndPr>
                <w:rPr>
                  <w:rFonts w:ascii="Times New Roman" w:hAnsi="Times New Roman" w:cs="Times New Roman"/>
                </w:rPr>
              </w:sdtEndPr>
              <w:sdtContent>
                <w:tc>
                  <w:tcPr>
                    <w:tcW w:w="55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送股</w:t>
                    </w:r>
                  </w:p>
                </w:tc>
              </w:sdtContent>
            </w:sdt>
            <w:sdt>
              <w:sdtPr>
                <w:rPr>
                  <w:rFonts w:ascii="Times New Roman" w:hAnsi="Times New Roman" w:cs="Times New Roman"/>
                </w:rPr>
                <w:tag w:val="_PLD_31d618a387e243239ea8ee139a3a39da"/>
                <w:id w:val="865725920"/>
                <w:lock w:val="sdtLocked"/>
              </w:sdtPr>
              <w:sdtEndPr>
                <w:rPr>
                  <w:rFonts w:ascii="Times New Roman" w:hAnsi="Times New Roman" w:cs="Times New Roman"/>
                </w:rPr>
              </w:sdtEndPr>
              <w:sdtContent>
                <w:tc>
                  <w:tcPr>
                    <w:tcW w:w="5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公积金</w:t>
                    </w:r>
                  </w:p>
                  <w:p>
                    <w:pPr>
                      <w:jc w:val="center"/>
                      <w:rPr>
                        <w:rFonts w:ascii="Times New Roman" w:hAnsi="Times New Roman" w:cs="Times New Roman"/>
                        <w:szCs w:val="21"/>
                      </w:rPr>
                    </w:pPr>
                    <w:r>
                      <w:rPr>
                        <w:rFonts w:ascii="Times New Roman" w:cs="Times New Roman"/>
                        <w:szCs w:val="21"/>
                      </w:rPr>
                      <w:t>转股</w:t>
                    </w:r>
                  </w:p>
                </w:tc>
              </w:sdtContent>
            </w:sdt>
            <w:sdt>
              <w:sdtPr>
                <w:rPr>
                  <w:rFonts w:ascii="Times New Roman" w:hAnsi="Times New Roman" w:cs="Times New Roman"/>
                </w:rPr>
                <w:tag w:val="_PLD_12526084dedd4dc68d673c8a71c73862"/>
                <w:id w:val="865725921"/>
                <w:lock w:val="sdtLocked"/>
              </w:sdtPr>
              <w:sdtEndPr>
                <w:rPr>
                  <w:rFonts w:ascii="Times New Roman" w:hAnsi="Times New Roman" w:cs="Times New Roman"/>
                </w:rPr>
              </w:sdtEndPr>
              <w:sdtContent>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其他</w:t>
                    </w:r>
                  </w:p>
                </w:tc>
              </w:sdtContent>
            </w:sdt>
            <w:sdt>
              <w:sdtPr>
                <w:rPr>
                  <w:rFonts w:ascii="Times New Roman" w:hAnsi="Times New Roman" w:cs="Times New Roman"/>
                </w:rPr>
                <w:tag w:val="_PLD_fe70bd23af2d4fd680087e555e574f82"/>
                <w:id w:val="865725922"/>
                <w:lock w:val="sdtLocked"/>
              </w:sdtPr>
              <w:sdtEndPr>
                <w:rPr>
                  <w:rFonts w:ascii="Times New Roman" w:hAnsi="Times New Roman" w:cs="Times New Roman"/>
                </w:rPr>
              </w:sdtEndPr>
              <w:sdtContent>
                <w:tc>
                  <w:tcPr>
                    <w:tcW w:w="5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小计</w:t>
                    </w:r>
                  </w:p>
                </w:tc>
              </w:sdtContent>
            </w:sdt>
            <w:tc>
              <w:tcPr>
                <w:tcW w:w="750" w:type="pct"/>
                <w:vMerge w:val="continue"/>
                <w:tcBorders>
                  <w:left w:val="single" w:color="auto" w:sz="4" w:space="0"/>
                  <w:bottom w:val="single" w:color="auto" w:sz="4" w:space="0"/>
                  <w:right w:val="single" w:color="auto" w:sz="4" w:space="0"/>
                </w:tcBorders>
              </w:tcPr>
              <w:p>
                <w:pP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ca4436c1f88f49e084436422be93cf3e"/>
                <w:id w:val="865725923"/>
                <w:lock w:val="sdtLocked"/>
              </w:sdtPr>
              <w:sdtEndPr>
                <w:rPr>
                  <w:rFonts w:ascii="Times New Roman" w:hAnsi="Times New Roman" w:cs="Times New Roman"/>
                </w:rPr>
              </w:sdtEndPr>
              <w:sdtContent>
                <w:tc>
                  <w:tcPr>
                    <w:tcW w:w="640"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Cs w:val="21"/>
                      </w:rPr>
                    </w:pPr>
                    <w:r>
                      <w:rPr>
                        <w:rFonts w:ascii="Times New Roman" w:cs="Times New Roman"/>
                        <w:szCs w:val="21"/>
                      </w:rPr>
                      <w:t>股份总数</w:t>
                    </w:r>
                  </w:p>
                </w:tc>
              </w:sdtContent>
            </w:sdt>
            <w:tc>
              <w:tcPr>
                <w:tcW w:w="72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550,000,000.00</w:t>
                </w:r>
              </w:p>
            </w:tc>
            <w:tc>
              <w:tcPr>
                <w:tcW w:w="55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55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59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6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58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75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550,000,000.00</w:t>
                </w:r>
              </w:p>
            </w:tc>
          </w:tr>
        </w:tbl>
        <w:p>
          <w:pPr>
            <w:rPr>
              <w:szCs w:val="21"/>
            </w:rPr>
          </w:pPr>
        </w:p>
      </w:sdtContent>
    </w:sdt>
    <w:p>
      <w:pPr>
        <w:rPr>
          <w:szCs w:val="21"/>
        </w:rPr>
      </w:pPr>
    </w:p>
    <w:p>
      <w:pPr>
        <w:pStyle w:val="4"/>
        <w:numPr>
          <w:ilvl w:val="0"/>
          <w:numId w:val="79"/>
        </w:numPr>
        <w:tabs>
          <w:tab w:val="left" w:pos="504"/>
        </w:tabs>
        <w:rPr>
          <w:rFonts w:ascii="宋体" w:hAnsi="宋体"/>
          <w:szCs w:val="21"/>
        </w:rPr>
      </w:pPr>
      <w:r>
        <w:rPr>
          <w:rFonts w:hint="eastAsia" w:ascii="宋体" w:hAnsi="宋体" w:cs="宋体"/>
          <w:bCs w:val="0"/>
          <w:kern w:val="0"/>
          <w:szCs w:val="21"/>
        </w:rPr>
        <w:t>其</w:t>
      </w:r>
      <w:r>
        <w:rPr>
          <w:rFonts w:hint="eastAsia" w:ascii="宋体" w:hAnsi="宋体"/>
          <w:szCs w:val="21"/>
        </w:rPr>
        <w:t>他权益工具</w:t>
      </w:r>
    </w:p>
    <w:sdt>
      <w:sdtPr>
        <w:rPr>
          <w:rFonts w:hint="eastAsia" w:ascii="宋体" w:hAnsi="宋体" w:eastAsia="宋体" w:cs="宋体"/>
          <w:b w:val="0"/>
          <w:bCs w:val="0"/>
          <w:kern w:val="0"/>
          <w:szCs w:val="24"/>
        </w:rPr>
        <w:alias w:val="模块:期末发行在外的优先股、永续债等其他金融工具基本情况"/>
        <w:tag w:val="_SEC_6fed13d34fa44eddb1a893d7efc5d06b"/>
        <w:id w:val="865725927"/>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109"/>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86572592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eastAsia="宋体" w:cs="宋体"/>
          <w:b w:val="0"/>
          <w:bCs w:val="0"/>
          <w:kern w:val="0"/>
          <w:szCs w:val="24"/>
        </w:rPr>
        <w:alias w:val="模块:期末发行在外的优先股、永续债等金融工具变动情况表  发行..."/>
        <w:tag w:val="_SEC_e75bf2a97679482fb5fa8f87d691b026"/>
        <w:id w:val="865725929"/>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0"/>
              <w:numId w:val="109"/>
            </w:numPr>
            <w:ind w:left="426" w:hanging="426"/>
          </w:pPr>
          <w:bookmarkStart w:id="210"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65725928"/>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0"/>
    <w:sdt>
      <w:sdtPr>
        <w:rPr>
          <w:rFonts w:hint="eastAsia"/>
          <w:szCs w:val="21"/>
        </w:rPr>
        <w:alias w:val="模块:其他权益工具本期增减变动情况、变动原因说明，以及相关会计处理"/>
        <w:tag w:val="_SEC_f0c4a2ce10914cf8a15ec22984f96cce"/>
        <w:id w:val="865725931"/>
        <w:lock w:val="sdtLocked"/>
        <w:placeholder>
          <w:docPart w:val="GBC22222222222222222222222222222"/>
        </w:placeholder>
      </w:sdtPr>
      <w:sdtEndPr>
        <w:rPr>
          <w:rFonts w:hint="default"/>
          <w:szCs w:val="21"/>
        </w:rPr>
      </w:sdtEndPr>
      <w:sdtContent>
        <w:p>
          <w:pPr>
            <w:shd w:val="solid" w:color="FFFFFF" w:fill="auto"/>
            <w:rPr>
              <w:szCs w:val="21"/>
            </w:rPr>
          </w:pPr>
          <w:bookmarkStart w:id="211" w:name="_Hlk89785136"/>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865725930"/>
            <w:lock w:val="sdtLocked"/>
            <w:placeholder>
              <w:docPart w:val="GBC22222222222222222222222222222"/>
            </w:placeholder>
          </w:sdtPr>
          <w:sdtEndPr>
            <w:rPr>
              <w:szCs w:val="21"/>
            </w:rPr>
          </w:sdtEndPr>
          <w:sdtContent>
            <w:p>
              <w:pPr>
                <w:shd w:val="solid" w:color="FFFFFF" w:fill="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11"/>
    <w:p>
      <w:pPr>
        <w:rPr>
          <w:szCs w:val="21"/>
        </w:rPr>
      </w:pPr>
    </w:p>
    <w:sdt>
      <w:sdtPr>
        <w:rPr>
          <w:rFonts w:hint="eastAsia"/>
          <w:szCs w:val="21"/>
        </w:rPr>
        <w:alias w:val="模块:其他说明"/>
        <w:tag w:val="_SEC_2737fbc9d66c421eae61476b09f44108"/>
        <w:id w:val="865725933"/>
        <w:lock w:val="sdtLocked"/>
        <w:placeholder>
          <w:docPart w:val="GBC22222222222222222222222222222"/>
        </w:placeholder>
      </w:sdtPr>
      <w:sdtEndPr>
        <w:rPr>
          <w:rFonts w:hint="default"/>
          <w:szCs w:val="21"/>
        </w:rPr>
      </w:sdtEndPr>
      <w:sdtContent>
        <w:p>
          <w:pPr>
            <w:rPr>
              <w:szCs w:val="21"/>
            </w:rPr>
          </w:pPr>
          <w:bookmarkStart w:id="212" w:name="_Hlk89785124"/>
          <w:r>
            <w:rPr>
              <w:rFonts w:hint="eastAsia"/>
              <w:szCs w:val="21"/>
            </w:rPr>
            <w:t>其他说明:</w:t>
          </w:r>
        </w:p>
        <w:sdt>
          <w:sdtPr>
            <w:rPr>
              <w:szCs w:val="21"/>
            </w:rPr>
            <w:alias w:val="是否适用：其他权益工具的其他说明[双击切换]"/>
            <w:tag w:val="_GBC_af2e32ae9c704175a99ebad592dec5f2"/>
            <w:id w:val="865725932"/>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12"/>
    <w:p>
      <w:pPr>
        <w:rPr>
          <w:szCs w:val="21"/>
        </w:rPr>
      </w:pPr>
    </w:p>
    <w:sdt>
      <w:sdtPr>
        <w:rPr>
          <w:rFonts w:hint="eastAsia" w:ascii="宋体" w:hAnsi="宋体" w:cs="宋体"/>
          <w:b w:val="0"/>
          <w:bCs w:val="0"/>
          <w:kern w:val="0"/>
          <w:szCs w:val="21"/>
        </w:rPr>
        <w:alias w:val="模块:资本公积"/>
        <w:tag w:val="_SEC_39b8590a9e5d496db1d2cf229fd840e9"/>
        <w:id w:val="865725948"/>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4"/>
            <w:numPr>
              <w:ilvl w:val="0"/>
              <w:numId w:val="79"/>
            </w:numPr>
            <w:tabs>
              <w:tab w:val="left" w:pos="504"/>
            </w:tabs>
            <w:rPr>
              <w:rFonts w:ascii="宋体" w:hAnsi="宋体"/>
              <w:szCs w:val="21"/>
            </w:rPr>
          </w:pPr>
          <w:r>
            <w:rPr>
              <w:rFonts w:hint="eastAsia" w:ascii="宋体" w:hAnsi="宋体"/>
              <w:szCs w:val="21"/>
            </w:rPr>
            <w:t>资本公积</w:t>
          </w:r>
        </w:p>
        <w:sdt>
          <w:sdtPr>
            <w:alias w:val="是否适用：资本公积[双击切换]"/>
            <w:tag w:val="_GBC_58b0344d8757456787af32396840e233"/>
            <w:id w:val="86572593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资本公积"/>
              <w:tag w:val="_GBC_1b11e7474fd44870ad976b16c25b20f4"/>
              <w:id w:val="8657259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8657259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813"/>
            <w:gridCol w:w="1747"/>
            <w:gridCol w:w="1805"/>
            <w:gridCol w:w="1788"/>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b4e0b77813064aeb83afd63c7bafbdab"/>
                <w:id w:val="865725937"/>
                <w:lock w:val="sdtLocked"/>
              </w:sdtPr>
              <w:sdtEndPr>
                <w:rPr>
                  <w:rFonts w:ascii="Times New Roman" w:hAnsi="Times New Roman" w:cs="Times New Roman"/>
                </w:rPr>
              </w:sdtEndPr>
              <w:sdtContent>
                <w:tc>
                  <w:tcPr>
                    <w:tcW w:w="1001" w:type="pct"/>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2e3387dfd4d8490ca15036edd55f5d7b"/>
                <w:id w:val="865725938"/>
                <w:lock w:val="sdtLocked"/>
              </w:sdtPr>
              <w:sdtEndPr>
                <w:rPr>
                  <w:rFonts w:ascii="Times New Roman" w:hAnsi="Times New Roman" w:cs="Times New Roman"/>
                </w:rPr>
              </w:sdtEndPr>
              <w:sdtContent>
                <w:tc>
                  <w:tcPr>
                    <w:tcW w:w="964" w:type="pct"/>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期初余额</w:t>
                    </w:r>
                  </w:p>
                </w:tc>
              </w:sdtContent>
            </w:sdt>
            <w:sdt>
              <w:sdtPr>
                <w:rPr>
                  <w:rFonts w:ascii="Times New Roman" w:hAnsi="Times New Roman" w:cs="Times New Roman"/>
                </w:rPr>
                <w:tag w:val="_PLD_48beb7e26e4d4ae4b8c76cfd47809420"/>
                <w:id w:val="865725939"/>
                <w:lock w:val="sdtLocked"/>
              </w:sdtPr>
              <w:sdtEndPr>
                <w:rPr>
                  <w:rFonts w:ascii="Times New Roman" w:hAnsi="Times New Roman" w:cs="Times New Roman"/>
                </w:rPr>
              </w:sdtEndPr>
              <w:sdtContent>
                <w:tc>
                  <w:tcPr>
                    <w:tcW w:w="996" w:type="pct"/>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本期增加</w:t>
                    </w:r>
                  </w:p>
                </w:tc>
              </w:sdtContent>
            </w:sdt>
            <w:sdt>
              <w:sdtPr>
                <w:rPr>
                  <w:rFonts w:ascii="Times New Roman" w:hAnsi="Times New Roman" w:cs="Times New Roman"/>
                </w:rPr>
                <w:tag w:val="_PLD_146cd5e556074222b88edab30b505382"/>
                <w:id w:val="865725940"/>
                <w:lock w:val="sdtLocked"/>
              </w:sdtPr>
              <w:sdtEndPr>
                <w:rPr>
                  <w:rFonts w:ascii="Times New Roman" w:hAnsi="Times New Roman" w:cs="Times New Roman"/>
                </w:rPr>
              </w:sdtEndPr>
              <w:sdtContent>
                <w:tc>
                  <w:tcPr>
                    <w:tcW w:w="987" w:type="pct"/>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本期减少</w:t>
                    </w:r>
                  </w:p>
                </w:tc>
              </w:sdtContent>
            </w:sdt>
            <w:sdt>
              <w:sdtPr>
                <w:rPr>
                  <w:rFonts w:ascii="Times New Roman" w:hAnsi="Times New Roman" w:cs="Times New Roman"/>
                </w:rPr>
                <w:tag w:val="_PLD_ce18950b18064dc1ac40e20c98bf9dcb"/>
                <w:id w:val="865725941"/>
                <w:lock w:val="sdtLocked"/>
              </w:sdtPr>
              <w:sdtEndPr>
                <w:rPr>
                  <w:rFonts w:ascii="Times New Roman" w:hAnsi="Times New Roman" w:cs="Times New Roman"/>
                </w:rPr>
              </w:sdtEndPr>
              <w:sdtContent>
                <w:tc>
                  <w:tcPr>
                    <w:tcW w:w="1052" w:type="pct"/>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0d018aed47f94c61acfb01bd741534a0"/>
                <w:id w:val="865725942"/>
                <w:lock w:val="sdtLocked"/>
              </w:sdtPr>
              <w:sdtEndPr>
                <w:rPr>
                  <w:rFonts w:ascii="Times New Roman" w:hAnsi="Times New Roman" w:cs="Times New Roman"/>
                </w:rPr>
              </w:sdtEndPr>
              <w:sdtContent>
                <w:tc>
                  <w:tcPr>
                    <w:tcW w:w="1001" w:type="pct"/>
                    <w:shd w:val="clear" w:color="auto" w:fill="auto"/>
                  </w:tcPr>
                  <w:p>
                    <w:pPr>
                      <w:autoSpaceDE w:val="0"/>
                      <w:autoSpaceDN w:val="0"/>
                      <w:adjustRightInd w:val="0"/>
                      <w:snapToGrid w:val="0"/>
                      <w:rPr>
                        <w:rFonts w:ascii="Times New Roman" w:hAnsi="Times New Roman" w:cs="Times New Roman"/>
                        <w:szCs w:val="21"/>
                      </w:rPr>
                    </w:pPr>
                    <w:r>
                      <w:rPr>
                        <w:rFonts w:ascii="Times New Roman" w:cs="Times New Roman"/>
                        <w:szCs w:val="21"/>
                      </w:rPr>
                      <w:t>资本溢价（股本溢价）</w:t>
                    </w:r>
                  </w:p>
                </w:tc>
              </w:sdtContent>
            </w:sdt>
            <w:tc>
              <w:tcPr>
                <w:tcW w:w="964" w:type="pct"/>
                <w:shd w:val="clear" w:color="auto" w:fill="auto"/>
                <w:vAlign w:val="center"/>
              </w:tcPr>
              <w:p>
                <w:pPr>
                  <w:autoSpaceDE w:val="0"/>
                  <w:autoSpaceDN w:val="0"/>
                  <w:adjustRightInd w:val="0"/>
                  <w:snapToGrid w:val="0"/>
                  <w:jc w:val="right"/>
                  <w:rPr>
                    <w:rFonts w:ascii="Times New Roman" w:hAnsi="Times New Roman" w:cs="Times New Roman"/>
                    <w:szCs w:val="21"/>
                  </w:rPr>
                </w:pPr>
                <w:r>
                  <w:rPr>
                    <w:rFonts w:ascii="Times New Roman" w:hAnsi="Times New Roman" w:cs="Times New Roman"/>
                  </w:rPr>
                  <w:t>1,184,535,294.95</w:t>
                </w:r>
              </w:p>
            </w:tc>
            <w:tc>
              <w:tcPr>
                <w:tcW w:w="996"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987"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1052" w:type="pct"/>
                <w:shd w:val="clear" w:color="auto" w:fill="auto"/>
                <w:vAlign w:val="center"/>
              </w:tcPr>
              <w:p>
                <w:pPr>
                  <w:autoSpaceDE w:val="0"/>
                  <w:autoSpaceDN w:val="0"/>
                  <w:adjustRightInd w:val="0"/>
                  <w:snapToGrid w:val="0"/>
                  <w:jc w:val="right"/>
                  <w:rPr>
                    <w:rFonts w:ascii="Times New Roman" w:hAnsi="Times New Roman" w:cs="Times New Roman"/>
                    <w:szCs w:val="21"/>
                  </w:rPr>
                </w:pPr>
                <w:r>
                  <w:rPr>
                    <w:rFonts w:ascii="Times New Roman" w:hAnsi="Times New Roman" w:cs="Times New Roman"/>
                  </w:rPr>
                  <w:t>1,184,535,294.95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86bb5cd56f814da8b960cf8902cad6a5"/>
                <w:id w:val="865725943"/>
                <w:lock w:val="sdtLocked"/>
              </w:sdtPr>
              <w:sdtEndPr>
                <w:rPr>
                  <w:rFonts w:ascii="Times New Roman" w:hAnsi="Times New Roman" w:cs="Times New Roman"/>
                </w:rPr>
              </w:sdtEndPr>
              <w:sdtContent>
                <w:tc>
                  <w:tcPr>
                    <w:tcW w:w="1001" w:type="pct"/>
                    <w:shd w:val="clear" w:color="auto" w:fill="auto"/>
                  </w:tcPr>
                  <w:p>
                    <w:pPr>
                      <w:autoSpaceDE w:val="0"/>
                      <w:autoSpaceDN w:val="0"/>
                      <w:adjustRightInd w:val="0"/>
                      <w:snapToGrid w:val="0"/>
                      <w:rPr>
                        <w:rFonts w:ascii="Times New Roman" w:hAnsi="Times New Roman" w:cs="Times New Roman"/>
                        <w:szCs w:val="21"/>
                      </w:rPr>
                    </w:pPr>
                    <w:r>
                      <w:rPr>
                        <w:rFonts w:ascii="Times New Roman" w:cs="Times New Roman"/>
                        <w:szCs w:val="21"/>
                      </w:rPr>
                      <w:t>其他资本公积</w:t>
                    </w:r>
                  </w:p>
                </w:tc>
              </w:sdtContent>
            </w:sdt>
            <w:tc>
              <w:tcPr>
                <w:tcW w:w="964" w:type="pct"/>
                <w:shd w:val="clear" w:color="auto" w:fill="auto"/>
                <w:vAlign w:val="center"/>
              </w:tcPr>
              <w:p>
                <w:pPr>
                  <w:autoSpaceDE w:val="0"/>
                  <w:autoSpaceDN w:val="0"/>
                  <w:adjustRightInd w:val="0"/>
                  <w:snapToGrid w:val="0"/>
                  <w:jc w:val="right"/>
                  <w:rPr>
                    <w:rFonts w:ascii="Times New Roman" w:hAnsi="Times New Roman" w:cs="Times New Roman"/>
                    <w:szCs w:val="21"/>
                  </w:rPr>
                </w:pPr>
                <w:r>
                  <w:rPr>
                    <w:rFonts w:ascii="Times New Roman" w:hAnsi="Times New Roman" w:cs="Times New Roman"/>
                  </w:rPr>
                  <w:t>366,576.00</w:t>
                </w:r>
              </w:p>
            </w:tc>
            <w:tc>
              <w:tcPr>
                <w:tcW w:w="996"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987" w:type="pct"/>
                <w:shd w:val="clear" w:color="auto" w:fill="auto"/>
                <w:vAlign w:val="center"/>
              </w:tcPr>
              <w:p>
                <w:pPr>
                  <w:autoSpaceDE w:val="0"/>
                  <w:autoSpaceDN w:val="0"/>
                  <w:adjustRightInd w:val="0"/>
                  <w:snapToGrid w:val="0"/>
                  <w:jc w:val="right"/>
                  <w:rPr>
                    <w:rFonts w:ascii="Times New Roman" w:hAnsi="Times New Roman" w:cs="Times New Roman"/>
                    <w:szCs w:val="21"/>
                  </w:rPr>
                </w:pPr>
              </w:p>
            </w:tc>
            <w:tc>
              <w:tcPr>
                <w:tcW w:w="1052" w:type="pct"/>
                <w:shd w:val="clear" w:color="auto" w:fill="auto"/>
                <w:vAlign w:val="center"/>
              </w:tcPr>
              <w:p>
                <w:pPr>
                  <w:autoSpaceDE w:val="0"/>
                  <w:autoSpaceDN w:val="0"/>
                  <w:adjustRightInd w:val="0"/>
                  <w:snapToGrid w:val="0"/>
                  <w:jc w:val="right"/>
                  <w:rPr>
                    <w:rFonts w:ascii="Times New Roman" w:hAnsi="Times New Roman" w:cs="Times New Roman"/>
                    <w:szCs w:val="21"/>
                  </w:rPr>
                </w:pPr>
                <w:r>
                  <w:rPr>
                    <w:rFonts w:ascii="Times New Roman" w:hAnsi="Times New Roman" w:cs="Times New Roman"/>
                  </w:rPr>
                  <w:t>366,576.00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9b03907e667d49cf9868e1518c28d82c"/>
                <w:id w:val="865725946"/>
                <w:lock w:val="sdtLocked"/>
              </w:sdtPr>
              <w:sdtEndPr>
                <w:rPr>
                  <w:rFonts w:ascii="Times New Roman" w:hAnsi="Times New Roman" w:cs="Times New Roman"/>
                </w:rPr>
              </w:sdtEndPr>
              <w:sdtContent>
                <w:tc>
                  <w:tcPr>
                    <w:tcW w:w="1001" w:type="pct"/>
                    <w:vAlign w:val="center"/>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合计</w:t>
                    </w:r>
                  </w:p>
                </w:tc>
              </w:sdtContent>
            </w:sdt>
            <w:tc>
              <w:tcPr>
                <w:tcW w:w="964" w:type="pct"/>
                <w:vAlign w:val="center"/>
              </w:tcPr>
              <w:p>
                <w:pPr>
                  <w:jc w:val="right"/>
                  <w:rPr>
                    <w:rFonts w:ascii="Times New Roman" w:hAnsi="Times New Roman" w:cs="Times New Roman"/>
                    <w:sz w:val="24"/>
                  </w:rPr>
                </w:pPr>
                <w:r>
                  <w:rPr>
                    <w:rFonts w:ascii="Times New Roman" w:hAnsi="Times New Roman" w:cs="Times New Roman"/>
                  </w:rPr>
                  <w:t>1,184,901,870.95</w:t>
                </w:r>
              </w:p>
            </w:tc>
            <w:tc>
              <w:tcPr>
                <w:tcW w:w="996" w:type="pct"/>
                <w:vAlign w:val="center"/>
              </w:tcPr>
              <w:p>
                <w:pPr>
                  <w:jc w:val="right"/>
                  <w:rPr>
                    <w:rFonts w:ascii="Times New Roman" w:hAnsi="Times New Roman" w:cs="Times New Roman"/>
                    <w:sz w:val="24"/>
                  </w:rPr>
                </w:pPr>
              </w:p>
            </w:tc>
            <w:tc>
              <w:tcPr>
                <w:tcW w:w="987" w:type="pct"/>
                <w:vAlign w:val="center"/>
              </w:tcPr>
              <w:p>
                <w:pPr>
                  <w:jc w:val="right"/>
                  <w:rPr>
                    <w:rFonts w:ascii="Times New Roman" w:hAnsi="Times New Roman" w:cs="Times New Roman"/>
                    <w:sz w:val="24"/>
                  </w:rPr>
                </w:pPr>
              </w:p>
            </w:tc>
            <w:tc>
              <w:tcPr>
                <w:tcW w:w="1052" w:type="pct"/>
                <w:vAlign w:val="center"/>
              </w:tcPr>
              <w:p>
                <w:pPr>
                  <w:jc w:val="right"/>
                  <w:rPr>
                    <w:rFonts w:ascii="Times New Roman" w:hAnsi="Times New Roman" w:cs="Times New Roman"/>
                    <w:sz w:val="24"/>
                  </w:rPr>
                </w:pPr>
                <w:r>
                  <w:rPr>
                    <w:rFonts w:ascii="Times New Roman" w:hAnsi="Times New Roman" w:cs="Times New Roman"/>
                  </w:rPr>
                  <w:t>1,184,901,870.95</w:t>
                </w:r>
              </w:p>
            </w:tc>
          </w:tr>
        </w:tbl>
        <w:p/>
        <w:p>
          <w:pPr>
            <w:rPr>
              <w:szCs w:val="21"/>
            </w:rPr>
          </w:pPr>
        </w:p>
      </w:sdtContent>
    </w:sdt>
    <w:p>
      <w:pPr>
        <w:rPr>
          <w:szCs w:val="21"/>
        </w:rPr>
      </w:pPr>
    </w:p>
    <w:sdt>
      <w:sdtPr>
        <w:rPr>
          <w:rFonts w:hint="eastAsia" w:ascii="宋体" w:hAnsi="宋体" w:cs="宋体"/>
          <w:b w:val="0"/>
          <w:bCs w:val="0"/>
          <w:kern w:val="0"/>
          <w:szCs w:val="21"/>
        </w:rPr>
        <w:alias w:val="模块:库存股"/>
        <w:tag w:val="_SEC_ac3bac3dee6b41e2a9bd601e8215a41b"/>
        <w:id w:val="865725950"/>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4"/>
            <w:numPr>
              <w:ilvl w:val="0"/>
              <w:numId w:val="79"/>
            </w:numPr>
            <w:tabs>
              <w:tab w:val="left" w:pos="504"/>
            </w:tabs>
            <w:rPr>
              <w:rFonts w:ascii="宋体" w:hAnsi="宋体"/>
              <w:szCs w:val="21"/>
            </w:rPr>
          </w:pPr>
          <w:r>
            <w:rPr>
              <w:rFonts w:hint="eastAsia" w:ascii="宋体" w:hAnsi="宋体"/>
              <w:szCs w:val="21"/>
            </w:rPr>
            <w:t>库存股</w:t>
          </w:r>
        </w:p>
        <w:sdt>
          <w:sdtPr>
            <w:alias w:val="是否适用：库存股[双击切换]"/>
            <w:tag w:val="_GBC_8e4fbb6e216145d28e75f17bb16e2ed0"/>
            <w:id w:val="86572594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b/>
              <w:szCs w:val="21"/>
            </w:rPr>
          </w:pPr>
        </w:p>
      </w:sdtContent>
    </w:sdt>
    <w:p>
      <w:pPr>
        <w:rPr>
          <w:szCs w:val="21"/>
        </w:rPr>
      </w:pPr>
    </w:p>
    <w:sdt>
      <w:sdtPr>
        <w:rPr>
          <w:rFonts w:ascii="宋体" w:hAnsi="宋体" w:cs="宋体"/>
          <w:b w:val="0"/>
          <w:bCs w:val="0"/>
          <w:kern w:val="0"/>
          <w:szCs w:val="21"/>
        </w:rPr>
        <w:alias w:val="模块:"/>
        <w:tag w:val="_SEC_b7abde66ee9f475b9c7a82f58ed72510"/>
        <w:id w:val="865725982"/>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79"/>
            </w:numPr>
            <w:tabs>
              <w:tab w:val="left" w:pos="504"/>
            </w:tabs>
            <w:rPr>
              <w:rFonts w:ascii="宋体" w:hAnsi="宋体"/>
              <w:szCs w:val="21"/>
            </w:rPr>
          </w:pPr>
          <w:bookmarkStart w:id="213" w:name="_Hlk10537776"/>
          <w:bookmarkEnd w:id="213"/>
          <w:bookmarkStart w:id="214" w:name="_Hlk24027351"/>
          <w:r>
            <w:rPr>
              <w:rFonts w:hint="eastAsia" w:ascii="宋体" w:hAnsi="宋体"/>
              <w:szCs w:val="21"/>
            </w:rPr>
            <w:t>其他综合收益</w:t>
          </w:r>
        </w:p>
        <w:sdt>
          <w:sdtPr>
            <w:alias w:val="是否适用：其他综合收益[双击切换]"/>
            <w:tag w:val="_GBC_60105f81909745c788232a2118ec8260"/>
            <w:id w:val="86572595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其他综合收益情况"/>
              <w:tag w:val="_GBC_e409bf7299734ac38578b7aeaafe4b22"/>
              <w:id w:val="8657259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865725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582"/>
            <w:gridCol w:w="771"/>
            <w:gridCol w:w="852"/>
            <w:gridCol w:w="852"/>
            <w:gridCol w:w="852"/>
            <w:gridCol w:w="854"/>
            <w:gridCol w:w="854"/>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sdt>
              <w:sdtPr>
                <w:rPr>
                  <w:rFonts w:ascii="Times New Roman" w:hAnsi="Times New Roman" w:cs="Times New Roman"/>
                </w:rPr>
                <w:tag w:val="_PLD_b9ff3615ccfb4fb8b5b240bdfb50f58f"/>
                <w:id w:val="865725954"/>
                <w:lock w:val="sdtLocked"/>
              </w:sdtPr>
              <w:sdtEndPr>
                <w:rPr>
                  <w:rFonts w:ascii="Times New Roman" w:hAnsi="Times New Roman" w:cs="Times New Roman"/>
                </w:rPr>
              </w:sdtEndPr>
              <w:sdtContent>
                <w:tc>
                  <w:tcPr>
                    <w:tcW w:w="470"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c452eb3cb7084e41ba725641dbad27ab"/>
                <w:id w:val="865725955"/>
                <w:lock w:val="sdtLocked"/>
              </w:sdtPr>
              <w:sdtEndPr>
                <w:rPr>
                  <w:rFonts w:ascii="Times New Roman" w:hAnsi="Times New Roman" w:cs="Times New Roman"/>
                </w:rPr>
              </w:sdtEndPr>
              <w:sdtContent>
                <w:tc>
                  <w:tcPr>
                    <w:tcW w:w="874"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rPr>
                      <w:t>期初</w:t>
                    </w:r>
                  </w:p>
                  <w:p>
                    <w:pPr>
                      <w:jc w:val="center"/>
                      <w:rPr>
                        <w:rFonts w:ascii="Times New Roman" w:hAnsi="Times New Roman" w:cs="Times New Roman"/>
                        <w:szCs w:val="21"/>
                      </w:rPr>
                    </w:pPr>
                    <w:r>
                      <w:rPr>
                        <w:rFonts w:ascii="Times New Roman" w:cs="Times New Roman"/>
                        <w:szCs w:val="21"/>
                      </w:rPr>
                      <w:t>余额</w:t>
                    </w:r>
                  </w:p>
                </w:tc>
              </w:sdtContent>
            </w:sdt>
            <w:sdt>
              <w:sdtPr>
                <w:rPr>
                  <w:rFonts w:ascii="Times New Roman" w:hAnsi="Times New Roman" w:cs="Times New Roman"/>
                </w:rPr>
                <w:tag w:val="_PLD_c4c67158aa744717a253a7b51b99ed00"/>
                <w:id w:val="865725956"/>
                <w:lock w:val="sdtLocked"/>
              </w:sdtPr>
              <w:sdtEndPr>
                <w:rPr>
                  <w:rFonts w:ascii="Times New Roman" w:hAnsi="Times New Roman" w:cs="Times New Roman"/>
                </w:rPr>
              </w:sdtEndPr>
              <w:sdtContent>
                <w:tc>
                  <w:tcPr>
                    <w:tcW w:w="2782" w:type="pct"/>
                    <w:gridSpan w:val="6"/>
                    <w:shd w:val="clear" w:color="auto" w:fill="auto"/>
                    <w:vAlign w:val="center"/>
                  </w:tcPr>
                  <w:p>
                    <w:pPr>
                      <w:jc w:val="center"/>
                      <w:rPr>
                        <w:rFonts w:ascii="Times New Roman" w:hAnsi="Times New Roman" w:cs="Times New Roman"/>
                        <w:szCs w:val="21"/>
                      </w:rPr>
                    </w:pPr>
                    <w:r>
                      <w:rPr>
                        <w:rFonts w:ascii="Times New Roman" w:cs="Times New Roman"/>
                        <w:szCs w:val="21"/>
                      </w:rPr>
                      <w:t>本期发生金额</w:t>
                    </w:r>
                  </w:p>
                </w:tc>
              </w:sdtContent>
            </w:sdt>
            <w:sdt>
              <w:sdtPr>
                <w:rPr>
                  <w:rFonts w:ascii="Times New Roman" w:hAnsi="Times New Roman" w:cs="Times New Roman"/>
                </w:rPr>
                <w:tag w:val="_PLD_2fcdc30e089b48d0af01eff4e6c0c7ad"/>
                <w:id w:val="865725957"/>
                <w:lock w:val="sdtLocked"/>
              </w:sdtPr>
              <w:sdtEndPr>
                <w:rPr>
                  <w:rFonts w:ascii="Times New Roman" w:hAnsi="Times New Roman" w:cs="Times New Roman"/>
                </w:rPr>
              </w:sdtEndPr>
              <w:sdtContent>
                <w:tc>
                  <w:tcPr>
                    <w:tcW w:w="874"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rPr>
                      <w:t>期末</w:t>
                    </w:r>
                  </w:p>
                  <w:p>
                    <w:pPr>
                      <w:jc w:val="center"/>
                      <w:rPr>
                        <w:rFonts w:ascii="Times New Roman" w:hAnsi="Times New Roman" w:cs="Times New Roman"/>
                        <w:szCs w:val="21"/>
                      </w:rPr>
                    </w:pPr>
                    <w:r>
                      <w:rPr>
                        <w:rFonts w:ascii="Times New Roman" w:cs="Times New Roman"/>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shd w:val="clear" w:color="auto" w:fill="auto"/>
              </w:tcPr>
              <w:p>
                <w:pPr>
                  <w:jc w:val="center"/>
                  <w:rPr>
                    <w:rFonts w:ascii="Times New Roman" w:hAnsi="Times New Roman" w:cs="Times New Roman"/>
                    <w:szCs w:val="21"/>
                  </w:rPr>
                </w:pPr>
              </w:p>
            </w:tc>
            <w:tc>
              <w:tcPr>
                <w:tcW w:w="874" w:type="pct"/>
                <w:vMerge w:val="continue"/>
                <w:shd w:val="clear" w:color="auto" w:fill="auto"/>
              </w:tcPr>
              <w:p>
                <w:pPr>
                  <w:jc w:val="center"/>
                  <w:rPr>
                    <w:rFonts w:ascii="Times New Roman" w:hAnsi="Times New Roman" w:cs="Times New Roman"/>
                    <w:szCs w:val="21"/>
                  </w:rPr>
                </w:pPr>
              </w:p>
            </w:tc>
            <w:sdt>
              <w:sdtPr>
                <w:rPr>
                  <w:rFonts w:ascii="Times New Roman" w:hAnsi="Times New Roman" w:cs="Times New Roman"/>
                </w:rPr>
                <w:tag w:val="_PLD_08b0381418824e1685e4223515aed1f1"/>
                <w:id w:val="865725958"/>
                <w:lock w:val="sdtLocked"/>
              </w:sdtPr>
              <w:sdtEndPr>
                <w:rPr>
                  <w:rFonts w:ascii="Times New Roman" w:hAnsi="Times New Roman" w:cs="Times New Roman"/>
                </w:rPr>
              </w:sdtEndPr>
              <w:sdtContent>
                <w:tc>
                  <w:tcPr>
                    <w:tcW w:w="426" w:type="pct"/>
                    <w:shd w:val="clear" w:color="auto" w:fill="auto"/>
                    <w:vAlign w:val="center"/>
                  </w:tcPr>
                  <w:p>
                    <w:pPr>
                      <w:jc w:val="center"/>
                      <w:rPr>
                        <w:rFonts w:ascii="Times New Roman" w:hAnsi="Times New Roman" w:cs="Times New Roman"/>
                        <w:szCs w:val="21"/>
                      </w:rPr>
                    </w:pPr>
                    <w:r>
                      <w:rPr>
                        <w:rFonts w:ascii="Times New Roman" w:cs="Times New Roman"/>
                        <w:szCs w:val="21"/>
                      </w:rPr>
                      <w:t>本期所得税前发生额</w:t>
                    </w:r>
                  </w:p>
                </w:tc>
              </w:sdtContent>
            </w:sdt>
            <w:sdt>
              <w:sdtPr>
                <w:rPr>
                  <w:rFonts w:ascii="Times New Roman" w:hAnsi="Times New Roman" w:cs="Times New Roman"/>
                </w:rPr>
                <w:tag w:val="_PLD_b9b4a9789ab94b46aa682fa396296a6f"/>
                <w:id w:val="865725959"/>
                <w:lock w:val="sdtLocked"/>
              </w:sdtPr>
              <w:sdtEndPr>
                <w:rPr>
                  <w:rFonts w:ascii="Times New Roman" w:hAnsi="Times New Roman" w:cs="Times New Roman"/>
                </w:rPr>
              </w:sdtEndPr>
              <w:sdtContent>
                <w:tc>
                  <w:tcPr>
                    <w:tcW w:w="471" w:type="pct"/>
                    <w:shd w:val="clear" w:color="auto" w:fill="auto"/>
                    <w:vAlign w:val="center"/>
                  </w:tcPr>
                  <w:p>
                    <w:pPr>
                      <w:jc w:val="center"/>
                      <w:rPr>
                        <w:rFonts w:ascii="Times New Roman" w:hAnsi="Times New Roman" w:cs="Times New Roman"/>
                        <w:szCs w:val="21"/>
                      </w:rPr>
                    </w:pPr>
                    <w:r>
                      <w:rPr>
                        <w:rFonts w:ascii="Times New Roman" w:cs="Times New Roman"/>
                        <w:szCs w:val="21"/>
                      </w:rPr>
                      <w:t>减：前期计入其他综合收益当期转入损益</w:t>
                    </w:r>
                  </w:p>
                </w:tc>
              </w:sdtContent>
            </w:sdt>
            <w:tc>
              <w:tcPr>
                <w:tcW w:w="471" w:type="pct"/>
              </w:tcPr>
              <w:sdt>
                <w:sdtPr>
                  <w:rPr>
                    <w:rFonts w:ascii="Times New Roman" w:hAnsi="Times New Roman" w:cs="Times New Roman"/>
                    <w:szCs w:val="21"/>
                  </w:rPr>
                  <w:tag w:val="_PLD_a38fa46c72bd4d5dbd427d2107ab58cc"/>
                  <w:id w:val="865725960"/>
                  <w:lock w:val="sdtLocked"/>
                </w:sdtPr>
                <w:sdtEndPr>
                  <w:rPr>
                    <w:rFonts w:ascii="Times New Roman" w:hAnsi="Times New Roman" w:cs="Times New Roman"/>
                    <w:szCs w:val="21"/>
                  </w:rPr>
                </w:sdtEndPr>
                <w:sdtContent>
                  <w:p>
                    <w:pPr>
                      <w:jc w:val="center"/>
                      <w:rPr>
                        <w:rFonts w:ascii="Times New Roman" w:hAnsi="Times New Roman" w:cs="Times New Roman"/>
                      </w:rPr>
                    </w:pPr>
                    <w:r>
                      <w:rPr>
                        <w:rFonts w:ascii="Times New Roman" w:cs="Times New Roman"/>
                        <w:szCs w:val="21"/>
                      </w:rPr>
                      <w:t>减：前期计入其他综合收益当期转入留存收益</w:t>
                    </w:r>
                  </w:p>
                </w:sdtContent>
              </w:sdt>
            </w:tc>
            <w:sdt>
              <w:sdtPr>
                <w:rPr>
                  <w:rFonts w:ascii="Times New Roman" w:hAnsi="Times New Roman" w:cs="Times New Roman"/>
                </w:rPr>
                <w:tag w:val="_PLD_3aa0b45624ce4714ba49e23b657915b8"/>
                <w:id w:val="865725961"/>
                <w:lock w:val="sdtLocked"/>
              </w:sdtPr>
              <w:sdtEndPr>
                <w:rPr>
                  <w:rFonts w:ascii="Times New Roman" w:hAnsi="Times New Roman" w:cs="Times New Roman"/>
                </w:rPr>
              </w:sdtEndPr>
              <w:sdtContent>
                <w:tc>
                  <w:tcPr>
                    <w:tcW w:w="471" w:type="pct"/>
                    <w:shd w:val="clear" w:color="auto" w:fill="auto"/>
                    <w:vAlign w:val="center"/>
                  </w:tcPr>
                  <w:p>
                    <w:pPr>
                      <w:jc w:val="center"/>
                      <w:rPr>
                        <w:rFonts w:ascii="Times New Roman" w:hAnsi="Times New Roman" w:cs="Times New Roman"/>
                        <w:szCs w:val="21"/>
                      </w:rPr>
                    </w:pPr>
                    <w:r>
                      <w:rPr>
                        <w:rFonts w:ascii="Times New Roman" w:cs="Times New Roman"/>
                        <w:szCs w:val="21"/>
                      </w:rPr>
                      <w:t>减：所得税费用</w:t>
                    </w:r>
                  </w:p>
                </w:tc>
              </w:sdtContent>
            </w:sdt>
            <w:sdt>
              <w:sdtPr>
                <w:rPr>
                  <w:rFonts w:ascii="Times New Roman" w:hAnsi="Times New Roman" w:cs="Times New Roman"/>
                </w:rPr>
                <w:tag w:val="_PLD_8b3cddc1172740f1a089204a9d0cbe76"/>
                <w:id w:val="865725962"/>
                <w:lock w:val="sdtLocked"/>
              </w:sdtPr>
              <w:sdtEndPr>
                <w:rPr>
                  <w:rFonts w:ascii="Times New Roman" w:hAnsi="Times New Roman" w:cs="Times New Roman"/>
                </w:rPr>
              </w:sdtEndPr>
              <w:sdtContent>
                <w:tc>
                  <w:tcPr>
                    <w:tcW w:w="472" w:type="pct"/>
                    <w:shd w:val="clear" w:color="auto" w:fill="auto"/>
                    <w:vAlign w:val="center"/>
                  </w:tcPr>
                  <w:p>
                    <w:pPr>
                      <w:jc w:val="center"/>
                      <w:rPr>
                        <w:rFonts w:ascii="Times New Roman" w:hAnsi="Times New Roman" w:cs="Times New Roman"/>
                        <w:szCs w:val="21"/>
                      </w:rPr>
                    </w:pPr>
                    <w:r>
                      <w:rPr>
                        <w:rFonts w:ascii="Times New Roman" w:cs="Times New Roman"/>
                        <w:szCs w:val="21"/>
                      </w:rPr>
                      <w:t>税后归属于母公司</w:t>
                    </w:r>
                  </w:p>
                </w:tc>
              </w:sdtContent>
            </w:sdt>
            <w:sdt>
              <w:sdtPr>
                <w:rPr>
                  <w:rFonts w:ascii="Times New Roman" w:hAnsi="Times New Roman" w:cs="Times New Roman"/>
                </w:rPr>
                <w:tag w:val="_PLD_addbe2b10c3b49449f4532c4ee8679a0"/>
                <w:id w:val="865725963"/>
                <w:lock w:val="sdtLocked"/>
              </w:sdtPr>
              <w:sdtEndPr>
                <w:rPr>
                  <w:rFonts w:ascii="Times New Roman" w:hAnsi="Times New Roman" w:cs="Times New Roman"/>
                </w:rPr>
              </w:sdtEndPr>
              <w:sdtContent>
                <w:tc>
                  <w:tcPr>
                    <w:tcW w:w="472" w:type="pct"/>
                    <w:shd w:val="clear" w:color="auto" w:fill="auto"/>
                    <w:vAlign w:val="center"/>
                  </w:tcPr>
                  <w:p>
                    <w:pPr>
                      <w:jc w:val="center"/>
                      <w:rPr>
                        <w:rFonts w:ascii="Times New Roman" w:hAnsi="Times New Roman" w:cs="Times New Roman"/>
                        <w:szCs w:val="21"/>
                      </w:rPr>
                    </w:pPr>
                    <w:r>
                      <w:rPr>
                        <w:rFonts w:ascii="Times New Roman" w:cs="Times New Roman"/>
                        <w:szCs w:val="21"/>
                      </w:rPr>
                      <w:t>税后归属于少数股东</w:t>
                    </w:r>
                  </w:p>
                </w:tc>
              </w:sdtContent>
            </w:sdt>
            <w:tc>
              <w:tcPr>
                <w:tcW w:w="874" w:type="pct"/>
                <w:vMerge w:val="continue"/>
                <w:shd w:val="clear" w:color="auto" w:fill="auto"/>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96033963bb045d6b35757f869c2a5dc"/>
                <w:id w:val="865725964"/>
                <w:lock w:val="sdtLocked"/>
              </w:sdtPr>
              <w:sdtEndPr>
                <w:rPr>
                  <w:rFonts w:ascii="Times New Roman" w:hAnsi="Times New Roman" w:cs="Times New Roman"/>
                </w:rPr>
              </w:sdtEndPr>
              <w:sdtContent>
                <w:tc>
                  <w:tcPr>
                    <w:tcW w:w="470" w:type="pct"/>
                    <w:shd w:val="clear" w:color="auto" w:fill="auto"/>
                    <w:vAlign w:val="center"/>
                  </w:tcPr>
                  <w:p>
                    <w:pPr>
                      <w:rPr>
                        <w:rFonts w:ascii="Times New Roman" w:hAnsi="Times New Roman" w:cs="Times New Roman"/>
                        <w:szCs w:val="21"/>
                      </w:rPr>
                    </w:pPr>
                    <w:r>
                      <w:rPr>
                        <w:rFonts w:ascii="Times New Roman" w:cs="Times New Roman"/>
                        <w:szCs w:val="21"/>
                      </w:rPr>
                      <w:t>一、不能重分类进损益的其他综合收益</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-8,825,807.26</w:t>
                </w: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-8,825,807.26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b42172901564b6ab8ed88abade0e637"/>
                <w:id w:val="865725965"/>
                <w:lock w:val="sdtLocked"/>
              </w:sdtPr>
              <w:sdtEndPr>
                <w:rPr>
                  <w:rFonts w:ascii="Times New Roman" w:hAnsi="Times New Roman" w:cs="Times New Roman"/>
                </w:rPr>
              </w:sdtEndPr>
              <w:sdtContent>
                <w:tc>
                  <w:tcPr>
                    <w:tcW w:w="470" w:type="pct"/>
                    <w:shd w:val="clear" w:color="auto" w:fill="auto"/>
                    <w:vAlign w:val="center"/>
                  </w:tcPr>
                  <w:p>
                    <w:pPr>
                      <w:rPr>
                        <w:rFonts w:ascii="Times New Roman" w:hAnsi="Times New Roman" w:cs="Times New Roman"/>
                        <w:szCs w:val="21"/>
                      </w:rPr>
                    </w:pPr>
                    <w:r>
                      <w:rPr>
                        <w:rFonts w:ascii="Times New Roman" w:cs="Times New Roman"/>
                        <w:szCs w:val="21"/>
                      </w:rPr>
                      <w:t>其中：重新计量设定受益计划变动额</w:t>
                    </w:r>
                  </w:p>
                </w:tc>
              </w:sdtContent>
            </w:sdt>
            <w:tc>
              <w:tcPr>
                <w:tcW w:w="874" w:type="pct"/>
                <w:shd w:val="clear" w:color="auto" w:fill="auto"/>
                <w:vAlign w:val="center"/>
              </w:tcPr>
              <w:p>
                <w:pPr>
                  <w:jc w:val="right"/>
                  <w:rPr>
                    <w:rFonts w:ascii="Times New Roman" w:hAnsi="Times New Roman" w:cs="Times New Roman"/>
                    <w:sz w:val="24"/>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ef94ea8e8c64a679a9c004782dc0d42"/>
                <w:id w:val="865725966"/>
                <w:lock w:val="sdtLocked"/>
              </w:sdtPr>
              <w:sdtEndPr>
                <w:rPr>
                  <w:rFonts w:ascii="Times New Roman" w:hAnsi="Times New Roman" w:cs="Times New Roman"/>
                </w:rPr>
              </w:sdtEndPr>
              <w:sdtContent>
                <w:tc>
                  <w:tcPr>
                    <w:tcW w:w="470" w:type="pct"/>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  </w:t>
                    </w:r>
                    <w:r>
                      <w:rPr>
                        <w:rFonts w:ascii="Times New Roman" w:cs="Times New Roman"/>
                        <w:szCs w:val="21"/>
                      </w:rPr>
                      <w:t>权益法下不能转损益的其他综合收益</w:t>
                    </w:r>
                  </w:p>
                </w:tc>
              </w:sdtContent>
            </w:sdt>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71a59f937d84467bd4e99d5ed8b0958"/>
                <w:id w:val="865725967"/>
                <w:lock w:val="sdtLocked"/>
              </w:sdtPr>
              <w:sdtEndPr>
                <w:rPr>
                  <w:rFonts w:ascii="Times New Roman" w:hAnsi="Times New Roman" w:cs="Times New Roman"/>
                </w:rPr>
              </w:sdtEndPr>
              <w:sdtContent>
                <w:tc>
                  <w:tcPr>
                    <w:tcW w:w="470" w:type="pct"/>
                    <w:shd w:val="clear" w:color="auto" w:fill="auto"/>
                    <w:vAlign w:val="center"/>
                  </w:tcPr>
                  <w:p>
                    <w:pPr>
                      <w:ind w:firstLine="210" w:firstLineChars="100"/>
                      <w:rPr>
                        <w:rFonts w:ascii="Times New Roman" w:hAnsi="Times New Roman" w:cs="Times New Roman"/>
                      </w:rPr>
                    </w:pPr>
                    <w:r>
                      <w:rPr>
                        <w:rFonts w:ascii="Times New Roman" w:cs="Times New Roman"/>
                      </w:rPr>
                      <w:t>其他权益工具投资公允价值变动</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-8,825,807.26</w:t>
                </w: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-8,825,807.26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cb9214acfda8482a8c8491881c32ef7c"/>
                <w:id w:val="865725968"/>
                <w:lock w:val="sdtLocked"/>
              </w:sdtPr>
              <w:sdtEndPr>
                <w:rPr>
                  <w:rFonts w:ascii="Times New Roman" w:hAnsi="Times New Roman" w:cs="Times New Roman"/>
                </w:rPr>
              </w:sdtEndPr>
              <w:sdtContent>
                <w:tc>
                  <w:tcPr>
                    <w:tcW w:w="470" w:type="pct"/>
                    <w:shd w:val="clear" w:color="auto" w:fill="auto"/>
                    <w:vAlign w:val="center"/>
                  </w:tcPr>
                  <w:p>
                    <w:pPr>
                      <w:ind w:firstLine="210" w:firstLineChars="100"/>
                      <w:rPr>
                        <w:rFonts w:ascii="Times New Roman" w:hAnsi="Times New Roman" w:cs="Times New Roman"/>
                      </w:rPr>
                    </w:pPr>
                    <w:r>
                      <w:rPr>
                        <w:rFonts w:ascii="Times New Roman" w:cs="Times New Roman"/>
                      </w:rPr>
                      <w:t>企业自身信用风险公允价值变动</w:t>
                    </w:r>
                  </w:p>
                </w:tc>
              </w:sdtContent>
            </w:sdt>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sdt>
            <w:sdtPr>
              <w:rPr>
                <w:rFonts w:ascii="Times New Roman" w:hAnsi="Times New Roman" w:cs="Times New Roman"/>
                <w:szCs w:val="21"/>
              </w:rPr>
              <w:alias w:val="以后不能重分类进损益的其他综合收益明细"/>
              <w:tag w:val="_TUP_55e0c933a2ee4d55b98747462af86a59"/>
              <w:id w:val="86572596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shd w:val="clear" w:color="auto" w:fill="auto"/>
                  </w:tcPr>
                  <w:p>
                    <w:pPr>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以后不能重分类进损益的其他综合收益明细"/>
              <w:tag w:val="_TUP_55e0c933a2ee4d55b98747462af86a59"/>
              <w:id w:val="86572597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shd w:val="clear" w:color="auto" w:fill="auto"/>
                  </w:tcPr>
                  <w:p>
                    <w:pPr>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f0889046b734fe196430c1e5cdf2719"/>
                <w:id w:val="865725971"/>
                <w:lock w:val="sdtLocked"/>
              </w:sdtPr>
              <w:sdtEndPr>
                <w:rPr>
                  <w:rFonts w:ascii="Times New Roman" w:hAnsi="Times New Roman" w:cs="Times New Roman"/>
                </w:rPr>
              </w:sdtEndPr>
              <w:sdtContent>
                <w:tc>
                  <w:tcPr>
                    <w:tcW w:w="470" w:type="pct"/>
                    <w:shd w:val="clear" w:color="auto" w:fill="auto"/>
                  </w:tcPr>
                  <w:p>
                    <w:pPr>
                      <w:rPr>
                        <w:rFonts w:ascii="Times New Roman" w:hAnsi="Times New Roman" w:cs="Times New Roman"/>
                        <w:szCs w:val="21"/>
                      </w:rPr>
                    </w:pPr>
                    <w:r>
                      <w:rPr>
                        <w:rFonts w:ascii="Times New Roman" w:cs="Times New Roman"/>
                        <w:szCs w:val="21"/>
                      </w:rPr>
                      <w:t>二、将重分类进损益的其他综合收益</w:t>
                    </w:r>
                  </w:p>
                </w:tc>
              </w:sdtContent>
            </w:sdt>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f0e21d82f454f408229c1cb57e09699"/>
                <w:id w:val="865725972"/>
                <w:lock w:val="sdtLocked"/>
              </w:sdtPr>
              <w:sdtEndPr>
                <w:rPr>
                  <w:rFonts w:ascii="Times New Roman" w:hAnsi="Times New Roman" w:cs="Times New Roman"/>
                </w:rPr>
              </w:sdtEndPr>
              <w:sdtContent>
                <w:tc>
                  <w:tcPr>
                    <w:tcW w:w="470" w:type="pct"/>
                    <w:shd w:val="clear" w:color="auto" w:fill="auto"/>
                  </w:tcPr>
                  <w:p>
                    <w:pPr>
                      <w:rPr>
                        <w:rFonts w:ascii="Times New Roman" w:hAnsi="Times New Roman" w:cs="Times New Roman"/>
                        <w:szCs w:val="21"/>
                      </w:rPr>
                    </w:pPr>
                    <w:r>
                      <w:rPr>
                        <w:rFonts w:ascii="Times New Roman" w:cs="Times New Roman"/>
                        <w:szCs w:val="21"/>
                      </w:rPr>
                      <w:t>其中：权益法下可转损益的其他综合收益</w:t>
                    </w:r>
                  </w:p>
                </w:tc>
              </w:sdtContent>
            </w:sdt>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5f5542d19ea42639ccab2e59cea3068"/>
                <w:id w:val="865725973"/>
                <w:lock w:val="sdtLocked"/>
              </w:sdtPr>
              <w:sdtEndPr>
                <w:rPr>
                  <w:rFonts w:ascii="Times New Roman" w:hAnsi="Times New Roman" w:cs="Times New Roman"/>
                </w:rPr>
              </w:sdtEndPr>
              <w:sdtContent>
                <w:tc>
                  <w:tcPr>
                    <w:tcW w:w="470" w:type="pct"/>
                    <w:shd w:val="clear" w:color="auto" w:fill="auto"/>
                  </w:tcPr>
                  <w:p>
                    <w:pPr>
                      <w:ind w:firstLine="210" w:firstLineChars="100"/>
                      <w:rPr>
                        <w:rFonts w:ascii="Times New Roman" w:hAnsi="Times New Roman" w:cs="Times New Roman"/>
                      </w:rPr>
                    </w:pPr>
                    <w:r>
                      <w:rPr>
                        <w:rFonts w:ascii="Times New Roman" w:cs="Times New Roman"/>
                      </w:rPr>
                      <w:t>其他债权投资公允价值变动</w:t>
                    </w:r>
                  </w:p>
                </w:tc>
              </w:sdtContent>
            </w:sdt>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34d4691560846d6a2e8d56eaac2fc7d"/>
                <w:id w:val="865725974"/>
                <w:lock w:val="sdtLocked"/>
              </w:sdtPr>
              <w:sdtEndPr>
                <w:rPr>
                  <w:rFonts w:ascii="Times New Roman" w:hAnsi="Times New Roman" w:cs="Times New Roman"/>
                </w:rPr>
              </w:sdtEndPr>
              <w:sdtContent>
                <w:tc>
                  <w:tcPr>
                    <w:tcW w:w="470" w:type="pct"/>
                    <w:shd w:val="clear" w:color="auto" w:fill="auto"/>
                  </w:tcPr>
                  <w:p>
                    <w:pPr>
                      <w:ind w:firstLine="210" w:firstLineChars="100"/>
                      <w:rPr>
                        <w:rFonts w:ascii="Times New Roman" w:hAnsi="Times New Roman" w:cs="Times New Roman"/>
                      </w:rPr>
                    </w:pPr>
                    <w:r>
                      <w:rPr>
                        <w:rFonts w:ascii="Times New Roman" w:cs="Times New Roman"/>
                      </w:rPr>
                      <w:t>金融资产重分类计入其他综合收益的金额</w:t>
                    </w:r>
                  </w:p>
                </w:tc>
              </w:sdtContent>
            </w:sdt>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4f19ba1a2e14a69bf876072b1f68cbf"/>
                <w:id w:val="865725975"/>
                <w:lock w:val="sdtLocked"/>
              </w:sdtPr>
              <w:sdtEndPr>
                <w:rPr>
                  <w:rFonts w:ascii="Times New Roman" w:hAnsi="Times New Roman" w:cs="Times New Roman"/>
                </w:rPr>
              </w:sdtEndPr>
              <w:sdtContent>
                <w:tc>
                  <w:tcPr>
                    <w:tcW w:w="470" w:type="pct"/>
                    <w:shd w:val="clear" w:color="auto" w:fill="auto"/>
                  </w:tcPr>
                  <w:p>
                    <w:pPr>
                      <w:ind w:firstLine="210" w:firstLineChars="100"/>
                      <w:rPr>
                        <w:rFonts w:ascii="Times New Roman" w:hAnsi="Times New Roman" w:cs="Times New Roman"/>
                      </w:rPr>
                    </w:pPr>
                    <w:r>
                      <w:rPr>
                        <w:rFonts w:ascii="Times New Roman" w:cs="Times New Roman"/>
                      </w:rPr>
                      <w:t>其他债权投资信用减值准备</w:t>
                    </w:r>
                  </w:p>
                </w:tc>
              </w:sdtContent>
            </w:sdt>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bb3a499562f4720af567084f6f57266"/>
                <w:id w:val="865725976"/>
                <w:lock w:val="sdtLocked"/>
              </w:sdtPr>
              <w:sdtEndPr>
                <w:rPr>
                  <w:rFonts w:ascii="Times New Roman" w:hAnsi="Times New Roman" w:cs="Times New Roman"/>
                </w:rPr>
              </w:sdtEndPr>
              <w:sdtContent>
                <w:tc>
                  <w:tcPr>
                    <w:tcW w:w="470" w:type="pct"/>
                    <w:shd w:val="clear" w:color="auto" w:fill="auto"/>
                  </w:tcPr>
                  <w:p>
                    <w:pPr>
                      <w:rPr>
                        <w:rFonts w:ascii="Times New Roman" w:hAnsi="Times New Roman" w:cs="Times New Roman"/>
                        <w:szCs w:val="21"/>
                      </w:rPr>
                    </w:pPr>
                    <w:r>
                      <w:rPr>
                        <w:rFonts w:ascii="Times New Roman" w:hAnsi="Times New Roman" w:cs="Times New Roman"/>
                        <w:szCs w:val="21"/>
                      </w:rPr>
                      <w:t xml:space="preserve">  </w:t>
                    </w:r>
                    <w:r>
                      <w:rPr>
                        <w:rFonts w:ascii="Times New Roman" w:cs="Times New Roman"/>
                        <w:szCs w:val="21"/>
                      </w:rPr>
                      <w:t>现金流量套期储备</w:t>
                    </w:r>
                  </w:p>
                </w:tc>
              </w:sdtContent>
            </w:sdt>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61ac0c90b424af2a90f3f46f03d697d"/>
                <w:id w:val="865725977"/>
                <w:lock w:val="sdtLocked"/>
              </w:sdtPr>
              <w:sdtEndPr>
                <w:rPr>
                  <w:rFonts w:ascii="Times New Roman" w:hAnsi="Times New Roman" w:cs="Times New Roman"/>
                </w:rPr>
              </w:sdtEndPr>
              <w:sdtContent>
                <w:tc>
                  <w:tcPr>
                    <w:tcW w:w="470" w:type="pct"/>
                    <w:shd w:val="clear" w:color="auto" w:fill="auto"/>
                  </w:tcPr>
                  <w:p>
                    <w:pPr>
                      <w:rPr>
                        <w:rFonts w:ascii="Times New Roman" w:hAnsi="Times New Roman" w:cs="Times New Roman"/>
                        <w:szCs w:val="21"/>
                      </w:rPr>
                    </w:pPr>
                    <w:r>
                      <w:rPr>
                        <w:rFonts w:ascii="Times New Roman" w:hAnsi="Times New Roman" w:cs="Times New Roman"/>
                        <w:szCs w:val="21"/>
                      </w:rPr>
                      <w:t xml:space="preserve">  </w:t>
                    </w:r>
                    <w:r>
                      <w:rPr>
                        <w:rFonts w:ascii="Times New Roman" w:cs="Times New Roman"/>
                        <w:szCs w:val="21"/>
                      </w:rPr>
                      <w:t>外币财务报表折算差额</w:t>
                    </w:r>
                  </w:p>
                </w:tc>
              </w:sdtContent>
            </w:sdt>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sdt>
            <w:sdtPr>
              <w:rPr>
                <w:rFonts w:ascii="Times New Roman" w:hAnsi="Times New Roman" w:cs="Times New Roman"/>
                <w:szCs w:val="21"/>
              </w:rPr>
              <w:alias w:val="以后将重分类进损益的其他综合收益明细"/>
              <w:tag w:val="_TUP_225b59470a114f93a7b79e8713124de8"/>
              <w:id w:val="86572597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bottom w:val="single" w:color="auto" w:sz="4" w:space="0"/>
                    </w:tcBorders>
                    <w:shd w:val="clear" w:color="auto" w:fill="auto"/>
                  </w:tcPr>
                  <w:p>
                    <w:pPr>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以后将重分类进损益的其他综合收益明细"/>
              <w:tag w:val="_TUP_225b59470a114f93a7b79e8713124de8"/>
              <w:id w:val="86572597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bottom w:val="single" w:color="auto" w:sz="4" w:space="0"/>
                    </w:tcBorders>
                    <w:shd w:val="clear" w:color="auto" w:fill="auto"/>
                  </w:tcPr>
                  <w:p>
                    <w:pPr>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ad7dfdffcbb4195853f9f7672607063"/>
                <w:id w:val="865725980"/>
                <w:lock w:val="sdtLocked"/>
              </w:sdtPr>
              <w:sdtEndPr>
                <w:rPr>
                  <w:rFonts w:ascii="Times New Roman" w:hAnsi="Times New Roman" w:cs="Times New Roman"/>
                </w:rPr>
              </w:sdtEndPr>
              <w:sdtContent>
                <w:tc>
                  <w:tcPr>
                    <w:tcW w:w="470" w:type="pct"/>
                    <w:shd w:val="clear" w:color="auto" w:fill="auto"/>
                    <w:vAlign w:val="center"/>
                  </w:tcPr>
                  <w:p>
                    <w:pPr>
                      <w:rPr>
                        <w:rFonts w:ascii="Times New Roman" w:hAnsi="Times New Roman" w:cs="Times New Roman"/>
                        <w:szCs w:val="21"/>
                      </w:rPr>
                    </w:pPr>
                    <w:r>
                      <w:rPr>
                        <w:rFonts w:ascii="Times New Roman" w:cs="Times New Roman"/>
                        <w:szCs w:val="21"/>
                      </w:rPr>
                      <w:t>其他综合收益合计</w:t>
                    </w:r>
                  </w:p>
                </w:tc>
              </w:sdtContent>
            </w:sdt>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-8,825,807.26</w:t>
                </w:r>
              </w:p>
            </w:tc>
            <w:tc>
              <w:tcPr>
                <w:tcW w:w="426" w:type="pct"/>
                <w:shd w:val="clear" w:color="auto" w:fill="auto"/>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1" w:type="pct"/>
                <w:vAlign w:val="center"/>
              </w:tcPr>
              <w:p>
                <w:pPr>
                  <w:jc w:val="right"/>
                  <w:rPr>
                    <w:rFonts w:ascii="Times New Roman" w:hAnsi="Times New Roman" w:cs="Times New Roman"/>
                    <w:szCs w:val="21"/>
                  </w:rPr>
                </w:pPr>
              </w:p>
            </w:tc>
            <w:tc>
              <w:tcPr>
                <w:tcW w:w="471"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472" w:type="pct"/>
                <w:shd w:val="clear" w:color="auto" w:fill="auto"/>
                <w:vAlign w:val="center"/>
              </w:tcPr>
              <w:p>
                <w:pPr>
                  <w:jc w:val="right"/>
                  <w:rPr>
                    <w:rFonts w:ascii="Times New Roman" w:hAnsi="Times New Roman" w:cs="Times New Roman"/>
                    <w:szCs w:val="21"/>
                  </w:rPr>
                </w:pPr>
              </w:p>
            </w:tc>
            <w:tc>
              <w:tcPr>
                <w:tcW w:w="874" w:type="pct"/>
                <w:shd w:val="clear" w:color="auto" w:fill="auto"/>
                <w:vAlign w:val="center"/>
              </w:tcPr>
              <w:p>
                <w:pPr>
                  <w:jc w:val="right"/>
                  <w:rPr>
                    <w:rFonts w:ascii="Times New Roman" w:hAnsi="Times New Roman" w:cs="Times New Roman"/>
                    <w:sz w:val="24"/>
                  </w:rPr>
                </w:pPr>
                <w:r>
                  <w:rPr>
                    <w:rFonts w:ascii="Times New Roman" w:hAnsi="Times New Roman" w:cs="Times New Roman"/>
                  </w:rPr>
                  <w:t>-8,825,807.26</w:t>
                </w:r>
              </w:p>
            </w:tc>
          </w:tr>
        </w:tbl>
        <w:p>
          <w:pPr>
            <w:rPr>
              <w:szCs w:val="21"/>
            </w:rPr>
          </w:pPr>
        </w:p>
        <w:p>
          <w:pPr>
            <w:rPr>
              <w:szCs w:val="21"/>
            </w:rPr>
          </w:pPr>
        </w:p>
      </w:sdtContent>
    </w:sdt>
    <w:bookmarkEnd w:id="214"/>
    <w:sdt>
      <w:sdtPr>
        <w:rPr>
          <w:rFonts w:hint="eastAsia" w:ascii="宋体" w:hAnsi="宋体" w:cs="宋体"/>
          <w:b w:val="0"/>
          <w:bCs w:val="0"/>
          <w:kern w:val="0"/>
          <w:szCs w:val="21"/>
        </w:rPr>
        <w:alias w:val="模块:专项储备"/>
        <w:tag w:val="_SEC_84ba198e06284c06a5fcfe80ab43de2c"/>
        <w:id w:val="865725984"/>
        <w:lock w:val="sdtLocked"/>
        <w:placeholder>
          <w:docPart w:val="GBC22222222222222222222222222222"/>
        </w:placeholder>
      </w:sdtPr>
      <w:sdtEndPr>
        <w:rPr>
          <w:rFonts w:hint="default" w:ascii="宋体" w:hAnsi="宋体" w:cstheme="minorBidi"/>
          <w:b w:val="0"/>
          <w:bCs w:val="0"/>
          <w:color w:val="000000" w:themeColor="text1"/>
          <w:kern w:val="0"/>
          <w:szCs w:val="21"/>
        </w:rPr>
      </w:sdtEndPr>
      <w:sdtContent>
        <w:p>
          <w:pPr>
            <w:pStyle w:val="4"/>
            <w:numPr>
              <w:ilvl w:val="0"/>
              <w:numId w:val="79"/>
            </w:numPr>
            <w:tabs>
              <w:tab w:val="left" w:pos="504"/>
            </w:tabs>
            <w:rPr>
              <w:rFonts w:ascii="宋体" w:hAnsi="宋体"/>
              <w:szCs w:val="21"/>
            </w:rPr>
          </w:pPr>
          <w:r>
            <w:rPr>
              <w:rFonts w:hint="eastAsia" w:ascii="宋体" w:hAnsi="宋体"/>
              <w:szCs w:val="21"/>
            </w:rPr>
            <w:t>专项储备</w:t>
          </w:r>
        </w:p>
        <w:sdt>
          <w:sdtPr>
            <w:alias w:val="是否适用：专项储备[双击切换]"/>
            <w:tag w:val="_GBC_0e2f337ccf9a4bc6919cf02a896e57c1"/>
            <w:id w:val="86572598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p>
      <w:pPr>
        <w:rPr>
          <w:szCs w:val="21"/>
        </w:rPr>
      </w:pPr>
    </w:p>
    <w:sdt>
      <w:sdtPr>
        <w:rPr>
          <w:rFonts w:hint="eastAsia" w:ascii="宋体" w:hAnsi="宋体" w:cs="宋体"/>
          <w:b w:val="0"/>
          <w:bCs w:val="0"/>
          <w:kern w:val="0"/>
          <w:szCs w:val="21"/>
        </w:rPr>
        <w:alias w:val="模块:盈余公积"/>
        <w:tag w:val="_SEC_e4999705883d4533b90d93a828deecc9"/>
        <w:id w:val="865726000"/>
        <w:lock w:val="sdtLocked"/>
        <w:placeholder>
          <w:docPart w:val="GBC22222222222222222222222222222"/>
        </w:placeholder>
      </w:sdtPr>
      <w:sdtEndPr>
        <w:rPr>
          <w:rFonts w:hint="default" w:ascii="Calibri" w:hAnsi="Calibri" w:cstheme="minorBidi"/>
          <w:b/>
          <w:bCs/>
          <w:kern w:val="2"/>
          <w:szCs w:val="21"/>
        </w:rPr>
      </w:sdtEndPr>
      <w:sdtContent>
        <w:p>
          <w:pPr>
            <w:pStyle w:val="4"/>
            <w:numPr>
              <w:ilvl w:val="0"/>
              <w:numId w:val="79"/>
            </w:numPr>
            <w:tabs>
              <w:tab w:val="left" w:pos="504"/>
            </w:tabs>
            <w:rPr>
              <w:rFonts w:ascii="宋体" w:hAnsi="宋体"/>
              <w:szCs w:val="21"/>
            </w:rPr>
          </w:pPr>
          <w:r>
            <w:rPr>
              <w:rFonts w:hint="eastAsia" w:ascii="宋体" w:hAnsi="宋体"/>
              <w:szCs w:val="21"/>
            </w:rPr>
            <w:t>盈余公积</w:t>
          </w:r>
        </w:p>
        <w:sdt>
          <w:sdtPr>
            <w:alias w:val="是否适用：盈余公积[双击切换]"/>
            <w:tag w:val="_GBC_5a507b0ba3a44a2c828e4df049852353"/>
            <w:id w:val="865725985"/>
            <w:lock w:val="sdtLocked"/>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盈余公积"/>
              <w:tag w:val="_GBC_8ca7c8f8d04e47ff92c33109bbf55576"/>
              <w:id w:val="865725986"/>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86572598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71"/>
            <w:gridCol w:w="1798"/>
            <w:gridCol w:w="1804"/>
            <w:gridCol w:w="1816"/>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imes New Roman" w:hAnsi="Times New Roman" w:cs="Times New Roman"/>
                </w:rPr>
                <w:tag w:val="_PLD_448cc13fae91499a9f41c6e4c1f51937"/>
                <w:id w:val="865725988"/>
                <w:lock w:val="sdtLocked"/>
              </w:sdtPr>
              <w:sdtEndPr>
                <w:rPr>
                  <w:rFonts w:ascii="Times New Roman" w:hAnsi="Times New Roman" w:cs="Times New Roman"/>
                </w:rPr>
              </w:sdtEndPr>
              <w:sdtContent>
                <w:tc>
                  <w:tcPr>
                    <w:tcW w:w="940" w:type="pct"/>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112a59f6ca7b4b5f8ced860f9465eb1a"/>
                <w:id w:val="865725989"/>
                <w:lock w:val="sdtLocked"/>
              </w:sdtPr>
              <w:sdtEndPr>
                <w:rPr>
                  <w:rFonts w:ascii="Times New Roman" w:hAnsi="Times New Roman" w:cs="Times New Roman"/>
                </w:rPr>
              </w:sdtEndPr>
              <w:sdtContent>
                <w:tc>
                  <w:tcPr>
                    <w:tcW w:w="1011" w:type="pct"/>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期初余额</w:t>
                    </w:r>
                  </w:p>
                </w:tc>
              </w:sdtContent>
            </w:sdt>
            <w:sdt>
              <w:sdtPr>
                <w:rPr>
                  <w:rFonts w:ascii="Times New Roman" w:hAnsi="Times New Roman" w:cs="Times New Roman"/>
                </w:rPr>
                <w:tag w:val="_PLD_a2c4f4720dd7427b93c04e32666cfd69"/>
                <w:id w:val="865725990"/>
                <w:lock w:val="sdtLocked"/>
              </w:sdtPr>
              <w:sdtEndPr>
                <w:rPr>
                  <w:rFonts w:ascii="Times New Roman" w:hAnsi="Times New Roman" w:cs="Times New Roman"/>
                </w:rPr>
              </w:sdtEndPr>
              <w:sdtContent>
                <w:tc>
                  <w:tcPr>
                    <w:tcW w:w="1014" w:type="pct"/>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本期增加</w:t>
                    </w:r>
                  </w:p>
                </w:tc>
              </w:sdtContent>
            </w:sdt>
            <w:sdt>
              <w:sdtPr>
                <w:rPr>
                  <w:rFonts w:ascii="Times New Roman" w:hAnsi="Times New Roman" w:cs="Times New Roman"/>
                </w:rPr>
                <w:tag w:val="_PLD_ad1876bb4d7c41eaa003da876ae9e601"/>
                <w:id w:val="865725991"/>
                <w:lock w:val="sdtLocked"/>
              </w:sdtPr>
              <w:sdtEndPr>
                <w:rPr>
                  <w:rFonts w:ascii="Times New Roman" w:hAnsi="Times New Roman" w:cs="Times New Roman"/>
                </w:rPr>
              </w:sdtEndPr>
              <w:sdtContent>
                <w:tc>
                  <w:tcPr>
                    <w:tcW w:w="1021" w:type="pct"/>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本期减少</w:t>
                    </w:r>
                  </w:p>
                </w:tc>
              </w:sdtContent>
            </w:sdt>
            <w:sdt>
              <w:sdtPr>
                <w:rPr>
                  <w:rFonts w:ascii="Times New Roman" w:hAnsi="Times New Roman" w:cs="Times New Roman"/>
                </w:rPr>
                <w:tag w:val="_PLD_45d6cc2a2d2140619579c3f035df8d6a"/>
                <w:id w:val="865725992"/>
                <w:lock w:val="sdtLocked"/>
              </w:sdtPr>
              <w:sdtEndPr>
                <w:rPr>
                  <w:rFonts w:ascii="Times New Roman" w:hAnsi="Times New Roman" w:cs="Times New Roman"/>
                </w:rPr>
              </w:sdtEndPr>
              <w:sdtContent>
                <w:tc>
                  <w:tcPr>
                    <w:tcW w:w="1014" w:type="pct"/>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imes New Roman" w:hAnsi="Times New Roman" w:cs="Times New Roman"/>
                </w:rPr>
                <w:tag w:val="_PLD_96c6453732574f80b65848edf92a42a6"/>
                <w:id w:val="865725993"/>
                <w:lock w:val="sdtLocked"/>
              </w:sdtPr>
              <w:sdtEndPr>
                <w:rPr>
                  <w:rFonts w:ascii="Times New Roman" w:hAnsi="Times New Roman" w:cs="Times New Roman"/>
                </w:rPr>
              </w:sdtEndPr>
              <w:sdtContent>
                <w:tc>
                  <w:tcPr>
                    <w:tcW w:w="940" w:type="pct"/>
                    <w:shd w:val="clear" w:color="auto" w:fill="auto"/>
                    <w:vAlign w:val="center"/>
                  </w:tcPr>
                  <w:p>
                    <w:pPr>
                      <w:autoSpaceDE w:val="0"/>
                      <w:autoSpaceDN w:val="0"/>
                      <w:adjustRightInd w:val="0"/>
                      <w:snapToGrid w:val="0"/>
                      <w:jc w:val="both"/>
                      <w:rPr>
                        <w:rFonts w:ascii="Times New Roman" w:hAnsi="Times New Roman" w:cs="Times New Roman"/>
                        <w:szCs w:val="21"/>
                      </w:rPr>
                    </w:pPr>
                    <w:r>
                      <w:rPr>
                        <w:rFonts w:ascii="Times New Roman" w:cs="Times New Roman"/>
                        <w:szCs w:val="21"/>
                      </w:rPr>
                      <w:t>法定盈余公积</w:t>
                    </w:r>
                  </w:p>
                </w:tc>
              </w:sdtContent>
            </w:sdt>
            <w:tc>
              <w:tcPr>
                <w:tcW w:w="1011"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r>
                  <w:rPr>
                    <w:rFonts w:ascii="Times New Roman" w:hAnsi="Times New Roman" w:cs="Times New Roman"/>
                    <w:szCs w:val="21"/>
                  </w:rPr>
                  <w:t>168,267,209.91</w:t>
                </w:r>
              </w:p>
            </w:tc>
            <w:tc>
              <w:tcPr>
                <w:tcW w:w="1014"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21"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r>
                  <w:rPr>
                    <w:rFonts w:ascii="Times New Roman" w:hAnsi="Times New Roman" w:cs="Times New Roman"/>
                    <w:szCs w:val="21"/>
                  </w:rPr>
                  <w:t>168,267,209.91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imes New Roman" w:hAnsi="Times New Roman" w:cs="Times New Roman"/>
                </w:rPr>
                <w:tag w:val="_PLD_89d0d90396b9478283481624bade933a"/>
                <w:id w:val="865725994"/>
                <w:lock w:val="sdtLocked"/>
              </w:sdtPr>
              <w:sdtEndPr>
                <w:rPr>
                  <w:rFonts w:ascii="Times New Roman" w:hAnsi="Times New Roman" w:cs="Times New Roman"/>
                </w:rPr>
              </w:sdtEndPr>
              <w:sdtContent>
                <w:tc>
                  <w:tcPr>
                    <w:tcW w:w="940" w:type="pct"/>
                    <w:shd w:val="clear" w:color="auto" w:fill="auto"/>
                    <w:vAlign w:val="center"/>
                  </w:tcPr>
                  <w:p>
                    <w:pPr>
                      <w:autoSpaceDE w:val="0"/>
                      <w:autoSpaceDN w:val="0"/>
                      <w:adjustRightInd w:val="0"/>
                      <w:snapToGrid w:val="0"/>
                      <w:jc w:val="both"/>
                      <w:rPr>
                        <w:rFonts w:ascii="Times New Roman" w:hAnsi="Times New Roman" w:cs="Times New Roman"/>
                        <w:szCs w:val="21"/>
                      </w:rPr>
                    </w:pPr>
                    <w:r>
                      <w:rPr>
                        <w:rFonts w:ascii="Times New Roman" w:cs="Times New Roman"/>
                        <w:szCs w:val="21"/>
                      </w:rPr>
                      <w:t>任意盈余公积</w:t>
                    </w:r>
                  </w:p>
                </w:tc>
              </w:sdtContent>
            </w:sdt>
            <w:tc>
              <w:tcPr>
                <w:tcW w:w="1011"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r>
                  <w:rPr>
                    <w:rFonts w:ascii="Times New Roman" w:hAnsi="Times New Roman" w:cs="Times New Roman"/>
                    <w:szCs w:val="21"/>
                  </w:rPr>
                  <w:t>77,354,638.84</w:t>
                </w:r>
              </w:p>
            </w:tc>
            <w:tc>
              <w:tcPr>
                <w:tcW w:w="1014"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21"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r>
                  <w:rPr>
                    <w:rFonts w:ascii="Times New Roman" w:hAnsi="Times New Roman" w:cs="Times New Roman"/>
                    <w:szCs w:val="21"/>
                  </w:rPr>
                  <w:t>77,354,638.84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imes New Roman" w:hAnsi="Times New Roman" w:cs="Times New Roman"/>
                </w:rPr>
                <w:tag w:val="_PLD_096c92032a4d423997eee978b2f5aab3"/>
                <w:id w:val="865725995"/>
                <w:lock w:val="sdtLocked"/>
              </w:sdtPr>
              <w:sdtEndPr>
                <w:rPr>
                  <w:rFonts w:ascii="Times New Roman" w:hAnsi="Times New Roman" w:cs="Times New Roman"/>
                </w:rPr>
              </w:sdtEndPr>
              <w:sdtContent>
                <w:tc>
                  <w:tcPr>
                    <w:tcW w:w="940" w:type="pct"/>
                    <w:shd w:val="clear" w:color="auto" w:fill="auto"/>
                    <w:vAlign w:val="center"/>
                  </w:tcPr>
                  <w:p>
                    <w:pPr>
                      <w:autoSpaceDE w:val="0"/>
                      <w:autoSpaceDN w:val="0"/>
                      <w:adjustRightInd w:val="0"/>
                      <w:snapToGrid w:val="0"/>
                      <w:jc w:val="both"/>
                      <w:rPr>
                        <w:rFonts w:ascii="Times New Roman" w:hAnsi="Times New Roman" w:cs="Times New Roman"/>
                        <w:szCs w:val="21"/>
                      </w:rPr>
                    </w:pPr>
                    <w:r>
                      <w:rPr>
                        <w:rFonts w:ascii="Times New Roman" w:cs="Times New Roman"/>
                        <w:szCs w:val="21"/>
                      </w:rPr>
                      <w:t>储备基金</w:t>
                    </w:r>
                  </w:p>
                </w:tc>
              </w:sdtContent>
            </w:sdt>
            <w:tc>
              <w:tcPr>
                <w:tcW w:w="1011"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21"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imes New Roman" w:hAnsi="Times New Roman" w:cs="Times New Roman"/>
                </w:rPr>
                <w:tag w:val="_PLD_96d890829e5d46cd931c8d8527d112fa"/>
                <w:id w:val="865725996"/>
                <w:lock w:val="sdtLocked"/>
              </w:sdtPr>
              <w:sdtEndPr>
                <w:rPr>
                  <w:rFonts w:ascii="Times New Roman" w:hAnsi="Times New Roman" w:cs="Times New Roman"/>
                </w:rPr>
              </w:sdtEndPr>
              <w:sdtContent>
                <w:tc>
                  <w:tcPr>
                    <w:tcW w:w="940" w:type="pct"/>
                    <w:shd w:val="clear" w:color="auto" w:fill="auto"/>
                    <w:vAlign w:val="center"/>
                  </w:tcPr>
                  <w:p>
                    <w:pPr>
                      <w:autoSpaceDE w:val="0"/>
                      <w:autoSpaceDN w:val="0"/>
                      <w:adjustRightInd w:val="0"/>
                      <w:snapToGrid w:val="0"/>
                      <w:jc w:val="both"/>
                      <w:rPr>
                        <w:rFonts w:ascii="Times New Roman" w:hAnsi="Times New Roman" w:cs="Times New Roman"/>
                        <w:szCs w:val="21"/>
                      </w:rPr>
                    </w:pPr>
                    <w:r>
                      <w:rPr>
                        <w:rFonts w:ascii="Times New Roman" w:cs="Times New Roman"/>
                        <w:szCs w:val="21"/>
                      </w:rPr>
                      <w:t>企业发展基金</w:t>
                    </w:r>
                  </w:p>
                </w:tc>
              </w:sdtContent>
            </w:sdt>
            <w:tc>
              <w:tcPr>
                <w:tcW w:w="1011"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21"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imes New Roman" w:hAnsi="Times New Roman" w:cs="Times New Roman"/>
                </w:rPr>
                <w:tag w:val="_PLD_787d99c8eadb474ba4234e63ddea7355"/>
                <w:id w:val="865725997"/>
                <w:lock w:val="sdtLocked"/>
              </w:sdtPr>
              <w:sdtEndPr>
                <w:rPr>
                  <w:rFonts w:ascii="Times New Roman" w:hAnsi="Times New Roman" w:cs="Times New Roman"/>
                </w:rPr>
              </w:sdtEndPr>
              <w:sdtContent>
                <w:tc>
                  <w:tcPr>
                    <w:tcW w:w="940" w:type="pct"/>
                    <w:shd w:val="clear" w:color="auto" w:fill="auto"/>
                    <w:vAlign w:val="center"/>
                  </w:tcPr>
                  <w:p>
                    <w:pPr>
                      <w:autoSpaceDE w:val="0"/>
                      <w:autoSpaceDN w:val="0"/>
                      <w:adjustRightInd w:val="0"/>
                      <w:snapToGrid w:val="0"/>
                      <w:jc w:val="both"/>
                      <w:rPr>
                        <w:rFonts w:ascii="Times New Roman" w:hAnsi="Times New Roman" w:cs="Times New Roman"/>
                        <w:szCs w:val="21"/>
                      </w:rPr>
                    </w:pPr>
                    <w:r>
                      <w:rPr>
                        <w:rFonts w:ascii="Times New Roman" w:cs="Times New Roman"/>
                        <w:szCs w:val="21"/>
                      </w:rPr>
                      <w:t>其他</w:t>
                    </w:r>
                  </w:p>
                </w:tc>
              </w:sdtContent>
            </w:sdt>
            <w:tc>
              <w:tcPr>
                <w:tcW w:w="1011"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21"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pPr>
                  <w:autoSpaceDE w:val="0"/>
                  <w:autoSpaceDN w:val="0"/>
                  <w:adjustRightInd w:val="0"/>
                  <w:snapToGrid w:val="0"/>
                  <w:ind w:right="18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imes New Roman" w:hAnsi="Times New Roman" w:cs="Times New Roman"/>
                </w:rPr>
                <w:tag w:val="_PLD_761553a81bb545a7b32754ce7ef6325b"/>
                <w:id w:val="865725998"/>
                <w:lock w:val="sdtLocked"/>
              </w:sdtPr>
              <w:sdtEndPr>
                <w:rPr>
                  <w:rFonts w:ascii="Times New Roman" w:hAnsi="Times New Roman" w:cs="Times New Roman"/>
                </w:rPr>
              </w:sdtEndPr>
              <w:sdtContent>
                <w:tc>
                  <w:tcPr>
                    <w:tcW w:w="940" w:type="pct"/>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合计</w:t>
                    </w:r>
                  </w:p>
                </w:tc>
              </w:sdtContent>
            </w:sdt>
            <w:tc>
              <w:tcPr>
                <w:tcW w:w="1011" w:type="pct"/>
                <w:vAlign w:val="center"/>
              </w:tcPr>
              <w:p>
                <w:pPr>
                  <w:autoSpaceDE w:val="0"/>
                  <w:autoSpaceDN w:val="0"/>
                  <w:adjustRightInd w:val="0"/>
                  <w:snapToGrid w:val="0"/>
                  <w:ind w:right="180"/>
                  <w:jc w:val="right"/>
                  <w:rPr>
                    <w:rFonts w:ascii="Times New Roman" w:hAnsi="Times New Roman" w:cs="Times New Roman"/>
                    <w:szCs w:val="21"/>
                  </w:rPr>
                </w:pPr>
                <w:r>
                  <w:rPr>
                    <w:rFonts w:ascii="Times New Roman" w:hAnsi="Times New Roman" w:cs="Times New Roman"/>
                    <w:szCs w:val="21"/>
                  </w:rPr>
                  <w:t>245,621,848.75</w:t>
                </w:r>
              </w:p>
            </w:tc>
            <w:tc>
              <w:tcPr>
                <w:tcW w:w="1014" w:type="pct"/>
                <w:vAlign w:val="center"/>
              </w:tcPr>
              <w:p>
                <w:pPr>
                  <w:autoSpaceDE w:val="0"/>
                  <w:autoSpaceDN w:val="0"/>
                  <w:adjustRightInd w:val="0"/>
                  <w:snapToGrid w:val="0"/>
                  <w:ind w:right="180"/>
                  <w:jc w:val="right"/>
                  <w:rPr>
                    <w:rFonts w:ascii="Times New Roman" w:hAnsi="Times New Roman" w:cs="Times New Roman"/>
                    <w:szCs w:val="21"/>
                  </w:rPr>
                </w:pPr>
              </w:p>
            </w:tc>
            <w:tc>
              <w:tcPr>
                <w:tcW w:w="1021" w:type="pct"/>
                <w:vAlign w:val="center"/>
              </w:tcPr>
              <w:p>
                <w:pPr>
                  <w:autoSpaceDE w:val="0"/>
                  <w:autoSpaceDN w:val="0"/>
                  <w:adjustRightInd w:val="0"/>
                  <w:snapToGrid w:val="0"/>
                  <w:ind w:right="180"/>
                  <w:jc w:val="right"/>
                  <w:rPr>
                    <w:rFonts w:ascii="Times New Roman" w:hAnsi="Times New Roman" w:cs="Times New Roman"/>
                    <w:szCs w:val="21"/>
                  </w:rPr>
                </w:pPr>
              </w:p>
            </w:tc>
            <w:tc>
              <w:tcPr>
                <w:tcW w:w="1014" w:type="pct"/>
                <w:vAlign w:val="center"/>
              </w:tcPr>
              <w:p>
                <w:pPr>
                  <w:autoSpaceDE w:val="0"/>
                  <w:autoSpaceDN w:val="0"/>
                  <w:adjustRightInd w:val="0"/>
                  <w:snapToGrid w:val="0"/>
                  <w:ind w:right="180"/>
                  <w:jc w:val="right"/>
                  <w:rPr>
                    <w:rFonts w:ascii="Times New Roman" w:hAnsi="Times New Roman" w:cs="Times New Roman"/>
                    <w:szCs w:val="21"/>
                  </w:rPr>
                </w:pPr>
                <w:r>
                  <w:rPr>
                    <w:rFonts w:ascii="Times New Roman" w:hAnsi="Times New Roman" w:cs="Times New Roman"/>
                    <w:szCs w:val="21"/>
                  </w:rPr>
                  <w:t>245,621,848.75</w:t>
                </w:r>
              </w:p>
            </w:tc>
          </w:tr>
        </w:tbl>
        <w:p>
          <w:pPr>
            <w:spacing w:before="60" w:after="60"/>
            <w:rPr>
              <w:rFonts w:ascii="Times New Roman" w:hAnsi="Times New Roman" w:cs="Times New Roman"/>
              <w:szCs w:val="21"/>
            </w:rPr>
          </w:pPr>
          <w:r>
            <w:rPr>
              <w:rFonts w:hint="eastAsia"/>
              <w:szCs w:val="21"/>
            </w:rPr>
            <w:t>盈</w:t>
          </w:r>
          <w:r>
            <w:rPr>
              <w:rFonts w:ascii="Times New Roman" w:cs="Times New Roman"/>
              <w:szCs w:val="21"/>
            </w:rPr>
            <w:t>余公积说明，包括本期增减变动情况、变动原因说明：</w:t>
          </w:r>
        </w:p>
        <w:p>
          <w:pPr>
            <w:pStyle w:val="4"/>
            <w:tabs>
              <w:tab w:val="left" w:pos="504"/>
            </w:tabs>
            <w:rPr>
              <w:color w:val="000000" w:themeColor="text1"/>
              <w:szCs w:val="21"/>
            </w:rPr>
          </w:pPr>
        </w:p>
      </w:sdtContent>
    </w:sdt>
    <w:p>
      <w:pPr>
        <w:pStyle w:val="4"/>
        <w:numPr>
          <w:ilvl w:val="0"/>
          <w:numId w:val="79"/>
        </w:numPr>
        <w:tabs>
          <w:tab w:val="left" w:pos="504"/>
        </w:tabs>
        <w:rPr>
          <w:rFonts w:ascii="宋体" w:hAnsi="宋体"/>
          <w:szCs w:val="21"/>
        </w:rPr>
      </w:pPr>
      <w:r>
        <w:rPr>
          <w:rFonts w:hint="eastAsia" w:ascii="宋体" w:hAnsi="宋体"/>
          <w:szCs w:val="21"/>
        </w:rPr>
        <w:t>未分配利润</w:t>
      </w:r>
    </w:p>
    <w:p>
      <w:sdt>
        <w:sdtPr>
          <w:alias w:val="是否适用：未分配利润[双击切换]"/>
          <w:tag w:val="_GBC_0ccb002da9b649db91afd1ca2a9330f8"/>
          <w:id w:val="865726001"/>
          <w:lock w:val="sdtConten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865726024"/>
        <w:lock w:val="sdtLocked"/>
        <w:placeholder>
          <w:docPart w:val="GBC22222222222222222222222222222"/>
        </w:placeholder>
      </w:sdtPr>
      <w:sdtEndPr>
        <w:rPr>
          <w:rFonts w:hint="eastAsia"/>
          <w:b w:val="0"/>
          <w:bCs w:val="0"/>
          <w:szCs w:val="21"/>
        </w:rPr>
      </w:sdtEndPr>
      <w:sdtContent>
        <w:p>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92"/>
            <w:gridCol w:w="2827"/>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0da0a90f08b46f090b6fee887a691bc"/>
                <w:id w:val="107127063"/>
              </w:sdtPr>
              <w:sdtContent>
                <w:tc>
                  <w:tcPr>
                    <w:tcW w:w="1927" w:type="pct"/>
                    <w:vAlign w:val="center"/>
                  </w:tcPr>
                  <w:p>
                    <w:pPr>
                      <w:jc w:val="center"/>
                      <w:rPr>
                        <w:szCs w:val="21"/>
                      </w:rPr>
                    </w:pPr>
                    <w:r>
                      <w:rPr>
                        <w:rFonts w:hint="eastAsia"/>
                        <w:szCs w:val="21"/>
                      </w:rPr>
                      <w:t>项目</w:t>
                    </w:r>
                  </w:p>
                </w:tc>
              </w:sdtContent>
            </w:sdt>
            <w:sdt>
              <w:sdtPr>
                <w:tag w:val="_PLD_27c0ff4064964dc5b9e335151d04b603"/>
                <w:id w:val="107127064"/>
              </w:sdtPr>
              <w:sdtContent>
                <w:tc>
                  <w:tcPr>
                    <w:tcW w:w="1560" w:type="pct"/>
                    <w:vAlign w:val="center"/>
                  </w:tcPr>
                  <w:p>
                    <w:pPr>
                      <w:jc w:val="center"/>
                      <w:rPr>
                        <w:szCs w:val="21"/>
                      </w:rPr>
                    </w:pPr>
                    <w:r>
                      <w:rPr>
                        <w:rFonts w:hint="eastAsia"/>
                        <w:szCs w:val="21"/>
                      </w:rPr>
                      <w:t>本期</w:t>
                    </w:r>
                  </w:p>
                </w:tc>
              </w:sdtContent>
            </w:sdt>
            <w:sdt>
              <w:sdtPr>
                <w:tag w:val="_PLD_613460741a0147b7be8212812793694e"/>
                <w:id w:val="107127065"/>
              </w:sdtPr>
              <w:sdtContent>
                <w:tc>
                  <w:tcPr>
                    <w:tcW w:w="1512" w:type="pct"/>
                    <w:vAlign w:val="center"/>
                  </w:tcPr>
                  <w:p>
                    <w:pPr>
                      <w:jc w:val="center"/>
                      <w:rPr>
                        <w:szCs w:val="21"/>
                      </w:rPr>
                    </w:pPr>
                    <w:r>
                      <w:rPr>
                        <w:rFonts w:hint="eastAsia"/>
                        <w:szCs w:val="21"/>
                      </w:rPr>
                      <w:t>上期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8a908ccb6754af7b684355be7043ef6"/>
                <w:id w:val="107127066"/>
              </w:sdtPr>
              <w:sdtContent>
                <w:tc>
                  <w:tcPr>
                    <w:tcW w:w="1927" w:type="pct"/>
                  </w:tcPr>
                  <w:p>
                    <w:pPr>
                      <w:rPr>
                        <w:szCs w:val="21"/>
                      </w:rPr>
                    </w:pPr>
                    <w:r>
                      <w:rPr>
                        <w:rFonts w:hint="eastAsia"/>
                        <w:szCs w:val="21"/>
                      </w:rPr>
                      <w:t>调整前上期末未分配利润</w:t>
                    </w:r>
                  </w:p>
                </w:tc>
              </w:sdtContent>
            </w:sdt>
            <w:tc>
              <w:tcPr>
                <w:tcW w:w="1560" w:type="pct"/>
                <w:vAlign w:val="center"/>
              </w:tcPr>
              <w:p>
                <w:pPr>
                  <w:ind w:right="6"/>
                  <w:jc w:val="right"/>
                  <w:rPr>
                    <w:rFonts w:ascii="Times New Roman" w:hAnsi="Times New Roman" w:cs="Times New Roman"/>
                    <w:szCs w:val="21"/>
                  </w:rPr>
                </w:pPr>
                <w:r>
                  <w:rPr>
                    <w:rFonts w:ascii="Times New Roman" w:hAnsi="Times New Roman" w:cs="Times New Roman"/>
                  </w:rPr>
                  <w:t>155,277,445.08</w:t>
                </w:r>
              </w:p>
            </w:tc>
            <w:tc>
              <w:tcPr>
                <w:tcW w:w="1512" w:type="pct"/>
                <w:vAlign w:val="center"/>
              </w:tcPr>
              <w:p>
                <w:pPr>
                  <w:jc w:val="right"/>
                  <w:rPr>
                    <w:rFonts w:ascii="Times New Roman" w:hAnsi="Times New Roman" w:cs="Times New Roman"/>
                    <w:szCs w:val="21"/>
                  </w:rPr>
                </w:pPr>
                <w:r>
                  <w:rPr>
                    <w:rFonts w:ascii="Times New Roman" w:hAnsi="Times New Roman" w:cs="Times New Roman"/>
                  </w:rPr>
                  <w:t>96,793,046.06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02ab5ac1239f40a6a46e28f567884d1f"/>
                <w:id w:val="107127067"/>
              </w:sdtPr>
              <w:sdtContent>
                <w:tc>
                  <w:tcPr>
                    <w:tcW w:w="1927" w:type="pct"/>
                  </w:tcPr>
                  <w:p>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vAlign w:val="center"/>
              </w:tcPr>
              <w:p>
                <w:pPr>
                  <w:ind w:right="6"/>
                  <w:jc w:val="right"/>
                  <w:rPr>
                    <w:rFonts w:ascii="Times New Roman" w:hAnsi="Times New Roman" w:cs="Times New Roman"/>
                    <w:szCs w:val="21"/>
                  </w:rPr>
                </w:pPr>
              </w:p>
            </w:tc>
            <w:tc>
              <w:tcPr>
                <w:tcW w:w="1512" w:type="pct"/>
                <w:vAlign w:val="center"/>
              </w:tcPr>
              <w:p>
                <w:pPr>
                  <w:ind w:right="6"/>
                  <w:jc w:val="right"/>
                  <w:rPr>
                    <w:rFonts w:ascii="Times New Roman" w:hAnsi="Times New Roman" w:cs="Times New Roman"/>
                    <w:szCs w:val="21"/>
                  </w:rPr>
                </w:pPr>
                <w:r>
                  <w:rPr>
                    <w:rFonts w:ascii="Times New Roman" w:hAnsi="Times New Roman" w:cs="Times New Roman"/>
                    <w:szCs w:val="21"/>
                  </w:rPr>
                  <w:t>-296,919.43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77ca15ebef62468eb0dd24c8e090b1ab"/>
                <w:id w:val="107127068"/>
              </w:sdtPr>
              <w:sdtContent>
                <w:tc>
                  <w:tcPr>
                    <w:tcW w:w="1927" w:type="pct"/>
                  </w:tcPr>
                  <w:p>
                    <w:pPr>
                      <w:rPr>
                        <w:szCs w:val="21"/>
                      </w:rPr>
                    </w:pPr>
                    <w:r>
                      <w:rPr>
                        <w:rFonts w:hint="eastAsia"/>
                        <w:szCs w:val="21"/>
                      </w:rPr>
                      <w:t>调整后期初未分配利润</w:t>
                    </w:r>
                  </w:p>
                </w:tc>
              </w:sdtContent>
            </w:sdt>
            <w:tc>
              <w:tcPr>
                <w:tcW w:w="1560" w:type="pct"/>
                <w:vAlign w:val="center"/>
              </w:tcPr>
              <w:p>
                <w:pPr>
                  <w:ind w:right="6"/>
                  <w:jc w:val="right"/>
                  <w:rPr>
                    <w:rFonts w:ascii="Times New Roman" w:hAnsi="Times New Roman" w:cs="Times New Roman"/>
                    <w:szCs w:val="21"/>
                  </w:rPr>
                </w:pPr>
                <w:r>
                  <w:rPr>
                    <w:rFonts w:ascii="Times New Roman" w:hAnsi="Times New Roman" w:cs="Times New Roman"/>
                  </w:rPr>
                  <w:t>155,277,445.08</w:t>
                </w:r>
              </w:p>
            </w:tc>
            <w:tc>
              <w:tcPr>
                <w:tcW w:w="1512" w:type="pct"/>
                <w:vAlign w:val="center"/>
              </w:tcPr>
              <w:p>
                <w:pPr>
                  <w:ind w:right="6"/>
                  <w:jc w:val="right"/>
                  <w:rPr>
                    <w:rFonts w:ascii="Times New Roman" w:hAnsi="Times New Roman" w:cs="Times New Roman"/>
                    <w:szCs w:val="21"/>
                  </w:rPr>
                </w:pPr>
                <w:r>
                  <w:rPr>
                    <w:rFonts w:ascii="Times New Roman" w:hAnsi="Times New Roman" w:cs="Times New Roman"/>
                    <w:szCs w:val="21"/>
                  </w:rPr>
                  <w:t>96,496,126.63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9fc7a2bfee39423d80a60d153fe240df"/>
                <w:id w:val="107127069"/>
                <w:lock w:val="sdtLocked"/>
              </w:sdtPr>
              <w:sdtContent>
                <w:tc>
                  <w:tcPr>
                    <w:tcW w:w="1927" w:type="pct"/>
                  </w:tcPr>
                  <w:p>
                    <w:pPr>
                      <w:ind w:right="6"/>
                      <w:rPr>
                        <w:szCs w:val="21"/>
                      </w:rPr>
                    </w:pPr>
                    <w:r>
                      <w:rPr>
                        <w:rFonts w:hint="eastAsia"/>
                        <w:szCs w:val="21"/>
                      </w:rPr>
                      <w:t>加：本期归属于母公司所有者的净利润</w:t>
                    </w:r>
                  </w:p>
                </w:tc>
              </w:sdtContent>
            </w:sdt>
            <w:tc>
              <w:tcPr>
                <w:tcW w:w="1560" w:type="pct"/>
                <w:vAlign w:val="center"/>
              </w:tcPr>
              <w:p>
                <w:pPr>
                  <w:ind w:right="6"/>
                  <w:jc w:val="right"/>
                  <w:rPr>
                    <w:rFonts w:ascii="Times New Roman" w:hAnsi="Times New Roman" w:cs="Times New Roman"/>
                    <w:szCs w:val="21"/>
                  </w:rPr>
                </w:pPr>
                <w:r>
                  <w:rPr>
                    <w:rFonts w:ascii="Times New Roman" w:hAnsi="Times New Roman" w:cs="Times New Roman"/>
                  </w:rPr>
                  <w:t>8,658,258.15</w:t>
                </w:r>
              </w:p>
            </w:tc>
            <w:tc>
              <w:tcPr>
                <w:tcW w:w="1512" w:type="pct"/>
                <w:vAlign w:val="center"/>
              </w:tcPr>
              <w:p>
                <w:pPr>
                  <w:ind w:right="6"/>
                  <w:jc w:val="right"/>
                  <w:rPr>
                    <w:rFonts w:ascii="Times New Roman" w:hAnsi="Times New Roman" w:cs="Times New Roman"/>
                    <w:szCs w:val="21"/>
                  </w:rPr>
                </w:pPr>
                <w:r>
                  <w:rPr>
                    <w:rFonts w:ascii="Times New Roman" w:hAnsi="Times New Roman" w:cs="Times New Roman"/>
                    <w:szCs w:val="21"/>
                  </w:rPr>
                  <w:t>58,049,318.45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rPr>
                    <w:szCs w:val="21"/>
                  </w:rPr>
                </w:pPr>
                <w:r>
                  <w:rPr>
                    <w:rFonts w:hint="eastAsia"/>
                    <w:szCs w:val="21"/>
                  </w:rPr>
                  <w:t>其他综合收益结转留存收益</w:t>
                </w:r>
              </w:p>
            </w:tc>
            <w:tc>
              <w:tcPr>
                <w:tcW w:w="1560" w:type="pct"/>
                <w:vAlign w:val="center"/>
              </w:tcPr>
              <w:p>
                <w:pPr>
                  <w:ind w:right="6"/>
                  <w:jc w:val="right"/>
                  <w:rPr>
                    <w:rFonts w:ascii="Times New Roman" w:hAnsi="Times New Roman" w:cs="Times New Roman"/>
                    <w:szCs w:val="21"/>
                  </w:rPr>
                </w:pPr>
              </w:p>
            </w:tc>
            <w:tc>
              <w:tcPr>
                <w:tcW w:w="1512" w:type="pct"/>
                <w:vAlign w:val="center"/>
              </w:tcPr>
              <w:p>
                <w:pPr>
                  <w:ind w:right="6"/>
                  <w:jc w:val="right"/>
                  <w:rPr>
                    <w:rFonts w:ascii="Times New Roman" w:hAnsi="Times New Roman" w:cs="Times New Roman"/>
                    <w:szCs w:val="21"/>
                  </w:rPr>
                </w:pPr>
                <w:r>
                  <w:rPr>
                    <w:rFonts w:ascii="Times New Roman" w:hAnsi="Times New Roman" w:cs="Times New Roman"/>
                    <w:szCs w:val="21"/>
                  </w:rPr>
                  <w:t>732,000.00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5ceb5eda6064d7ea7b72559c6fb383d"/>
                <w:id w:val="107127071"/>
              </w:sdtPr>
              <w:sdtContent>
                <w:tc>
                  <w:tcPr>
                    <w:tcW w:w="1927" w:type="pct"/>
                  </w:tcPr>
                  <w:p>
                    <w:pPr>
                      <w:autoSpaceDE w:val="0"/>
                      <w:autoSpaceDN w:val="0"/>
                      <w:adjustRightInd w:val="0"/>
                      <w:rPr>
                        <w:szCs w:val="21"/>
                      </w:rPr>
                    </w:pPr>
                    <w:r>
                      <w:rPr>
                        <w:rFonts w:hint="eastAsia"/>
                        <w:szCs w:val="21"/>
                      </w:rPr>
                      <w:t>减：提取法定盈余公积</w:t>
                    </w:r>
                  </w:p>
                </w:tc>
              </w:sdtContent>
            </w:sdt>
            <w:tc>
              <w:tcPr>
                <w:tcW w:w="1560" w:type="pct"/>
                <w:vAlign w:val="center"/>
              </w:tcPr>
              <w:p>
                <w:pPr>
                  <w:jc w:val="right"/>
                  <w:rPr>
                    <w:rFonts w:ascii="Times New Roman" w:hAnsi="Times New Roman" w:cs="Times New Roman"/>
                    <w:szCs w:val="21"/>
                  </w:rPr>
                </w:pPr>
              </w:p>
            </w:tc>
            <w:tc>
              <w:tcPr>
                <w:tcW w:w="1512" w:type="pct"/>
                <w:vAlign w:val="center"/>
              </w:tcPr>
              <w:p>
                <w:pPr>
                  <w:ind w:right="6"/>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9048167f4e548f88b2ee2db042401a5"/>
                <w:id w:val="107127072"/>
              </w:sdtPr>
              <w:sdtContent>
                <w:tc>
                  <w:tcPr>
                    <w:tcW w:w="1927" w:type="pct"/>
                  </w:tcPr>
                  <w:p>
                    <w:pPr>
                      <w:autoSpaceDE w:val="0"/>
                      <w:autoSpaceDN w:val="0"/>
                      <w:adjustRightInd w:val="0"/>
                      <w:ind w:firstLine="420"/>
                      <w:rPr>
                        <w:szCs w:val="21"/>
                      </w:rPr>
                    </w:pPr>
                    <w:r>
                      <w:rPr>
                        <w:rFonts w:hint="eastAsia"/>
                        <w:szCs w:val="21"/>
                      </w:rPr>
                      <w:t>提取任意盈余公积</w:t>
                    </w:r>
                  </w:p>
                </w:tc>
              </w:sdtContent>
            </w:sdt>
            <w:tc>
              <w:tcPr>
                <w:tcW w:w="1560" w:type="pct"/>
                <w:vAlign w:val="center"/>
              </w:tcPr>
              <w:p>
                <w:pPr>
                  <w:jc w:val="right"/>
                  <w:rPr>
                    <w:rFonts w:ascii="Times New Roman" w:hAnsi="Times New Roman" w:cs="Times New Roman"/>
                    <w:szCs w:val="21"/>
                  </w:rPr>
                </w:pPr>
              </w:p>
            </w:tc>
            <w:tc>
              <w:tcPr>
                <w:tcW w:w="1512" w:type="pct"/>
                <w:vAlign w:val="center"/>
              </w:tcPr>
              <w:p>
                <w:pPr>
                  <w:ind w:right="6"/>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50cefe8e83c143188bf2474236d80680"/>
                <w:id w:val="107127073"/>
              </w:sdtPr>
              <w:sdtContent>
                <w:tc>
                  <w:tcPr>
                    <w:tcW w:w="1927" w:type="pct"/>
                  </w:tcPr>
                  <w:p>
                    <w:pPr>
                      <w:autoSpaceDE w:val="0"/>
                      <w:autoSpaceDN w:val="0"/>
                      <w:adjustRightInd w:val="0"/>
                      <w:ind w:firstLine="420"/>
                      <w:rPr>
                        <w:szCs w:val="21"/>
                      </w:rPr>
                    </w:pPr>
                    <w:r>
                      <w:rPr>
                        <w:rFonts w:hint="eastAsia"/>
                        <w:szCs w:val="21"/>
                      </w:rPr>
                      <w:t>提取一般风险准备</w:t>
                    </w:r>
                  </w:p>
                </w:tc>
              </w:sdtContent>
            </w:sdt>
            <w:tc>
              <w:tcPr>
                <w:tcW w:w="1560" w:type="pct"/>
                <w:vAlign w:val="center"/>
              </w:tcPr>
              <w:p>
                <w:pPr>
                  <w:jc w:val="right"/>
                  <w:rPr>
                    <w:rFonts w:ascii="Times New Roman" w:hAnsi="Times New Roman" w:cs="Times New Roman"/>
                    <w:szCs w:val="21"/>
                  </w:rPr>
                </w:pPr>
              </w:p>
            </w:tc>
            <w:tc>
              <w:tcPr>
                <w:tcW w:w="1512" w:type="pct"/>
                <w:vAlign w:val="center"/>
              </w:tcPr>
              <w:p>
                <w:pPr>
                  <w:ind w:right="6"/>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87bbb7d2e8fe4a08961cba210a7ec6dc"/>
                <w:id w:val="107127074"/>
              </w:sdtPr>
              <w:sdtContent>
                <w:tc>
                  <w:tcPr>
                    <w:tcW w:w="1927" w:type="pct"/>
                  </w:tcPr>
                  <w:p>
                    <w:pPr>
                      <w:autoSpaceDE w:val="0"/>
                      <w:autoSpaceDN w:val="0"/>
                      <w:adjustRightInd w:val="0"/>
                      <w:ind w:firstLine="420"/>
                      <w:rPr>
                        <w:szCs w:val="21"/>
                      </w:rPr>
                    </w:pPr>
                    <w:r>
                      <w:rPr>
                        <w:rFonts w:hint="eastAsia"/>
                        <w:szCs w:val="21"/>
                      </w:rPr>
                      <w:t>应付普通股股利</w:t>
                    </w:r>
                  </w:p>
                </w:tc>
              </w:sdtContent>
            </w:sdt>
            <w:tc>
              <w:tcPr>
                <w:tcW w:w="1560" w:type="pct"/>
                <w:vAlign w:val="center"/>
              </w:tcPr>
              <w:p>
                <w:pPr>
                  <w:jc w:val="right"/>
                  <w:rPr>
                    <w:rFonts w:ascii="Times New Roman" w:hAnsi="Times New Roman" w:cs="Times New Roman"/>
                    <w:szCs w:val="21"/>
                  </w:rPr>
                </w:pPr>
              </w:p>
            </w:tc>
            <w:tc>
              <w:tcPr>
                <w:tcW w:w="1512" w:type="pct"/>
                <w:vAlign w:val="center"/>
              </w:tcPr>
              <w:p>
                <w:pPr>
                  <w:ind w:right="6"/>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bbfbdfbfae0435097e7295f7e9172d3"/>
                <w:id w:val="107127075"/>
              </w:sdtPr>
              <w:sdtContent>
                <w:tc>
                  <w:tcPr>
                    <w:tcW w:w="1927" w:type="pct"/>
                  </w:tcPr>
                  <w:p>
                    <w:pPr>
                      <w:autoSpaceDE w:val="0"/>
                      <w:autoSpaceDN w:val="0"/>
                      <w:adjustRightInd w:val="0"/>
                      <w:ind w:firstLine="420"/>
                      <w:rPr>
                        <w:szCs w:val="21"/>
                      </w:rPr>
                    </w:pPr>
                    <w:r>
                      <w:rPr>
                        <w:rFonts w:hint="eastAsia"/>
                        <w:szCs w:val="21"/>
                      </w:rPr>
                      <w:t>转作股本的普通股股利</w:t>
                    </w:r>
                  </w:p>
                </w:tc>
              </w:sdtContent>
            </w:sdt>
            <w:tc>
              <w:tcPr>
                <w:tcW w:w="1560" w:type="pct"/>
                <w:vAlign w:val="center"/>
              </w:tcPr>
              <w:p>
                <w:pPr>
                  <w:jc w:val="right"/>
                  <w:rPr>
                    <w:rFonts w:ascii="Times New Roman" w:hAnsi="Times New Roman" w:cs="Times New Roman"/>
                    <w:szCs w:val="21"/>
                  </w:rPr>
                </w:pPr>
              </w:p>
            </w:tc>
            <w:tc>
              <w:tcPr>
                <w:tcW w:w="1512" w:type="pct"/>
                <w:vAlign w:val="center"/>
              </w:tcPr>
              <w:p>
                <w:pPr>
                  <w:ind w:right="6"/>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7d3f7cba9bf4a16a498b0ccb214564d"/>
                <w:id w:val="107127080"/>
              </w:sdtPr>
              <w:sdtContent>
                <w:tc>
                  <w:tcPr>
                    <w:tcW w:w="1927" w:type="pct"/>
                  </w:tcPr>
                  <w:p>
                    <w:pPr>
                      <w:autoSpaceDE w:val="0"/>
                      <w:autoSpaceDN w:val="0"/>
                      <w:adjustRightInd w:val="0"/>
                      <w:rPr>
                        <w:szCs w:val="21"/>
                      </w:rPr>
                    </w:pPr>
                    <w:r>
                      <w:rPr>
                        <w:rFonts w:hint="eastAsia"/>
                        <w:szCs w:val="21"/>
                      </w:rPr>
                      <w:t>期末未分配利润</w:t>
                    </w:r>
                  </w:p>
                </w:tc>
              </w:sdtContent>
            </w:sdt>
            <w:tc>
              <w:tcPr>
                <w:tcW w:w="1560" w:type="pct"/>
                <w:vAlign w:val="center"/>
              </w:tcPr>
              <w:p>
                <w:pPr>
                  <w:jc w:val="right"/>
                  <w:rPr>
                    <w:rFonts w:ascii="Times New Roman" w:hAnsi="Times New Roman" w:cs="Times New Roman"/>
                    <w:szCs w:val="21"/>
                  </w:rPr>
                </w:pPr>
                <w:r>
                  <w:rPr>
                    <w:rFonts w:ascii="Times New Roman" w:hAnsi="Times New Roman" w:cs="Times New Roman"/>
                  </w:rPr>
                  <w:t>163,935,703.23</w:t>
                </w:r>
              </w:p>
            </w:tc>
            <w:tc>
              <w:tcPr>
                <w:tcW w:w="1512" w:type="pct"/>
                <w:vAlign w:val="center"/>
              </w:tcPr>
              <w:p>
                <w:pPr>
                  <w:ind w:right="6"/>
                  <w:jc w:val="right"/>
                  <w:rPr>
                    <w:rFonts w:ascii="Times New Roman" w:hAnsi="Times New Roman" w:cs="Times New Roman"/>
                    <w:szCs w:val="21"/>
                  </w:rPr>
                </w:pPr>
                <w:r>
                  <w:rPr>
                    <w:rFonts w:ascii="Times New Roman" w:hAnsi="Times New Roman" w:cs="Times New Roman"/>
                    <w:szCs w:val="21"/>
                  </w:rPr>
                  <w:t>155,277,445.08</w:t>
                </w:r>
              </w:p>
            </w:tc>
          </w:tr>
        </w:tbl>
        <w:p/>
        <w:p>
          <w:pPr>
            <w:spacing w:before="60" w:after="60"/>
            <w:rPr>
              <w:color w:val="000000" w:themeColor="text1"/>
              <w:szCs w:val="21"/>
            </w:rPr>
          </w:pPr>
          <w:r>
            <w:rPr>
              <w:rFonts w:hint="eastAsia"/>
              <w:color w:val="000000" w:themeColor="text1"/>
              <w:szCs w:val="21"/>
            </w:rPr>
            <w:t>调整期初未分配利润明细：</w:t>
          </w:r>
        </w:p>
        <w:p>
          <w:pPr>
            <w:rPr>
              <w:rFonts w:ascii="Times New Roman" w:hAnsi="Times New Roman" w:cs="Times New Roman"/>
              <w:szCs w:val="21"/>
            </w:rPr>
          </w:pPr>
          <w:r>
            <w:rPr>
              <w:rFonts w:ascii="Times New Roman" w:cs="Times New Roman"/>
              <w:szCs w:val="21"/>
            </w:rPr>
            <w:t>由于《企业会计准则》及其相关新规定进行追溯调整，影响期初未分配利润</w:t>
          </w:r>
          <w:sdt>
            <w:sdtPr>
              <w:rPr>
                <w:rFonts w:ascii="Times New Roman" w:hAnsi="Times New Roman" w:cs="Times New Roman"/>
                <w:szCs w:val="21"/>
              </w:rPr>
              <w:alias w:val="依据《企业会计准则》及其相关规定进行追溯调整影响年初未分配利润合计"/>
              <w:tag w:val="_GBC_1fcb28b764eb43c48b913d5e107ed4eb"/>
              <w:id w:val="563301963"/>
              <w:lock w:val="sdtLocked"/>
            </w:sdtPr>
            <w:sdtEndPr>
              <w:rPr>
                <w:rFonts w:ascii="Times New Roman" w:hAnsi="Times New Roman" w:cs="Times New Roman"/>
                <w:szCs w:val="21"/>
              </w:rPr>
            </w:sdtEndPr>
            <w:sdtContent>
              <w:r>
                <w:rPr>
                  <w:rFonts w:ascii="Times New Roman" w:hAnsi="Times New Roman" w:cs="Times New Roman"/>
                  <w:szCs w:val="21"/>
                </w:rPr>
                <w:t>-253,909.68</w:t>
              </w:r>
            </w:sdtContent>
          </w:sdt>
          <w:r>
            <w:rPr>
              <w:rFonts w:ascii="Times New Roman" w:hAnsi="Times New Roman" w:cs="Times New Roman"/>
              <w:szCs w:val="21"/>
            </w:rPr>
            <w:t xml:space="preserve"> </w:t>
          </w:r>
          <w:r>
            <w:rPr>
              <w:rFonts w:ascii="Times New Roman" w:cs="Times New Roman"/>
              <w:szCs w:val="21"/>
            </w:rPr>
            <w:t>元。</w:t>
          </w:r>
        </w:p>
        <w:p>
          <w:pPr>
            <w:rPr>
              <w:szCs w:val="21"/>
            </w:rPr>
          </w:pPr>
        </w:p>
      </w:sdtContent>
    </w:sdt>
    <w:p>
      <w:pPr>
        <w:rPr>
          <w:szCs w:val="21"/>
        </w:rPr>
      </w:pPr>
    </w:p>
    <w:sdt>
      <w:sdtPr>
        <w:rPr>
          <w:rFonts w:hint="eastAsia" w:ascii="宋体" w:hAnsi="宋体" w:cs="宋体"/>
          <w:b w:val="0"/>
          <w:bCs w:val="0"/>
          <w:kern w:val="0"/>
          <w:szCs w:val="21"/>
        </w:rPr>
        <w:alias w:val="模块:营业收入和营业成本"/>
        <w:tag w:val="_SEC_4f278fa30cb04e56a01c1330e71747dc"/>
        <w:id w:val="865726038"/>
        <w:lock w:val="sdtLocked"/>
        <w:placeholder>
          <w:docPart w:val="GBC22222222222222222222222222222"/>
        </w:placeholder>
      </w:sdtPr>
      <w:sdtEndPr>
        <w:rPr>
          <w:rFonts w:hint="default" w:ascii="Times New Roman" w:hAnsi="Times New Roman" w:cs="Times New Roman"/>
          <w:b w:val="0"/>
          <w:bCs w:val="0"/>
          <w:kern w:val="0"/>
          <w:szCs w:val="24"/>
        </w:rPr>
      </w:sdtEndPr>
      <w:sdtContent>
        <w:p>
          <w:pPr>
            <w:pStyle w:val="4"/>
            <w:numPr>
              <w:ilvl w:val="0"/>
              <w:numId w:val="79"/>
            </w:numPr>
            <w:tabs>
              <w:tab w:val="left" w:pos="504"/>
            </w:tabs>
            <w:rPr>
              <w:szCs w:val="21"/>
            </w:rPr>
          </w:pPr>
          <w:r>
            <w:rPr>
              <w:szCs w:val="21"/>
            </w:rPr>
            <w:t>营业</w:t>
          </w:r>
          <w:r>
            <w:rPr>
              <w:rFonts w:ascii="宋体" w:hAnsi="宋体"/>
              <w:szCs w:val="21"/>
            </w:rPr>
            <w:t>收入</w:t>
          </w:r>
          <w:r>
            <w:rPr>
              <w:szCs w:val="21"/>
            </w:rPr>
            <w:t>和营业成本</w:t>
          </w:r>
        </w:p>
        <w:p>
          <w:pPr>
            <w:pStyle w:val="5"/>
            <w:numPr>
              <w:ilvl w:val="0"/>
              <w:numId w:val="110"/>
            </w:numPr>
            <w:ind w:left="426" w:hanging="426"/>
          </w:pPr>
          <w:r>
            <w:rPr>
              <w:rFonts w:hint="eastAsia"/>
            </w:rPr>
            <w:t>营业收入和营业成本情况</w:t>
          </w:r>
        </w:p>
        <w:sdt>
          <w:sdtPr>
            <w:alias w:val="是否适用：营业收入和营业成本[双击切换]"/>
            <w:tag w:val="_GBC_c0388196e3634afc823f4b5822c5937a"/>
            <w:id w:val="86572602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bCs/>
              <w:szCs w:val="21"/>
            </w:rPr>
            <w:t>单位：</w:t>
          </w:r>
          <w:sdt>
            <w:sdtPr>
              <w:rPr>
                <w:rFonts w:hint="eastAsia"/>
                <w:bCs/>
                <w:szCs w:val="21"/>
              </w:rPr>
              <w:alias w:val="单位：财务附注：营业收入"/>
              <w:tag w:val="_GBC_65cadde8ae1e4b178e7f2737b89bb434"/>
              <w:id w:val="8657260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szCs w:val="21"/>
              </w:r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8657260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szCs w:val="21"/>
              </w:rPr>
            </w:sdtEndPr>
            <w:sdtContent>
              <w:r>
                <w:rPr>
                  <w:rFonts w:hint="eastAsia"/>
                  <w:bCs/>
                  <w:szCs w:val="21"/>
                </w:rPr>
                <w:t>人民币</w:t>
              </w:r>
            </w:sdtContent>
          </w:sdt>
        </w:p>
        <w:tbl>
          <w:tblPr>
            <w:tblStyle w:val="107"/>
            <w:tblW w:w="4933" w:type="pct"/>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864"/>
            <w:gridCol w:w="1877"/>
            <w:gridCol w:w="1875"/>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7e8683f75cd4c9e919404e1278fe9a0"/>
                <w:id w:val="865726028"/>
                <w:lock w:val="sdtLocked"/>
              </w:sdtPr>
              <w:sdtEndPr>
                <w:rPr>
                  <w:rFonts w:ascii="Times New Roman" w:hAnsi="Times New Roman" w:cs="Times New Roman"/>
                </w:rPr>
              </w:sdtEndPr>
              <w:sdtContent>
                <w:tc>
                  <w:tcPr>
                    <w:tcW w:w="805"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e956f55a311f45a19dc3ce9396b931c9"/>
                <w:id w:val="865726029"/>
                <w:lock w:val="sdtLocked"/>
              </w:sdtPr>
              <w:sdtEndPr>
                <w:rPr>
                  <w:rFonts w:ascii="Times New Roman" w:hAnsi="Times New Roman" w:cs="Times New Roman"/>
                </w:rPr>
              </w:sdtEndPr>
              <w:sdtContent>
                <w:tc>
                  <w:tcPr>
                    <w:tcW w:w="20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d175a7df90684e2bbdccc1ba942f2760"/>
                <w:id w:val="865726030"/>
                <w:lock w:val="sdtLocked"/>
              </w:sdtPr>
              <w:sdtEndPr>
                <w:rPr>
                  <w:rFonts w:ascii="Times New Roman" w:hAnsi="Times New Roman" w:cs="Times New Roman"/>
                </w:rPr>
              </w:sdtEndPr>
              <w:sdtContent>
                <w:tc>
                  <w:tcPr>
                    <w:tcW w:w="21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Merge w:val="continue"/>
                <w:tcBorders>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szCs w:val="21"/>
                  </w:rPr>
                </w:pPr>
              </w:p>
            </w:tc>
            <w:sdt>
              <w:sdtPr>
                <w:rPr>
                  <w:rFonts w:ascii="Times New Roman" w:hAnsi="Times New Roman" w:cs="Times New Roman"/>
                </w:rPr>
                <w:tag w:val="_PLD_fe053e4bca564a1fbda44c85256ce067"/>
                <w:id w:val="865726031"/>
                <w:lock w:val="sdtLocked"/>
              </w:sdtPr>
              <w:sdtEndPr>
                <w:rPr>
                  <w:rFonts w:ascii="Times New Roman" w:hAnsi="Times New Roman" w:cs="Times New Roman"/>
                </w:rPr>
              </w:sdtEndPr>
              <w:sdtConten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收入</w:t>
                    </w:r>
                  </w:p>
                </w:tc>
              </w:sdtContent>
            </w:sdt>
            <w:sdt>
              <w:sdtPr>
                <w:rPr>
                  <w:rFonts w:ascii="Times New Roman" w:hAnsi="Times New Roman" w:cs="Times New Roman"/>
                </w:rPr>
                <w:tag w:val="_PLD_88be7d92d03d4168a79d4492be4a258c"/>
                <w:id w:val="865726032"/>
                <w:lock w:val="sdtLocked"/>
              </w:sdtPr>
              <w:sdtEndPr>
                <w:rPr>
                  <w:rFonts w:ascii="Times New Roman" w:hAnsi="Times New Roman" w:cs="Times New Roman"/>
                </w:rPr>
              </w:sdtEndPr>
              <w:sdtContent>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成本</w:t>
                    </w:r>
                  </w:p>
                </w:tc>
              </w:sdtContent>
            </w:sdt>
            <w:sdt>
              <w:sdtPr>
                <w:rPr>
                  <w:rFonts w:ascii="Times New Roman" w:hAnsi="Times New Roman" w:cs="Times New Roman"/>
                </w:rPr>
                <w:tag w:val="_PLD_5ba4682bc5644bc38c4b795c78508b1f"/>
                <w:id w:val="865726033"/>
                <w:lock w:val="sdtLocked"/>
              </w:sdtPr>
              <w:sdtEndPr>
                <w:rPr>
                  <w:rFonts w:ascii="Times New Roman" w:hAnsi="Times New Roman" w:cs="Times New Roman"/>
                </w:rPr>
              </w:sdtEnd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收入</w:t>
                    </w:r>
                  </w:p>
                </w:tc>
              </w:sdtContent>
            </w:sdt>
            <w:sdt>
              <w:sdtPr>
                <w:rPr>
                  <w:rFonts w:ascii="Times New Roman" w:hAnsi="Times New Roman" w:cs="Times New Roman"/>
                </w:rPr>
                <w:tag w:val="_PLD_94a3ede4ab834e37a20364f2c6897976"/>
                <w:id w:val="865726034"/>
                <w:lock w:val="sdtLocked"/>
              </w:sdtPr>
              <w:sdtEndPr>
                <w:rPr>
                  <w:rFonts w:ascii="Times New Roman" w:hAnsi="Times New Roman" w:cs="Times New Roman"/>
                </w:rPr>
              </w:sdtEnd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940b00507304d829a4504bf1ed9614e"/>
                <w:id w:val="865726035"/>
                <w:lock w:val="sdtLocked"/>
              </w:sdtPr>
              <w:sdtEndPr>
                <w:rPr>
                  <w:rFonts w:ascii="Times New Roman" w:hAnsi="Times New Roman" w:cs="Times New Roman"/>
                </w:rPr>
              </w:sdtEndPr>
              <w:sdtContent>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主营业务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709,123,598.53</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567,416,466.36</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679,100,042.15</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534,504,957.29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其中：（</w:t>
                </w:r>
                <w:r>
                  <w:rPr>
                    <w:rFonts w:ascii="Times New Roman" w:hAnsi="Times New Roman" w:cs="Times New Roman"/>
                  </w:rPr>
                  <w:t>1</w:t>
                </w:r>
                <w:r>
                  <w:rPr>
                    <w:rFonts w:ascii="Times New Roman" w:cs="Times New Roman"/>
                  </w:rPr>
                  <w:t>）日化产品</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586,959,758.36</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473,046,818.18</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581,891,767.03</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467,779,030.37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w:t>
                </w:r>
                <w:r>
                  <w:rPr>
                    <w:rFonts w:ascii="Times New Roman" w:hAnsi="Times New Roman" w:cs="Times New Roman"/>
                  </w:rPr>
                  <w:t>2</w:t>
                </w:r>
                <w:r>
                  <w:rPr>
                    <w:rFonts w:ascii="Times New Roman" w:cs="Times New Roman"/>
                  </w:rPr>
                  <w:t>）药品</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81,611,390.98</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55,296,894.06</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79,403,194.84</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50,721,209.74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w:t>
                </w:r>
                <w:r>
                  <w:rPr>
                    <w:rFonts w:ascii="Times New Roman" w:hAnsi="Times New Roman" w:cs="Times New Roman"/>
                  </w:rPr>
                  <w:t>3</w:t>
                </w:r>
                <w:r>
                  <w:rPr>
                    <w:rFonts w:ascii="Times New Roman" w:cs="Times New Roman"/>
                  </w:rPr>
                  <w:t>）商业贸易</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40,552,449.19</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39,072,754.12</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17,805,080.28</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16,004,717.18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imes New Roman" w:hAnsi="Times New Roman" w:cs="Times New Roman"/>
                </w:rPr>
                <w:tag w:val="_PLD_5a6f7d26b9aa400b90e8820fa4049db6"/>
                <w:id w:val="865726036"/>
                <w:lock w:val="sdtLocked"/>
              </w:sdtPr>
              <w:sdtEndPr>
                <w:rPr>
                  <w:rFonts w:ascii="Times New Roman" w:hAnsi="Times New Roman" w:cs="Times New Roman"/>
                </w:rPr>
              </w:sdtEndPr>
              <w:sdtContent>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其他业务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8,402,529.72</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5,489,903.66</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6,331,196.84</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1,085,966.54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98cf287f001436badb631738dfa74be"/>
                <w:id w:val="865726037"/>
                <w:lock w:val="sdtLocked"/>
              </w:sdtPr>
              <w:sdtEndPr>
                <w:rPr>
                  <w:rFonts w:ascii="Times New Roman" w:hAnsi="Times New Roman" w:cs="Times New Roman"/>
                </w:rPr>
              </w:sdtEndPr>
              <w:sdtContent>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717,526,128.25</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572,906,370.02</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685,431,238.99</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535,590,923.83</w:t>
                </w:r>
              </w:p>
            </w:tc>
          </w:tr>
        </w:tbl>
        <w:p/>
        <w:p>
          <w:pPr>
            <w:rPr>
              <w:rFonts w:ascii="Times New Roman" w:hAnsi="Times New Roman" w:cs="Times New Roman"/>
            </w:rPr>
          </w:pPr>
          <w:r>
            <w:rPr>
              <w:rFonts w:ascii="Times New Roman" w:cs="Times New Roman"/>
            </w:rPr>
            <w:t>注：</w:t>
          </w:r>
          <w:r>
            <w:rPr>
              <w:rFonts w:hint="eastAsia" w:ascii="Times New Roman" w:cs="Times New Roman"/>
            </w:rPr>
            <w:t>上期营业成本调整前金额</w:t>
          </w:r>
          <w:r>
            <w:rPr>
              <w:rFonts w:ascii="Times New Roman" w:cs="Times New Roman"/>
            </w:rPr>
            <w:t>516,506,318.74元，调整后金额535,590,923.83元，差异19,084,605.09元系本公司执行新收入准则调整所致。</w:t>
          </w:r>
        </w:p>
      </w:sdtContent>
    </w:sdt>
    <w:p/>
    <w:p>
      <w:pPr>
        <w:sectPr>
          <w:pgSz w:w="11906" w:h="16838"/>
          <w:pgMar w:top="1440" w:right="1797" w:bottom="1525" w:left="1276" w:header="856" w:footer="992" w:gutter="0"/>
          <w:cols w:space="425" w:num="1"/>
          <w:docGrid w:linePitch="312" w:charSpace="0"/>
        </w:sectPr>
      </w:pPr>
    </w:p>
    <w:p/>
    <w:sdt>
      <w:sdtPr>
        <w:rPr>
          <w:rFonts w:hint="eastAsia" w:ascii="宋体" w:hAnsi="宋体" w:eastAsia="宋体" w:cs="宋体"/>
          <w:b w:val="0"/>
          <w:bCs w:val="0"/>
          <w:kern w:val="0"/>
          <w:szCs w:val="24"/>
        </w:rPr>
        <w:alias w:val="模块:合同产生的收入的情况"/>
        <w:tag w:val="_SEC_020e88e24a604d8684cb34b724e2379b"/>
        <w:id w:val="865726142"/>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110"/>
            </w:numPr>
            <w:ind w:left="426" w:hanging="426"/>
          </w:pPr>
          <w:bookmarkStart w:id="215" w:name="_Hlk533756233"/>
          <w:r>
            <w:rPr>
              <w:rFonts w:hint="eastAsia"/>
            </w:rPr>
            <w:t>合同产生的收入的情况</w:t>
          </w:r>
        </w:p>
        <w:sdt>
          <w:sdtPr>
            <w:rPr>
              <w:rFonts w:ascii="宋体" w:hAnsi="宋体"/>
              <w:szCs w:val="21"/>
            </w:rPr>
            <w:alias w:val="是否适用：合同产生的收入[双击切换]"/>
            <w:tag w:val="_GBC_9ca3964974eb4c71856442f0683fa140"/>
            <w:id w:val="865726068"/>
            <w:lock w:val="sdtLocked"/>
            <w:placeholder>
              <w:docPart w:val="GBC22222222222222222222222222222"/>
            </w:placeholder>
          </w:sdtPr>
          <w:sdtEndPr>
            <w:rPr>
              <w:rFonts w:ascii="宋体" w:hAnsi="宋体"/>
              <w:szCs w:val="21"/>
            </w:rPr>
          </w:sdtEndPr>
          <w:sdtContent>
            <w:p>
              <w:pPr>
                <w:pStyle w:val="55"/>
                <w:ind w:firstLine="0" w:firstLineChars="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
            <w:rPr>
              <w:rFonts w:hint="eastAsia"/>
            </w:rPr>
            <w:t>合同产生的收入说明：</w:t>
          </w:r>
        </w:p>
        <w:sdt>
          <w:sdtPr>
            <w:alias w:val="是否适用：合同产生的收入说明[双击切换]"/>
            <w:tag w:val="_GBC_6b1c596da7e54e4dbad540aca212ec14"/>
            <w:id w:val="86572614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15"/>
    <w:sdt>
      <w:sdtPr>
        <w:rPr>
          <w:rFonts w:hint="eastAsia" w:ascii="宋体" w:hAnsi="宋体" w:eastAsia="宋体" w:cs="宋体"/>
          <w:b w:val="0"/>
          <w:bCs w:val="0"/>
          <w:kern w:val="0"/>
          <w:szCs w:val="24"/>
        </w:rPr>
        <w:alias w:val="模块:履约义务的说明"/>
        <w:tag w:val="_SEC_865a1cfefc5c4d048224b9061806c0cd"/>
        <w:id w:val="86572614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110"/>
            </w:numPr>
            <w:ind w:left="426" w:hanging="426"/>
          </w:pPr>
          <w:bookmarkStart w:id="216" w:name="_Hlk533670431"/>
          <w:r>
            <w:rPr>
              <w:rFonts w:hint="eastAsia"/>
            </w:rPr>
            <w:t>履约义务的说明</w:t>
          </w:r>
        </w:p>
        <w:sdt>
          <w:sdtPr>
            <w:alias w:val="是否适用：履约义务的说明[双击切换]"/>
            <w:tag w:val="_GBC_2bcc2970f5df4fc982ad2497089d8292"/>
            <w:id w:val="86572614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16"/>
    <w:sdt>
      <w:sdtPr>
        <w:rPr>
          <w:rFonts w:hint="eastAsia" w:ascii="宋体" w:hAnsi="宋体" w:eastAsia="宋体" w:cs="宋体"/>
          <w:b w:val="0"/>
          <w:bCs w:val="0"/>
          <w:kern w:val="0"/>
          <w:szCs w:val="24"/>
        </w:rPr>
        <w:alias w:val="模块:分摊至剩余履约义务的说明"/>
        <w:tag w:val="_SEC_982b67e019e6431a8776b813c56bff19"/>
        <w:id w:val="865726157"/>
        <w:lock w:val="sdtLocked"/>
        <w:placeholder>
          <w:docPart w:val="GBC22222222222222222222222222222"/>
        </w:placeholder>
      </w:sdtPr>
      <w:sdtEndPr>
        <w:rPr>
          <w:rFonts w:hint="eastAsia" w:ascii="Arial" w:hAnsi="Arial" w:eastAsia="宋体" w:cs="宋体"/>
          <w:b w:val="0"/>
          <w:bCs w:val="0"/>
          <w:kern w:val="0"/>
          <w:szCs w:val="21"/>
        </w:rPr>
      </w:sdtEndPr>
      <w:sdtContent>
        <w:p>
          <w:pPr>
            <w:pStyle w:val="5"/>
            <w:numPr>
              <w:ilvl w:val="0"/>
              <w:numId w:val="110"/>
            </w:numPr>
            <w:ind w:left="426" w:hanging="426"/>
          </w:pPr>
          <w:bookmarkStart w:id="217" w:name="_Hlk533423938"/>
          <w:r>
            <w:rPr>
              <w:rFonts w:hint="eastAsia"/>
            </w:rPr>
            <w:t>分摊至剩余履约义务的说明</w:t>
          </w:r>
        </w:p>
        <w:sdt>
          <w:sdtPr>
            <w:alias w:val="是否适用：分摊至剩余履约义务的说明[双击切换]"/>
            <w:tag w:val="_GBC_67defaacf38a42549a2ed747c0fdb075"/>
            <w:id w:val="865726146"/>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rFonts w:ascii="Arial" w:hAnsi="Arial"/>
              <w:szCs w:val="21"/>
            </w:rPr>
          </w:pPr>
        </w:p>
      </w:sdtContent>
    </w:sdt>
    <w:bookmarkEnd w:id="217"/>
    <w:sdt>
      <w:sdtPr>
        <w:rPr>
          <w:rFonts w:hint="eastAsia"/>
          <w:szCs w:val="21"/>
        </w:rPr>
        <w:alias w:val="模块:营业收入和营业成本的其他说明"/>
        <w:tag w:val="_SEC_bf9c8800b7bc4046a57c9b28cfebe1e9"/>
        <w:id w:val="865726159"/>
        <w:lock w:val="sdtLocked"/>
        <w:placeholder>
          <w:docPart w:val="GBC22222222222222222222222222222"/>
        </w:placeholder>
      </w:sdtPr>
      <w:sdtEndPr>
        <w:rPr>
          <w:rFonts w:hint="eastAsia"/>
          <w:szCs w:val="21"/>
        </w:rPr>
      </w:sdtEndPr>
      <w:sdtContent>
        <w:p>
          <w:pPr>
            <w:spacing w:before="60" w:after="60"/>
            <w:rPr>
              <w:szCs w:val="21"/>
            </w:rPr>
          </w:pPr>
          <w:bookmarkStart w:id="218" w:name="_Hlk26364697"/>
        </w:p>
        <w:p>
          <w:pPr>
            <w:rPr>
              <w:szCs w:val="21"/>
            </w:rPr>
          </w:pPr>
        </w:p>
      </w:sdtContent>
    </w:sdt>
    <w:bookmarkEnd w:id="218"/>
    <w:sdt>
      <w:sdtPr>
        <w:rPr>
          <w:rFonts w:hint="eastAsia" w:ascii="宋体" w:hAnsi="宋体" w:cs="宋体"/>
          <w:b w:val="0"/>
          <w:bCs w:val="0"/>
          <w:kern w:val="0"/>
          <w:szCs w:val="21"/>
        </w:rPr>
        <w:alias w:val="模块:税金及附加"/>
        <w:tag w:val="_SEC_f69e6c0ae3f44fea9945d377a149f8ef"/>
        <w:id w:val="865726167"/>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79"/>
            </w:numPr>
            <w:tabs>
              <w:tab w:val="left" w:pos="504"/>
            </w:tabs>
            <w:rPr>
              <w:rFonts w:ascii="宋体" w:hAnsi="宋体"/>
              <w:szCs w:val="21"/>
            </w:rPr>
          </w:pPr>
          <w:r>
            <w:rPr>
              <w:rFonts w:hint="eastAsia" w:ascii="宋体" w:hAnsi="宋体"/>
              <w:szCs w:val="21"/>
            </w:rPr>
            <w:t>税金及附加</w:t>
          </w:r>
        </w:p>
        <w:sdt>
          <w:sdtPr>
            <w:alias w:val="是否适用：税金及附加[双击切换]"/>
            <w:tag w:val="_GBC_08eb9cdd2a3940549b0f2b47081f0a3d"/>
            <w:id w:val="86572616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财务附注：税金及附加"/>
              <w:tag w:val="_GBC_6e5742d697d44a7dabc4411d4cd3c055"/>
              <w:id w:val="865726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8657261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2909"/>
            <w:gridCol w:w="3075"/>
            <w:gridCol w:w="30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Times New Roman" w:hAnsi="Times New Roman" w:cs="Times New Roman"/>
                </w:rPr>
                <w:tag w:val="_PLD_82dcdcc171754a7b940a70d1c7daa5c1"/>
                <w:id w:val="865726163"/>
                <w:lock w:val="sdtLocked"/>
              </w:sdtPr>
              <w:sdtEndPr>
                <w:rPr>
                  <w:rFonts w:ascii="Times New Roman" w:hAnsi="Times New Roman" w:cs="Times New Roman"/>
                </w:rPr>
              </w:sdtEnd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a015e641f9074bee9ed1ee81511407cc"/>
                <w:id w:val="865726164"/>
                <w:lock w:val="sdtLocked"/>
              </w:sdtPr>
              <w:sdtEndPr>
                <w:rPr>
                  <w:rFonts w:ascii="Times New Roman" w:hAnsi="Times New Roman" w:cs="Times New Roman"/>
                </w:rPr>
              </w:sdtEndPr>
              <w:sdtContent>
                <w:tc>
                  <w:tcPr>
                    <w:tcW w:w="1697" w:type="pct"/>
                    <w:tcBorders>
                      <w:top w:val="single" w:color="auto" w:sz="6" w:space="0"/>
                      <w:left w:val="single" w:color="auto" w:sz="6" w:space="0"/>
                      <w:bottom w:val="single" w:color="auto" w:sz="6" w:space="0"/>
                      <w:right w:val="single" w:color="auto" w:sz="6" w:space="0"/>
                    </w:tcBorders>
                  </w:tcPr>
                  <w:p>
                    <w:pPr>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5e944d291c9a4b0aab9f6558226d9112"/>
                <w:id w:val="865726165"/>
                <w:lock w:val="sdtLocked"/>
              </w:sdtPr>
              <w:sdtEndPr>
                <w:rPr>
                  <w:rFonts w:ascii="Times New Roman" w:hAnsi="Times New Roman" w:cs="Times New Roman"/>
                </w:rPr>
              </w:sdtEndPr>
              <w:sdtContent>
                <w:tc>
                  <w:tcPr>
                    <w:tcW w:w="169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cs="Times New Roman"/>
                        <w:szCs w:val="21"/>
                      </w:rPr>
                      <w:t>上期发生额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消费税</w:t>
                </w:r>
              </w:p>
            </w:tc>
            <w:tc>
              <w:tcPr>
                <w:tcW w:w="1697" w:type="pct"/>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240" w:lineRule="atLeast"/>
                  <w:jc w:val="right"/>
                  <w:rPr>
                    <w:rFonts w:ascii="Times New Roman" w:hAnsi="Times New Roman" w:cs="Times New Roman"/>
                    <w:szCs w:val="21"/>
                  </w:rPr>
                </w:pPr>
              </w:p>
            </w:tc>
            <w:tc>
              <w:tcPr>
                <w:tcW w:w="1697" w:type="pct"/>
                <w:tcBorders>
                  <w:top w:val="single" w:color="auto" w:sz="6" w:space="0"/>
                  <w:left w:val="single" w:color="auto" w:sz="6" w:space="0"/>
                  <w:bottom w:val="single" w:color="auto" w:sz="6" w:space="0"/>
                  <w:right w:val="single" w:color="auto" w:sz="6" w:space="0"/>
                </w:tcBorders>
              </w:tcPr>
              <w:p>
                <w:pPr>
                  <w:jc w:val="right"/>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营业税</w:t>
                </w:r>
              </w:p>
            </w:tc>
            <w:tc>
              <w:tcPr>
                <w:tcW w:w="16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right"/>
                  <w:rPr>
                    <w:rFonts w:ascii="Times New Roman" w:hAnsi="Times New Roman" w:cs="Times New Roman"/>
                    <w:szCs w:val="21"/>
                  </w:rPr>
                </w:pP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城市维护建设税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1,781,228.07</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1,762,181.22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教育费附加</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1,494,889.38</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1,394,439.66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资源税</w:t>
                </w:r>
              </w:p>
            </w:tc>
            <w:tc>
              <w:tcPr>
                <w:tcW w:w="16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right"/>
                  <w:rPr>
                    <w:rFonts w:ascii="Times New Roman" w:hAnsi="Times New Roman" w:cs="Times New Roman"/>
                    <w:szCs w:val="21"/>
                  </w:rPr>
                </w:pP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房产税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3,449,614.53</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2,968,982.56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土地使用税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1,314,688.28</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1,091,601.65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车船使用税</w:t>
                </w:r>
              </w:p>
            </w:tc>
            <w:tc>
              <w:tcPr>
                <w:tcW w:w="16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right"/>
                  <w:rPr>
                    <w:rFonts w:ascii="Times New Roman" w:hAnsi="Times New Roman" w:cs="Times New Roman"/>
                    <w:szCs w:val="21"/>
                  </w:rPr>
                </w:pP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印花税</w:t>
                </w:r>
              </w:p>
            </w:tc>
            <w:tc>
              <w:tcPr>
                <w:tcW w:w="16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right"/>
                  <w:rPr>
                    <w:rFonts w:ascii="Times New Roman" w:hAnsi="Times New Roman" w:cs="Times New Roman"/>
                    <w:szCs w:val="21"/>
                  </w:rPr>
                </w:pP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环境保护</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3,700.32</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3,700.32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szCs w:val="21"/>
                  </w:rPr>
                  <w:t>其他</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276,217.32</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213,611.76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合计</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8,320,337.90</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ascii="Times New Roman" w:hAnsi="Times New Roman" w:cs="Times New Roman"/>
                    <w:sz w:val="24"/>
                  </w:rPr>
                </w:pPr>
                <w:r>
                  <w:rPr>
                    <w:rFonts w:ascii="Times New Roman" w:hAnsi="Times New Roman" w:cs="Times New Roman"/>
                  </w:rPr>
                  <w:t>7,434,517.17</w:t>
                </w:r>
              </w:p>
            </w:tc>
          </w:tr>
        </w:tbl>
        <w:p>
          <w:pPr>
            <w:rPr>
              <w:szCs w:val="21"/>
            </w:rPr>
          </w:pPr>
        </w:p>
      </w:sdtContent>
    </w:sdt>
    <w:sdt>
      <w:sdtPr>
        <w:rPr>
          <w:rFonts w:hint="eastAsia" w:ascii="宋体" w:hAnsi="宋体" w:cs="宋体"/>
          <w:b w:val="0"/>
          <w:bCs w:val="0"/>
          <w:kern w:val="0"/>
          <w:szCs w:val="21"/>
        </w:rPr>
        <w:alias w:val="模块:成本费用"/>
        <w:tag w:val="_SEC_5d1ca8a31f664ab6b4c2e40e3350a771"/>
        <w:id w:val="865726186"/>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79"/>
            </w:numPr>
            <w:tabs>
              <w:tab w:val="left" w:pos="504"/>
            </w:tabs>
            <w:rPr>
              <w:rFonts w:ascii="宋体" w:hAnsi="宋体" w:cs="宋体"/>
              <w:bCs w:val="0"/>
              <w:kern w:val="0"/>
              <w:szCs w:val="21"/>
            </w:rPr>
          </w:pPr>
          <w:r>
            <w:rPr>
              <w:rFonts w:hint="eastAsia" w:ascii="宋体" w:hAnsi="宋体" w:cs="宋体"/>
              <w:bCs w:val="0"/>
              <w:kern w:val="0"/>
              <w:szCs w:val="21"/>
            </w:rPr>
            <w:t>销售费用</w:t>
          </w:r>
        </w:p>
        <w:sdt>
          <w:sdtPr>
            <w:alias w:val="是否适用：销售费用[双击切换]"/>
            <w:tag w:val="_GBC_1a0ad35d35924f068ce1b2a2dc02a25f"/>
            <w:id w:val="86572616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销售费用"/>
              <w:tag w:val="_GBC_c5a59d97d8a94cda9b9fbd8a93ad19dc"/>
              <w:id w:val="865726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销售费用"/>
              <w:tag w:val="_GBC_57a629bddf6343a1aebbefc90d9378b0"/>
              <w:id w:val="8657261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2"/>
            <w:gridCol w:w="2859"/>
            <w:gridCol w:w="2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7c4bc503cfe4eafa415de62f182f2c1"/>
                <w:id w:val="865726171"/>
                <w:lock w:val="sdtLocked"/>
              </w:sdtPr>
              <w:sdtEndPr>
                <w:rPr>
                  <w:rFonts w:ascii="Times New Roman" w:hAnsi="Times New Roman" w:cs="Times New Roman"/>
                </w:rPr>
              </w:sdtEndPr>
              <w:sdtContent>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105cce5212fb42a182b1fd8e309ba67c"/>
                <w:id w:val="865726172"/>
                <w:lock w:val="sdtLocked"/>
              </w:sdtPr>
              <w:sdtEndPr>
                <w:rPr>
                  <w:rFonts w:ascii="Times New Roman" w:hAnsi="Times New Roman" w:cs="Times New Roman"/>
                </w:rPr>
              </w:sdtEndPr>
              <w:sdtContent>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5f148659054c4187a80f7bdffc9e9cde"/>
                <w:id w:val="865726173"/>
                <w:lock w:val="sdtLocked"/>
              </w:sdtPr>
              <w:sdtEndPr>
                <w:rPr>
                  <w:rFonts w:ascii="Times New Roman" w:hAnsi="Times New Roman" w:cs="Times New Roman"/>
                </w:rPr>
              </w:sdtEndPr>
              <w:sdtContent>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上期发生额</w:t>
                    </w:r>
                  </w:p>
                </w:tc>
              </w:sdtContent>
            </w:sdt>
          </w:tr>
          <w:sdt>
            <w:sdtPr>
              <w:rPr>
                <w:rFonts w:ascii="Times New Roman" w:hAnsi="Times New Roman" w:cs="Times New Roman"/>
                <w:szCs w:val="21"/>
              </w:rPr>
              <w:alias w:val="销售费用明细"/>
              <w:tag w:val="_TUP_db10d8762ce542a4962ce4cb14ddabbc"/>
              <w:id w:val="86572617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终端服务费用</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31,093,814.92</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35,056,028.06</w:t>
                    </w:r>
                  </w:p>
                </w:tc>
              </w:tr>
            </w:sdtContent>
          </w:sdt>
          <w:sdt>
            <w:sdtPr>
              <w:rPr>
                <w:rFonts w:ascii="Times New Roman" w:hAnsi="Times New Roman" w:cs="Times New Roman"/>
                <w:szCs w:val="21"/>
              </w:rPr>
              <w:alias w:val="销售费用明细"/>
              <w:tag w:val="_TUP_db10d8762ce542a4962ce4cb14ddabbc"/>
              <w:id w:val="86572617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差旅费及会议费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8,402,245.78</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8,483,015.78</w:t>
                    </w:r>
                  </w:p>
                </w:tc>
              </w:tr>
            </w:sdtContent>
          </w:sdt>
          <w:sdt>
            <w:sdtPr>
              <w:rPr>
                <w:rFonts w:ascii="Times New Roman" w:hAnsi="Times New Roman" w:cs="Times New Roman"/>
                <w:szCs w:val="21"/>
              </w:rPr>
              <w:alias w:val="销售费用明细"/>
              <w:tag w:val="_TUP_db10d8762ce542a4962ce4cb14ddabbc"/>
              <w:id w:val="86572617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工资</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21,751,973.40</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15,145,634.40</w:t>
                    </w:r>
                  </w:p>
                </w:tc>
              </w:tr>
            </w:sdtContent>
          </w:sdt>
          <w:sdt>
            <w:sdtPr>
              <w:rPr>
                <w:rFonts w:ascii="Times New Roman" w:hAnsi="Times New Roman" w:cs="Times New Roman"/>
                <w:szCs w:val="21"/>
              </w:rPr>
              <w:alias w:val="销售费用明细"/>
              <w:tag w:val="_TUP_db10d8762ce542a4962ce4cb14ddabbc"/>
              <w:id w:val="86572617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广告及宣传推广费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12,520,172.25</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11,363,999.56</w:t>
                    </w:r>
                  </w:p>
                </w:tc>
              </w:tr>
            </w:sdtContent>
          </w:sdt>
          <w:sdt>
            <w:sdtPr>
              <w:rPr>
                <w:rFonts w:ascii="Times New Roman" w:hAnsi="Times New Roman" w:cs="Times New Roman"/>
                <w:szCs w:val="21"/>
              </w:rPr>
              <w:alias w:val="销售费用明细"/>
              <w:tag w:val="_TUP_db10d8762ce542a4962ce4cb14ddabbc"/>
              <w:id w:val="86572617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社保费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3,511,556.13</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2,853,867.33</w:t>
                    </w:r>
                  </w:p>
                </w:tc>
              </w:tr>
            </w:sdtContent>
          </w:sdt>
          <w:sdt>
            <w:sdtPr>
              <w:rPr>
                <w:rFonts w:ascii="Times New Roman" w:hAnsi="Times New Roman" w:cs="Times New Roman"/>
                <w:szCs w:val="21"/>
              </w:rPr>
              <w:alias w:val="销售费用明细"/>
              <w:tag w:val="_TUP_db10d8762ce542a4962ce4cb14ddabbc"/>
              <w:id w:val="86572617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业务费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620,754.14</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759,895.85</w:t>
                    </w:r>
                  </w:p>
                </w:tc>
              </w:tr>
            </w:sdtContent>
          </w:sdt>
          <w:sdt>
            <w:sdtPr>
              <w:rPr>
                <w:rFonts w:ascii="Times New Roman" w:hAnsi="Times New Roman" w:cs="Times New Roman"/>
                <w:szCs w:val="21"/>
              </w:rPr>
              <w:alias w:val="销售费用明细"/>
              <w:tag w:val="_TUP_db10d8762ce542a4962ce4cb14ddabbc"/>
              <w:id w:val="86572618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办公费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3,030,308.51</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2,976,752.02</w:t>
                    </w:r>
                  </w:p>
                </w:tc>
              </w:tr>
            </w:sdtContent>
          </w:sdt>
          <w:sdt>
            <w:sdtPr>
              <w:rPr>
                <w:rFonts w:ascii="Times New Roman" w:hAnsi="Times New Roman" w:cs="Times New Roman"/>
                <w:szCs w:val="21"/>
              </w:rPr>
              <w:alias w:val="销售费用明细"/>
              <w:tag w:val="_TUP_db10d8762ce542a4962ce4cb14ddabbc"/>
              <w:id w:val="86572618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其他</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6,874,255.09</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8,016,041.27</w:t>
                    </w:r>
                  </w:p>
                </w:tc>
              </w:tr>
            </w:sdtContent>
          </w:sdt>
          <w:sdt>
            <w:sdtPr>
              <w:rPr>
                <w:rFonts w:ascii="Times New Roman" w:hAnsi="Times New Roman" w:cs="Times New Roman"/>
                <w:szCs w:val="21"/>
              </w:rPr>
              <w:alias w:val="销售费用明细"/>
              <w:tag w:val="_TUP_db10d8762ce542a4962ce4cb14ddabbc"/>
              <w:id w:val="86572618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销售费用明细"/>
              <w:tag w:val="_TUP_db10d8762ce542a4962ce4cb14ddabbc"/>
              <w:id w:val="86572618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33cd99c4dd241c78fe0542c641fb610"/>
                <w:id w:val="865726184"/>
                <w:lock w:val="sdtLocked"/>
              </w:sdtPr>
              <w:sdtEndPr>
                <w:rPr>
                  <w:rFonts w:ascii="Times New Roman" w:hAnsi="Times New Roman" w:cs="Times New Roman"/>
                </w:rPr>
              </w:sdtEndPr>
              <w:sdtContent>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87,805,080.22</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84,655,234.27</w:t>
                </w:r>
              </w:p>
            </w:tc>
          </w:tr>
        </w:tbl>
        <w:p/>
        <w:p>
          <w:pPr>
            <w:spacing w:before="60" w:after="60"/>
            <w:rPr>
              <w:rFonts w:ascii="Times New Roman" w:hAnsi="Times New Roman" w:cs="Times New Roman"/>
              <w:szCs w:val="21"/>
            </w:rPr>
          </w:pPr>
          <w:r>
            <w:rPr>
              <w:rFonts w:hint="eastAsia"/>
              <w:szCs w:val="21"/>
            </w:rPr>
            <w:t>其</w:t>
          </w:r>
          <w:r>
            <w:rPr>
              <w:rFonts w:ascii="Times New Roman" w:cs="Times New Roman"/>
              <w:szCs w:val="21"/>
            </w:rPr>
            <w:t>他说明：</w:t>
          </w:r>
        </w:p>
        <w:sdt>
          <w:sdtPr>
            <w:rPr>
              <w:rFonts w:ascii="Times New Roman" w:hAnsi="Times New Roman" w:cs="Times New Roman"/>
              <w:szCs w:val="21"/>
            </w:rPr>
            <w:alias w:val="销售费用的其他说明事项"/>
            <w:tag w:val="_GBC_da5acaab2dfe4976b479907a904edb4f"/>
            <w:id w:val="865726185"/>
            <w:lock w:val="sdtLocked"/>
            <w:placeholder>
              <w:docPart w:val="GBC22222222222222222222222222222"/>
            </w:placeholder>
          </w:sdtPr>
          <w:sdtEndPr>
            <w:rPr>
              <w:rFonts w:ascii="Times New Roman" w:hAnsi="Times New Roman" w:cs="Times New Roman"/>
              <w:szCs w:val="21"/>
            </w:rPr>
          </w:sdtEndPr>
          <w:sdtContent>
            <w:p>
              <w:pPr>
                <w:rPr>
                  <w:rFonts w:ascii="Times New Roman" w:hAnsi="Times New Roman" w:cs="Times New Roman"/>
                  <w:szCs w:val="21"/>
                </w:rPr>
              </w:pPr>
              <w:r>
                <w:rPr>
                  <w:rFonts w:ascii="Times New Roman" w:cs="Times New Roman"/>
                </w:rPr>
                <w:t>上期销售费用调整前金额</w:t>
              </w:r>
              <w:r>
                <w:rPr>
                  <w:rFonts w:ascii="Times New Roman" w:hAnsi="Times New Roman" w:cs="Times New Roman"/>
                </w:rPr>
                <w:t>103,739,839.36</w:t>
              </w:r>
              <w:r>
                <w:rPr>
                  <w:rFonts w:ascii="Times New Roman" w:cs="Times New Roman"/>
                </w:rPr>
                <w:t>元，调整后金额</w:t>
              </w:r>
              <w:r>
                <w:rPr>
                  <w:rFonts w:ascii="Times New Roman" w:hAnsi="Times New Roman" w:cs="Times New Roman"/>
                </w:rPr>
                <w:t>84,655,234.27</w:t>
              </w:r>
              <w:r>
                <w:rPr>
                  <w:rFonts w:ascii="Times New Roman" w:cs="Times New Roman"/>
                </w:rPr>
                <w:t>元，差异</w:t>
              </w:r>
              <w:r>
                <w:rPr>
                  <w:rFonts w:ascii="Times New Roman" w:hAnsi="Times New Roman" w:cs="Times New Roman"/>
                </w:rPr>
                <w:t>19,084,605.09</w:t>
              </w:r>
              <w:r>
                <w:rPr>
                  <w:rFonts w:ascii="Times New Roman" w:cs="Times New Roman"/>
                </w:rPr>
                <w:t>元系本公司执行新收入准则调整所致。</w:t>
              </w:r>
            </w:p>
          </w:sdtContent>
        </w:sdt>
        <w:p>
          <w:pPr>
            <w:rPr>
              <w:szCs w:val="21"/>
            </w:rPr>
          </w:pPr>
        </w:p>
      </w:sdtContent>
    </w:sdt>
    <w:sdt>
      <w:sdtPr>
        <w:rPr>
          <w:rFonts w:hint="eastAsia" w:ascii="宋体" w:hAnsi="宋体" w:cs="宋体"/>
          <w:b w:val="0"/>
          <w:bCs w:val="0"/>
          <w:kern w:val="0"/>
          <w:szCs w:val="21"/>
        </w:rPr>
        <w:alias w:val="模块:管理费用"/>
        <w:tag w:val="_SEC_7f6cbd459a55483f8da09e1ad1378e98"/>
        <w:id w:val="865726207"/>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79"/>
            </w:numPr>
            <w:tabs>
              <w:tab w:val="left" w:pos="504"/>
            </w:tabs>
            <w:rPr>
              <w:szCs w:val="21"/>
            </w:rPr>
          </w:pPr>
          <w:r>
            <w:rPr>
              <w:rFonts w:hint="eastAsia"/>
              <w:szCs w:val="21"/>
            </w:rPr>
            <w:t>管理费用</w:t>
          </w:r>
        </w:p>
        <w:sdt>
          <w:sdtPr>
            <w:alias w:val="是否适用：管理费用[双击切换]"/>
            <w:tag w:val="_GBC_b376fd9abaac4f3b8e5956b8dcd72faf"/>
            <w:id w:val="86572618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管理费用"/>
              <w:tag w:val="_GBC_73606f31bd404afb8bfe5aabe1a68278"/>
              <w:id w:val="8657261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865726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88268d9a550441d943c27cfc1105eb0"/>
                <w:id w:val="865726190"/>
                <w:lock w:val="sdtLocked"/>
              </w:sdtPr>
              <w:sdtEndPr>
                <w:rPr>
                  <w:rFonts w:ascii="Times New Roman" w:hAnsi="Times New Roman" w:cs="Times New Roman"/>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rPr>
                    </w:pPr>
                    <w:r>
                      <w:rPr>
                        <w:rFonts w:ascii="Times New Roman" w:cs="Times New Roman"/>
                      </w:rPr>
                      <w:t>项目</w:t>
                    </w:r>
                  </w:p>
                </w:tc>
              </w:sdtContent>
            </w:sdt>
            <w:sdt>
              <w:sdtPr>
                <w:rPr>
                  <w:rFonts w:ascii="Times New Roman" w:hAnsi="Times New Roman" w:cs="Times New Roman"/>
                </w:rPr>
                <w:tag w:val="_PLD_0e4f4d04bcb2408d8a5744ac90a1f89b"/>
                <w:id w:val="865726191"/>
                <w:lock w:val="sdtLocked"/>
              </w:sdtPr>
              <w:sdtEndPr>
                <w:rPr>
                  <w:rFonts w:ascii="Times New Roman" w:hAnsi="Times New Roman" w:cs="Times New Roman"/>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rPr>
                    </w:pPr>
                    <w:r>
                      <w:rPr>
                        <w:rFonts w:ascii="Times New Roman" w:cs="Times New Roman"/>
                      </w:rPr>
                      <w:t>本期发生额</w:t>
                    </w:r>
                  </w:p>
                </w:tc>
              </w:sdtContent>
            </w:sdt>
            <w:sdt>
              <w:sdtPr>
                <w:rPr>
                  <w:rFonts w:ascii="Times New Roman" w:hAnsi="Times New Roman" w:cs="Times New Roman"/>
                </w:rPr>
                <w:tag w:val="_PLD_6f1ab61237164c0db56540ae1980b62c"/>
                <w:id w:val="865726192"/>
                <w:lock w:val="sdtLocked"/>
              </w:sdtPr>
              <w:sdtEndPr>
                <w:rPr>
                  <w:rFonts w:ascii="Times New Roman" w:hAnsi="Times New Roman" w:cs="Times New Roman"/>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rPr>
                    </w:pPr>
                    <w:r>
                      <w:rPr>
                        <w:rFonts w:ascii="Times New Roman" w:cs="Times New Roman"/>
                      </w:rPr>
                      <w:t>上期发生额</w:t>
                    </w:r>
                  </w:p>
                </w:tc>
              </w:sdtContent>
            </w:sdt>
          </w:tr>
          <w:sdt>
            <w:sdtPr>
              <w:rPr>
                <w:rFonts w:ascii="Times New Roman" w:hAnsi="Times New Roman" w:cs="Times New Roman"/>
              </w:rPr>
              <w:alias w:val="管理费用明细"/>
              <w:tag w:val="_TUP_722eb986b9ca44cea4b28d9c73b66176"/>
              <w:id w:val="865726193"/>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工资及奖金</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30,073,175.59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23,144,754.86</w:t>
                    </w:r>
                  </w:p>
                </w:tc>
              </w:tr>
            </w:sdtContent>
          </w:sdt>
          <w:sdt>
            <w:sdtPr>
              <w:rPr>
                <w:rFonts w:ascii="Times New Roman" w:hAnsi="Times New Roman" w:cs="Times New Roman"/>
              </w:rPr>
              <w:alias w:val="管理费用明细"/>
              <w:tag w:val="_TUP_722eb986b9ca44cea4b28d9c73b66176"/>
              <w:id w:val="865726194"/>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折旧及摊销</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9,036,271.82</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8,992,954.33</w:t>
                    </w:r>
                  </w:p>
                </w:tc>
              </w:tr>
            </w:sdtContent>
          </w:sdt>
          <w:sdt>
            <w:sdtPr>
              <w:rPr>
                <w:rFonts w:ascii="Times New Roman" w:hAnsi="Times New Roman" w:cs="Times New Roman"/>
              </w:rPr>
              <w:alias w:val="管理费用明细"/>
              <w:tag w:val="_TUP_722eb986b9ca44cea4b28d9c73b66176"/>
              <w:id w:val="865726195"/>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社保费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6,158,115.19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5,698,150.34</w:t>
                    </w:r>
                  </w:p>
                </w:tc>
              </w:tr>
            </w:sdtContent>
          </w:sdt>
          <w:sdt>
            <w:sdtPr>
              <w:rPr>
                <w:rFonts w:ascii="Times New Roman" w:hAnsi="Times New Roman" w:cs="Times New Roman"/>
              </w:rPr>
              <w:alias w:val="管理费用明细"/>
              <w:tag w:val="_TUP_722eb986b9ca44cea4b28d9c73b66176"/>
              <w:id w:val="865726196"/>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品牌管理费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137,313.42</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p>
                </w:tc>
              </w:tr>
            </w:sdtContent>
          </w:sdt>
          <w:sdt>
            <w:sdtPr>
              <w:rPr>
                <w:rFonts w:ascii="Times New Roman" w:hAnsi="Times New Roman" w:cs="Times New Roman"/>
              </w:rPr>
              <w:alias w:val="管理费用明细"/>
              <w:tag w:val="_TUP_722eb986b9ca44cea4b28d9c73b66176"/>
              <w:id w:val="865726197"/>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水电费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2,981,455.67</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2,668,585.84</w:t>
                    </w:r>
                  </w:p>
                </w:tc>
              </w:tr>
            </w:sdtContent>
          </w:sdt>
          <w:sdt>
            <w:sdtPr>
              <w:rPr>
                <w:rFonts w:ascii="Times New Roman" w:hAnsi="Times New Roman" w:cs="Times New Roman"/>
              </w:rPr>
              <w:alias w:val="管理费用明细"/>
              <w:tag w:val="_TUP_722eb986b9ca44cea4b28d9c73b66176"/>
              <w:id w:val="865726198"/>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福利费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2,085,252.05</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2,656,797.11</w:t>
                    </w:r>
                  </w:p>
                </w:tc>
              </w:tr>
            </w:sdtContent>
          </w:sdt>
          <w:sdt>
            <w:sdtPr>
              <w:rPr>
                <w:rFonts w:ascii="Times New Roman" w:hAnsi="Times New Roman" w:cs="Times New Roman"/>
              </w:rPr>
              <w:alias w:val="管理费用明细"/>
              <w:tag w:val="_TUP_722eb986b9ca44cea4b28d9c73b66176"/>
              <w:id w:val="865726199"/>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中介费用</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1,047,806.40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1,777,830.68</w:t>
                    </w:r>
                  </w:p>
                </w:tc>
              </w:tr>
            </w:sdtContent>
          </w:sdt>
          <w:sdt>
            <w:sdtPr>
              <w:rPr>
                <w:rFonts w:ascii="Times New Roman" w:hAnsi="Times New Roman" w:cs="Times New Roman"/>
              </w:rPr>
              <w:alias w:val="管理费用明细"/>
              <w:tag w:val="_TUP_722eb986b9ca44cea4b28d9c73b66176"/>
              <w:id w:val="865726200"/>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物料消耗</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1,291,618.27</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540,176.69</w:t>
                    </w:r>
                  </w:p>
                </w:tc>
              </w:tr>
            </w:sdtContent>
          </w:sdt>
          <w:sdt>
            <w:sdtPr>
              <w:rPr>
                <w:rFonts w:ascii="Times New Roman" w:hAnsi="Times New Roman" w:cs="Times New Roman"/>
              </w:rPr>
              <w:alias w:val="管理费用明细"/>
              <w:tag w:val="_TUP_722eb986b9ca44cea4b28d9c73b66176"/>
              <w:id w:val="865726201"/>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办公费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1,203,672.64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1,518,617.36</w:t>
                    </w:r>
                  </w:p>
                </w:tc>
              </w:tr>
            </w:sdtContent>
          </w:sdt>
          <w:sdt>
            <w:sdtPr>
              <w:rPr>
                <w:rFonts w:ascii="Times New Roman" w:hAnsi="Times New Roman" w:cs="Times New Roman"/>
              </w:rPr>
              <w:alias w:val="管理费用明细"/>
              <w:tag w:val="_TUP_722eb986b9ca44cea4b28d9c73b66176"/>
              <w:id w:val="865726202"/>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业务招待费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544,235.64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478,357.77</w:t>
                    </w:r>
                  </w:p>
                </w:tc>
              </w:tr>
            </w:sdtContent>
          </w:sdt>
          <w:sdt>
            <w:sdtPr>
              <w:rPr>
                <w:rFonts w:ascii="Times New Roman" w:hAnsi="Times New Roman" w:cs="Times New Roman"/>
              </w:rPr>
              <w:alias w:val="管理费用明细"/>
              <w:tag w:val="_TUP_722eb986b9ca44cea4b28d9c73b66176"/>
              <w:id w:val="865726203"/>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cs="Times New Roman"/>
                      </w:rPr>
                      <w:t>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9,725,656.09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14,236,773.54</w:t>
                    </w:r>
                  </w:p>
                </w:tc>
              </w:tr>
            </w:sdtContent>
          </w:sdt>
          <w:sdt>
            <w:sdtPr>
              <w:rPr>
                <w:rFonts w:ascii="Times New Roman" w:hAnsi="Times New Roman" w:cs="Times New Roman"/>
              </w:rPr>
              <w:alias w:val="管理费用明细"/>
              <w:tag w:val="_TUP_722eb986b9ca44cea4b28d9c73b66176"/>
              <w:id w:val="865726204"/>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aed7858ee4845698b1e1703ad5c4d1f"/>
                <w:id w:val="865726205"/>
                <w:lock w:val="sdtLocked"/>
              </w:sdtPr>
              <w:sdtEndPr>
                <w:rPr>
                  <w:rFonts w:ascii="Times New Roman" w:hAnsi="Times New Roman" w:cs="Times New Roman"/>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rPr>
                    </w:pPr>
                    <w:r>
                      <w:rPr>
                        <w:rFonts w:ascii="Times New Roman" w:cs="Times New Roman"/>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64,284,572.78</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61,712,998.52</w:t>
                </w:r>
              </w:p>
            </w:tc>
          </w:tr>
        </w:tbl>
        <w:p/>
        <w:p>
          <w:pPr>
            <w:rPr>
              <w:szCs w:val="21"/>
            </w:rPr>
          </w:pPr>
          <w:r>
            <w:rPr>
              <w:rFonts w:hint="eastAsia"/>
              <w:szCs w:val="21"/>
            </w:rPr>
            <w:t>其他说明：</w:t>
          </w:r>
        </w:p>
        <w:sdt>
          <w:sdtPr>
            <w:rPr>
              <w:szCs w:val="21"/>
            </w:rPr>
            <w:alias w:val="管理费用的其他说明事项"/>
            <w:tag w:val="_GBC_9b151103b3714e6c9261d3362f24bd0a"/>
            <w:id w:val="865726206"/>
            <w:lock w:val="sdtLocked"/>
            <w:placeholder>
              <w:docPart w:val="GBC22222222222222222222222222222"/>
            </w:placeholder>
          </w:sdtPr>
          <w:sdtEndPr>
            <w:rPr>
              <w:rFonts w:ascii="Times New Roman" w:hAnsi="Times New Roman" w:cs="Times New Roman"/>
              <w:szCs w:val="21"/>
            </w:rPr>
          </w:sdtEndPr>
          <w:sdtContent>
            <w:p>
              <w:pPr>
                <w:rPr>
                  <w:rFonts w:ascii="Times New Roman" w:hAnsi="Times New Roman" w:cs="Times New Roman"/>
                  <w:szCs w:val="21"/>
                </w:rPr>
              </w:pPr>
              <w:r>
                <w:rPr>
                  <w:rFonts w:ascii="Times New Roman" w:cs="Times New Roman"/>
                </w:rPr>
                <w:t>上期管理费用调整前金额</w:t>
              </w:r>
              <w:r>
                <w:rPr>
                  <w:rFonts w:ascii="Times New Roman" w:hAnsi="Times New Roman" w:cs="Times New Roman"/>
                </w:rPr>
                <w:t>61,917,634.09</w:t>
              </w:r>
              <w:r>
                <w:rPr>
                  <w:rFonts w:ascii="Times New Roman" w:cs="Times New Roman"/>
                </w:rPr>
                <w:t>元，上期管理费用调整后为</w:t>
              </w:r>
              <w:r>
                <w:rPr>
                  <w:rFonts w:ascii="Times New Roman" w:hAnsi="Times New Roman" w:cs="Times New Roman"/>
                </w:rPr>
                <w:t>61,712,998.52</w:t>
              </w:r>
              <w:r>
                <w:rPr>
                  <w:rFonts w:ascii="Times New Roman" w:cs="Times New Roman"/>
                </w:rPr>
                <w:t>元，差异</w:t>
              </w:r>
              <w:r>
                <w:rPr>
                  <w:rFonts w:ascii="Times New Roman" w:hAnsi="Times New Roman" w:cs="Times New Roman"/>
                </w:rPr>
                <w:t>204,635.57</w:t>
              </w:r>
              <w:r>
                <w:rPr>
                  <w:rFonts w:ascii="Times New Roman" w:cs="Times New Roman"/>
                </w:rPr>
                <w:t>元系首次执行租赁准则调整期初财务报表所致。</w:t>
              </w:r>
            </w:p>
          </w:sdtContent>
        </w:sdt>
        <w:p>
          <w:pPr>
            <w:rPr>
              <w:szCs w:val="21"/>
            </w:rPr>
          </w:pPr>
        </w:p>
      </w:sdtContent>
    </w:sdt>
    <w:sdt>
      <w:sdtPr>
        <w:rPr>
          <w:rFonts w:hint="eastAsia" w:ascii="宋体" w:hAnsi="宋体" w:cs="宋体"/>
          <w:b w:val="0"/>
          <w:bCs w:val="0"/>
          <w:kern w:val="0"/>
          <w:szCs w:val="21"/>
        </w:rPr>
        <w:alias w:val="模块:研发费用"/>
        <w:tag w:val="_SEC_82bf03b829d641c299349e9d5db687f0"/>
        <w:id w:val="865726224"/>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79"/>
            </w:numPr>
            <w:tabs>
              <w:tab w:val="left" w:pos="504"/>
            </w:tabs>
            <w:rPr>
              <w:szCs w:val="21"/>
            </w:rPr>
          </w:pPr>
          <w:bookmarkStart w:id="219" w:name="_Hlk532912714"/>
          <w:r>
            <w:rPr>
              <w:rFonts w:hint="eastAsia"/>
              <w:szCs w:val="21"/>
            </w:rPr>
            <w:t>研发费用</w:t>
          </w:r>
        </w:p>
        <w:sdt>
          <w:sdtPr>
            <w:rPr>
              <w:szCs w:val="21"/>
            </w:rPr>
            <w:alias w:val="是否适用：研发费用[双击切换]"/>
            <w:tag w:val="_GBC_447085648bd3455aade2b93965762fb7"/>
            <w:id w:val="86572620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55"/>
            <w:ind w:left="420" w:firstLine="0" w:firstLineChars="0"/>
            <w:jc w:val="right"/>
            <w:rPr>
              <w:szCs w:val="21"/>
            </w:rPr>
          </w:pPr>
          <w:r>
            <w:rPr>
              <w:rFonts w:hint="eastAsia"/>
              <w:szCs w:val="21"/>
            </w:rPr>
            <w:t>单位：</w:t>
          </w:r>
          <w:sdt>
            <w:sdtPr>
              <w:rPr>
                <w:rFonts w:hint="eastAsia"/>
                <w:szCs w:val="21"/>
              </w:rPr>
              <w:alias w:val="单位：研发费用"/>
              <w:tag w:val="_GBC_1b1f4be1acd049ce8e7935f0a111d07a"/>
              <w:id w:val="8657262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26bfad334e744cb79af11c6aa10e96ad"/>
              <w:id w:val="8657262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2420652c2154f7cbee5669a7dc715b9"/>
                <w:id w:val="865726211"/>
                <w:lock w:val="sdtLocked"/>
              </w:sdtPr>
              <w:sdtEndPr>
                <w:rPr>
                  <w:rFonts w:ascii="Times New Roman" w:hAnsi="Times New Roman" w:cs="Times New Roman"/>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301f10da19c0458dbf502fb4181b8435"/>
                <w:id w:val="865726212"/>
                <w:lock w:val="sdtLocked"/>
              </w:sdtPr>
              <w:sdtEndPr>
                <w:rPr>
                  <w:rFonts w:ascii="Times New Roman" w:hAnsi="Times New Roman" w:cs="Times New Roman"/>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657399a6b7d84b83b048a7e1f5ab1c45"/>
                <w:id w:val="865726213"/>
                <w:lock w:val="sdtLocked"/>
              </w:sdtPr>
              <w:sdtEndPr>
                <w:rPr>
                  <w:rFonts w:ascii="Times New Roman" w:hAnsi="Times New Roman" w:cs="Times New Roman"/>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szCs w:val="21"/>
                      </w:rPr>
                    </w:pPr>
                    <w:r>
                      <w:rPr>
                        <w:rFonts w:ascii="Times New Roman" w:cs="Times New Roman"/>
                        <w:szCs w:val="21"/>
                      </w:rPr>
                      <w:t>上期发生额</w:t>
                    </w:r>
                  </w:p>
                </w:tc>
              </w:sdtContent>
            </w:sdt>
          </w:tr>
          <w:sdt>
            <w:sdtPr>
              <w:rPr>
                <w:rFonts w:ascii="Times New Roman" w:hAnsi="Times New Roman" w:cs="Times New Roman"/>
                <w:szCs w:val="21"/>
              </w:rPr>
              <w:alias w:val="研发费用明细"/>
              <w:tag w:val="_TUP_e20dd3fcf365400290d382be3f4e0697"/>
              <w:id w:val="86572621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7,302,333.98</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6,855,097.73</w:t>
                    </w:r>
                  </w:p>
                </w:tc>
              </w:tr>
            </w:sdtContent>
          </w:sdt>
          <w:sdt>
            <w:sdtPr>
              <w:rPr>
                <w:rFonts w:ascii="Times New Roman" w:hAnsi="Times New Roman" w:cs="Times New Roman"/>
                <w:szCs w:val="21"/>
              </w:rPr>
              <w:alias w:val="研发费用明细"/>
              <w:tag w:val="_TUP_e20dd3fcf365400290d382be3f4e0697"/>
              <w:id w:val="86572621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物料消耗</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707,736.94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499,252.51</w:t>
                    </w:r>
                  </w:p>
                </w:tc>
              </w:tr>
            </w:sdtContent>
          </w:sdt>
          <w:sdt>
            <w:sdtPr>
              <w:rPr>
                <w:rFonts w:ascii="Times New Roman" w:hAnsi="Times New Roman" w:cs="Times New Roman"/>
                <w:szCs w:val="21"/>
              </w:rPr>
              <w:alias w:val="研发费用明细"/>
              <w:tag w:val="_TUP_e20dd3fcf365400290d382be3f4e0697"/>
              <w:id w:val="86572621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折旧及摊销</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859,610.94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719,476.61</w:t>
                    </w:r>
                  </w:p>
                </w:tc>
              </w:tr>
            </w:sdtContent>
          </w:sdt>
          <w:sdt>
            <w:sdtPr>
              <w:rPr>
                <w:rFonts w:ascii="Times New Roman" w:hAnsi="Times New Roman" w:cs="Times New Roman"/>
                <w:szCs w:val="21"/>
              </w:rPr>
              <w:alias w:val="研发费用明细"/>
              <w:tag w:val="_TUP_e20dd3fcf365400290d382be3f4e0697"/>
              <w:id w:val="86572621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中试费用</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764,676.04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1,214,419.63</w:t>
                    </w:r>
                  </w:p>
                </w:tc>
              </w:tr>
            </w:sdtContent>
          </w:sdt>
          <w:sdt>
            <w:sdtPr>
              <w:rPr>
                <w:rFonts w:ascii="Times New Roman" w:hAnsi="Times New Roman" w:cs="Times New Roman"/>
                <w:szCs w:val="21"/>
              </w:rPr>
              <w:alias w:val="研发费用明细"/>
              <w:tag w:val="_TUP_e20dd3fcf365400290d382be3f4e0697"/>
              <w:id w:val="86572621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仪器仪表及检查费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514,968.60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470,070.83</w:t>
                    </w:r>
                  </w:p>
                </w:tc>
              </w:tr>
            </w:sdtContent>
          </w:sdt>
          <w:sdt>
            <w:sdtPr>
              <w:rPr>
                <w:rFonts w:ascii="Times New Roman" w:hAnsi="Times New Roman" w:cs="Times New Roman"/>
                <w:szCs w:val="21"/>
              </w:rPr>
              <w:alias w:val="研发费用明细"/>
              <w:tag w:val="_TUP_e20dd3fcf365400290d382be3f4e0697"/>
              <w:id w:val="86572621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水电汽费用</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138,111.65</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135,492.57</w:t>
                    </w:r>
                  </w:p>
                </w:tc>
              </w:tr>
            </w:sdtContent>
          </w:sdt>
          <w:sdt>
            <w:sdtPr>
              <w:rPr>
                <w:rFonts w:ascii="Times New Roman" w:hAnsi="Times New Roman" w:cs="Times New Roman"/>
                <w:szCs w:val="21"/>
              </w:rPr>
              <w:alias w:val="研发费用明细"/>
              <w:tag w:val="_TUP_e20dd3fcf365400290d382be3f4e0697"/>
              <w:id w:val="86572622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1,456,502.39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1,570,514.44</w:t>
                    </w:r>
                  </w:p>
                </w:tc>
              </w:tr>
            </w:sdtContent>
          </w:sdt>
          <w:sdt>
            <w:sdtPr>
              <w:rPr>
                <w:rFonts w:ascii="Times New Roman" w:hAnsi="Times New Roman" w:cs="Times New Roman"/>
                <w:szCs w:val="21"/>
              </w:rPr>
              <w:alias w:val="研发费用明细"/>
              <w:tag w:val="_TUP_e20dd3fcf365400290d382be3f4e0697"/>
              <w:id w:val="86572622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cab7ee68b8c41309b94c4fd276833fd"/>
                <w:id w:val="865726222"/>
                <w:lock w:val="sdtLocked"/>
              </w:sdtPr>
              <w:sdtEndPr>
                <w:rPr>
                  <w:rFonts w:ascii="Times New Roman" w:hAnsi="Times New Roman" w:cs="Times New Roman"/>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11,743,940.54</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11,464,324.32</w:t>
                </w:r>
              </w:p>
            </w:tc>
          </w:tr>
        </w:tbl>
        <w:p/>
        <w:p/>
        <w:p/>
      </w:sdtContent>
    </w:sdt>
    <w:bookmarkEnd w:id="219"/>
    <w:sdt>
      <w:sdtPr>
        <w:rPr>
          <w:rFonts w:hint="eastAsia" w:ascii="宋体" w:hAnsi="宋体" w:cs="宋体"/>
          <w:b w:val="0"/>
          <w:bCs w:val="0"/>
          <w:kern w:val="0"/>
          <w:szCs w:val="21"/>
        </w:rPr>
        <w:alias w:val="模块:财务费用"/>
        <w:tag w:val="_SEC_e64e0ff353b940238889b35d13a33128"/>
        <w:id w:val="865726238"/>
        <w:lock w:val="sdtLocked"/>
        <w:placeholder>
          <w:docPart w:val="GBC22222222222222222222222222222"/>
        </w:placeholder>
      </w:sdtPr>
      <w:sdtEndPr>
        <w:rPr>
          <w:rFonts w:hint="default" w:ascii="Times New Roman" w:hAnsi="Times New Roman" w:cs="Times New Roman"/>
          <w:b w:val="0"/>
          <w:bCs w:val="0"/>
          <w:kern w:val="0"/>
          <w:szCs w:val="21"/>
        </w:rPr>
      </w:sdtEndPr>
      <w:sdtContent>
        <w:p>
          <w:pPr>
            <w:pStyle w:val="4"/>
            <w:numPr>
              <w:ilvl w:val="0"/>
              <w:numId w:val="79"/>
            </w:numPr>
            <w:tabs>
              <w:tab w:val="left" w:pos="504"/>
            </w:tabs>
            <w:rPr>
              <w:szCs w:val="21"/>
            </w:rPr>
          </w:pPr>
          <w:r>
            <w:rPr>
              <w:rFonts w:hint="eastAsia"/>
              <w:szCs w:val="21"/>
            </w:rPr>
            <w:t>财务费用</w:t>
          </w:r>
        </w:p>
        <w:sdt>
          <w:sdtPr>
            <w:alias w:val="是否适用：财务费用[双击切换]"/>
            <w:tag w:val="_GBC_7e467c6faebc402ab141f588df31680d"/>
            <w:id w:val="86572622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费用"/>
              <w:tag w:val="_GBC_adcf988d29cd43aba011ce1310eac264"/>
              <w:id w:val="8657262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8657262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49977e87dd3f474489b24bbaed00293d"/>
                <w:id w:val="201050390"/>
                <w:lock w:val="sdtLocked"/>
              </w:sdtPr>
              <w:sdtEndPr>
                <w:rPr>
                  <w:rFonts w:ascii="Times New Roman" w:hAnsi="Times New Roman"/>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rPr>
                    </w:pPr>
                    <w:r>
                      <w:rPr>
                        <w:rFonts w:ascii="Times New Roman"/>
                      </w:rPr>
                      <w:t>项目</w:t>
                    </w:r>
                  </w:p>
                </w:tc>
              </w:sdtContent>
            </w:sdt>
            <w:sdt>
              <w:sdtPr>
                <w:rPr>
                  <w:rFonts w:ascii="Times New Roman" w:hAnsi="Times New Roman"/>
                </w:rPr>
                <w:tag w:val="_PLD_f64aa2e290ce4904a39347c56117acb7"/>
                <w:id w:val="201050391"/>
                <w:lock w:val="sdtLocked"/>
              </w:sdtPr>
              <w:sdtEndPr>
                <w:rPr>
                  <w:rFonts w:ascii="Times New Roman" w:hAnsi="Times New Roman"/>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rPr>
                    </w:pPr>
                    <w:r>
                      <w:rPr>
                        <w:rFonts w:ascii="Times New Roman"/>
                      </w:rPr>
                      <w:t>本期发生额</w:t>
                    </w:r>
                  </w:p>
                </w:tc>
              </w:sdtContent>
            </w:sdt>
            <w:sdt>
              <w:sdtPr>
                <w:rPr>
                  <w:rFonts w:ascii="Times New Roman" w:hAnsi="Times New Roman"/>
                </w:rPr>
                <w:tag w:val="_PLD_178c78585f7e495ebd86923cb8c24338"/>
                <w:id w:val="201050392"/>
                <w:lock w:val="sdtLocked"/>
              </w:sdtPr>
              <w:sdtEndPr>
                <w:rPr>
                  <w:rFonts w:ascii="Times New Roman" w:hAnsi="Times New Roman"/>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rPr>
                    </w:pPr>
                    <w:r>
                      <w:rPr>
                        <w:rFonts w:ascii="Times New Roman"/>
                      </w:rPr>
                      <w:t>上期发生额</w:t>
                    </w:r>
                  </w:p>
                </w:tc>
              </w:sdtContent>
            </w:sdt>
          </w:tr>
          <w:sdt>
            <w:sdtPr>
              <w:rPr>
                <w:rFonts w:ascii="Times New Roman" w:hAnsi="Times New Roman" w:eastAsiaTheme="minorEastAsia" w:cstheme="minorBidi"/>
                <w:kern w:val="2"/>
                <w:szCs w:val="22"/>
              </w:rPr>
              <w:alias w:val="财务费用明细"/>
              <w:tag w:val="_TUP_532e2d560b3e474f82bbcbba74b0e810"/>
              <w:id w:val="201050393"/>
              <w:lock w:val="sdtLocked"/>
            </w:sdtPr>
            <w:sdtEndPr>
              <w:rPr>
                <w:rFonts w:ascii="Times New Roman" w:hAnsi="Times New Roman"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rPr>
                    </w:pPr>
                    <w:r>
                      <w:rPr>
                        <w:rFonts w:ascii="Times New Roman"/>
                      </w:rPr>
                      <w:t>利息支出</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rPr>
                    </w:pPr>
                    <w:r>
                      <w:rPr>
                        <w:rFonts w:ascii="Times New Roman" w:hAnsi="Times New Roman"/>
                      </w:rPr>
                      <w:t>1,316,169.68</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rPr>
                    </w:pPr>
                    <w:r>
                      <w:rPr>
                        <w:rFonts w:ascii="Times New Roman" w:hAnsi="Times New Roman"/>
                      </w:rPr>
                      <w:t>1,366,129.65</w:t>
                    </w:r>
                  </w:p>
                </w:tc>
              </w:tr>
            </w:sdtContent>
          </w:sdt>
          <w:sdt>
            <w:sdtPr>
              <w:rPr>
                <w:rFonts w:ascii="Times New Roman" w:hAnsi="Times New Roman" w:eastAsiaTheme="minorEastAsia" w:cstheme="minorBidi"/>
                <w:kern w:val="2"/>
                <w:szCs w:val="22"/>
              </w:rPr>
              <w:alias w:val="财务费用明细"/>
              <w:tag w:val="_TUP_532e2d560b3e474f82bbcbba74b0e810"/>
              <w:id w:val="201050394"/>
              <w:lock w:val="sdtLocked"/>
            </w:sdtPr>
            <w:sdtEndPr>
              <w:rPr>
                <w:rFonts w:ascii="Times New Roman" w:hAnsi="Times New Roman"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rPr>
                    </w:pPr>
                    <w:r>
                      <w:rPr>
                        <w:rFonts w:ascii="Times New Roman"/>
                      </w:rPr>
                      <w:t>减：利息收入</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rPr>
                    </w:pPr>
                    <w:r>
                      <w:rPr>
                        <w:rFonts w:ascii="Times New Roman" w:hAnsi="Times New Roman"/>
                      </w:rPr>
                      <w:t>-42,217,583.91</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rPr>
                    </w:pPr>
                    <w:r>
                      <w:rPr>
                        <w:rFonts w:ascii="Times New Roman" w:hAnsi="Times New Roman"/>
                      </w:rPr>
                      <w:t>43,908,417.49</w:t>
                    </w:r>
                  </w:p>
                </w:tc>
              </w:tr>
            </w:sdtContent>
          </w:sdt>
          <w:sdt>
            <w:sdtPr>
              <w:rPr>
                <w:rFonts w:ascii="Times New Roman" w:hAnsi="Times New Roman" w:eastAsiaTheme="minorEastAsia" w:cstheme="minorBidi"/>
                <w:kern w:val="2"/>
                <w:szCs w:val="22"/>
              </w:rPr>
              <w:alias w:val="财务费用明细"/>
              <w:tag w:val="_TUP_532e2d560b3e474f82bbcbba74b0e810"/>
              <w:id w:val="201050395"/>
              <w:lock w:val="sdtLocked"/>
            </w:sdtPr>
            <w:sdtEndPr>
              <w:rPr>
                <w:rFonts w:ascii="Times New Roman" w:hAnsi="Times New Roman"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rPr>
                    </w:pPr>
                    <w:r>
                      <w:rPr>
                        <w:rFonts w:ascii="Times New Roman"/>
                      </w:rPr>
                      <w:t>汇兑损益</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rPr>
                    </w:pPr>
                    <w:r>
                      <w:rPr>
                        <w:rFonts w:ascii="Times New Roman" w:hAnsi="Times New Roman"/>
                      </w:rPr>
                      <w:t>605,300.68</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rPr>
                    </w:pPr>
                    <w:r>
                      <w:rPr>
                        <w:rFonts w:ascii="Times New Roman" w:hAnsi="Times New Roman"/>
                      </w:rPr>
                      <w:t>1,654,600.29</w:t>
                    </w:r>
                  </w:p>
                </w:tc>
              </w:tr>
            </w:sdtContent>
          </w:sdt>
          <w:sdt>
            <w:sdtPr>
              <w:rPr>
                <w:rFonts w:ascii="Times New Roman" w:hAnsi="Times New Roman" w:eastAsiaTheme="minorEastAsia" w:cstheme="minorBidi"/>
                <w:kern w:val="2"/>
                <w:szCs w:val="22"/>
              </w:rPr>
              <w:alias w:val="财务费用明细"/>
              <w:tag w:val="_TUP_532e2d560b3e474f82bbcbba74b0e810"/>
              <w:id w:val="201050396"/>
              <w:lock w:val="sdtLocked"/>
            </w:sdtPr>
            <w:sdtEndPr>
              <w:rPr>
                <w:rFonts w:ascii="Times New Roman" w:hAnsi="Times New Roman"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rPr>
                    </w:pPr>
                    <w:r>
                      <w:rPr>
                        <w:rFonts w:ascii="Times New Roman"/>
                      </w:rPr>
                      <w:t>银行手续费及其他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rPr>
                    </w:pPr>
                    <w:r>
                      <w:rPr>
                        <w:rFonts w:ascii="Times New Roman" w:hAnsi="Times New Roman"/>
                      </w:rPr>
                      <w:t>106,700.76</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rPr>
                    </w:pPr>
                    <w:r>
                      <w:rPr>
                        <w:rFonts w:ascii="Times New Roman" w:hAnsi="Times New Roman"/>
                      </w:rPr>
                      <w:t>232,248.05</w:t>
                    </w:r>
                  </w:p>
                </w:tc>
              </w:tr>
            </w:sdtContent>
          </w:sdt>
          <w:sdt>
            <w:sdtPr>
              <w:rPr>
                <w:rFonts w:ascii="Times New Roman" w:hAnsi="Times New Roman" w:eastAsiaTheme="minorEastAsia" w:cstheme="minorBidi"/>
                <w:kern w:val="2"/>
                <w:szCs w:val="22"/>
              </w:rPr>
              <w:alias w:val="财务费用明细"/>
              <w:tag w:val="_TUP_532e2d560b3e474f82bbcbba74b0e810"/>
              <w:id w:val="201050397"/>
              <w:lock w:val="sdtLocked"/>
            </w:sdtPr>
            <w:sdtEndPr>
              <w:rPr>
                <w:rFonts w:ascii="Times New Roman" w:hAnsi="Times New Roman"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rPr>
                    </w:pP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65dda636e4a845d7a035b74881476be3"/>
                <w:id w:val="201050398"/>
                <w:lock w:val="sdtLocked"/>
              </w:sdtPr>
              <w:sdtEndPr>
                <w:rPr>
                  <w:rFonts w:ascii="Times New Roman" w:hAnsi="Times New Roman"/>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rPr>
                    </w:pPr>
                    <w:r>
                      <w:rPr>
                        <w:rFonts w:ascii="Times New Roman"/>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-40,189,412.79</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sz w:val="24"/>
                  </w:rPr>
                </w:pPr>
                <w:r>
                  <w:rPr>
                    <w:rFonts w:ascii="Times New Roman" w:hAnsi="Times New Roman"/>
                  </w:rPr>
                  <w:t>-40,655,439.50</w:t>
                </w:r>
              </w:p>
            </w:tc>
          </w:tr>
        </w:tbl>
        <w:p/>
        <w:p>
          <w:pPr>
            <w:rPr>
              <w:rFonts w:ascii="Times New Roman" w:hAnsi="Times New Roman" w:cs="Times New Roman"/>
              <w:szCs w:val="21"/>
            </w:rPr>
          </w:pPr>
          <w:r>
            <w:rPr>
              <w:rFonts w:ascii="Times New Roman" w:cs="Times New Roman"/>
              <w:szCs w:val="21"/>
            </w:rPr>
            <w:t>其他说明：</w:t>
          </w:r>
        </w:p>
        <w:sdt>
          <w:sdtPr>
            <w:rPr>
              <w:rFonts w:ascii="Times New Roman" w:hAnsi="Times New Roman" w:cs="Times New Roman"/>
              <w:szCs w:val="21"/>
            </w:rPr>
            <w:alias w:val="财务费用的其他说明事项"/>
            <w:tag w:val="_GBC_ac6200ee95c7483d9ee9565f49369f9a"/>
            <w:id w:val="865726237"/>
            <w:lock w:val="sdtLocked"/>
            <w:placeholder>
              <w:docPart w:val="GBC22222222222222222222222222222"/>
            </w:placeholder>
          </w:sdtPr>
          <w:sdtEndPr>
            <w:rPr>
              <w:rFonts w:ascii="Times New Roman" w:hAnsi="Times New Roman" w:cs="Times New Roman"/>
              <w:szCs w:val="21"/>
            </w:rPr>
          </w:sdtEndPr>
          <w:sdtContent>
            <w:p>
              <w:pPr>
                <w:ind w:firstLine="420" w:firstLineChars="200"/>
                <w:rPr>
                  <w:rFonts w:ascii="Times New Roman" w:cs="Times New Roman"/>
                </w:rPr>
              </w:pPr>
              <w:r>
                <w:rPr>
                  <w:rFonts w:ascii="Times New Roman" w:cs="Times New Roman"/>
                </w:rPr>
                <w:t>（</w:t>
              </w:r>
              <w:r>
                <w:rPr>
                  <w:rFonts w:ascii="Times New Roman" w:hAnsi="Times New Roman" w:cs="Times New Roman"/>
                </w:rPr>
                <w:t>1</w:t>
              </w:r>
              <w:r>
                <w:rPr>
                  <w:rFonts w:ascii="Times New Roman" w:cs="Times New Roman"/>
                </w:rPr>
                <w:t>）上期财务费用调整前金额</w:t>
              </w:r>
              <w:r>
                <w:rPr>
                  <w:rFonts w:ascii="Times New Roman" w:hAnsi="Times New Roman" w:cs="Times New Roman"/>
                </w:rPr>
                <w:t>-40,814,222.46</w:t>
              </w:r>
              <w:r>
                <w:rPr>
                  <w:rFonts w:ascii="Times New Roman" w:cs="Times New Roman"/>
                </w:rPr>
                <w:t>元，上期财务费用调整后为</w:t>
              </w:r>
              <w:r>
                <w:rPr>
                  <w:rFonts w:ascii="Times New Roman" w:hAnsi="Times New Roman" w:cs="Times New Roman"/>
                </w:rPr>
                <w:t>-40,655,439.50</w:t>
              </w:r>
              <w:r>
                <w:rPr>
                  <w:rFonts w:ascii="Times New Roman" w:cs="Times New Roman"/>
                </w:rPr>
                <w:t>元，差异</w:t>
              </w:r>
              <w:r>
                <w:rPr>
                  <w:rFonts w:ascii="Times New Roman" w:hAnsi="Times New Roman" w:cs="Times New Roman"/>
                </w:rPr>
                <w:t>158,782.96</w:t>
              </w:r>
              <w:r>
                <w:rPr>
                  <w:rFonts w:ascii="Times New Roman" w:cs="Times New Roman"/>
                </w:rPr>
                <w:t>元系首次执行租赁准则调整期初财务报表所致。</w:t>
              </w:r>
            </w:p>
            <w:p>
              <w:pPr>
                <w:ind w:firstLine="420" w:firstLineChars="200"/>
                <w:rPr>
                  <w:rFonts w:ascii="Times New Roman" w:hAnsi="Times New Roman" w:cs="Times New Roman"/>
                  <w:szCs w:val="21"/>
                </w:rPr>
              </w:pPr>
              <w:r>
                <w:rPr>
                  <w:rFonts w:ascii="Times New Roman" w:cs="Times New Roman"/>
                </w:rPr>
                <w:t>（</w:t>
              </w:r>
              <w:r>
                <w:rPr>
                  <w:rFonts w:ascii="Times New Roman" w:hAnsi="Times New Roman" w:cs="Times New Roman"/>
                </w:rPr>
                <w:t>2</w:t>
              </w:r>
              <w:r>
                <w:rPr>
                  <w:rFonts w:ascii="Times New Roman" w:cs="Times New Roman"/>
                </w:rPr>
                <w:t>）本期利息支出中已经扣除了民品贷款贴息补助</w:t>
              </w:r>
              <w:r>
                <w:rPr>
                  <w:rFonts w:ascii="Times New Roman" w:hAnsi="Times New Roman" w:cs="Times New Roman"/>
                </w:rPr>
                <w:t>1,843,920.00</w:t>
              </w:r>
              <w:r>
                <w:rPr>
                  <w:rFonts w:ascii="Times New Roman" w:cs="Times New Roman"/>
                </w:rPr>
                <w:t>元，上期利息支出中已经扣除了民品贷款贴息补助</w:t>
              </w:r>
              <w:r>
                <w:rPr>
                  <w:rFonts w:ascii="Times New Roman" w:hAnsi="Times New Roman" w:cs="Times New Roman"/>
                </w:rPr>
                <w:t>2,219,360.00</w:t>
              </w:r>
              <w:r>
                <w:rPr>
                  <w:rFonts w:ascii="Times New Roman" w:cs="Times New Roman"/>
                </w:rPr>
                <w:t>元。</w:t>
              </w:r>
            </w:p>
          </w:sdtContent>
        </w:sdt>
        <w:p>
          <w:pPr>
            <w:rPr>
              <w:rFonts w:ascii="Times New Roman" w:hAnsi="Times New Roman" w:cs="Times New Roman"/>
              <w:szCs w:val="21"/>
            </w:rPr>
          </w:pPr>
        </w:p>
      </w:sdtContent>
    </w:sdt>
    <w:p>
      <w:pPr>
        <w:rPr>
          <w:rFonts w:asciiTheme="minorHAnsi" w:hAnsiTheme="minorHAnsi" w:eastAsiaTheme="minorEastAsia"/>
          <w:szCs w:val="22"/>
        </w:rPr>
      </w:pPr>
    </w:p>
    <w:sdt>
      <w:sdtPr>
        <w:rPr>
          <w:rFonts w:hint="eastAsia" w:ascii="宋体" w:hAnsi="宋体" w:cs="宋体"/>
          <w:b w:val="0"/>
          <w:bCs w:val="0"/>
          <w:kern w:val="0"/>
          <w:szCs w:val="24"/>
        </w:rPr>
        <w:alias w:val="模块:其他收益"/>
        <w:tag w:val="_SEC_e9bc7b10fbe24a58a2a8e3ac1ff96a97"/>
        <w:id w:val="865726260"/>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79"/>
            </w:numPr>
            <w:tabs>
              <w:tab w:val="left" w:pos="504"/>
            </w:tabs>
          </w:pPr>
          <w:r>
            <w:rPr>
              <w:rFonts w:hint="eastAsia"/>
            </w:rPr>
            <w:t>其他收益</w:t>
          </w:r>
        </w:p>
        <w:sdt>
          <w:sdtPr>
            <w:rPr>
              <w:bCs/>
            </w:rPr>
            <w:alias w:val="是否适用：财务报表其他收益[双击切换]"/>
            <w:tag w:val="_GBC_24722ffac3b6474db1e1d7972d6e4a7b"/>
            <w:id w:val="865726239"/>
            <w:lock w:val="sdtLocked"/>
            <w:placeholder>
              <w:docPart w:val="GBC22222222222222222222222222222"/>
            </w:placeholder>
          </w:sdtPr>
          <w:sdtEndPr>
            <w:rPr>
              <w:bCs/>
            </w:rPr>
          </w:sdtEndPr>
          <w:sdtContent>
            <w:p>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pPr>
            <w:pStyle w:val="55"/>
            <w:ind w:left="420" w:firstLine="0" w:firstLineChars="0"/>
            <w:jc w:val="right"/>
            <w:rPr>
              <w:bCs/>
            </w:rPr>
          </w:pPr>
          <w:r>
            <w:rPr>
              <w:bCs/>
            </w:rPr>
            <w:t>单位：</w:t>
          </w:r>
          <w:sdt>
            <w:sdtPr>
              <w:rPr>
                <w:bCs/>
              </w:rPr>
              <w:alias w:val="单位：财务报表其他收益明细"/>
              <w:tag w:val="_GBC_74ea52f952324be7ab2c4c494ff673ce"/>
              <w:id w:val="8657262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rFonts w:hint="eastAsia"/>
                  <w:bCs/>
                </w:rPr>
                <w:t>元</w:t>
              </w:r>
            </w:sdtContent>
          </w:sdt>
          <w:r>
            <w:rPr>
              <w:bCs/>
            </w:rPr>
            <w:t xml:space="preserve">  币种：</w:t>
          </w:r>
          <w:sdt>
            <w:sdtPr>
              <w:rPr>
                <w:bCs/>
              </w:rPr>
              <w:alias w:val="币种：财务报表其他收益明细"/>
              <w:tag w:val="_GBC_8360ed9b182a496c9b5d2220a414a4cb"/>
              <w:id w:val="8657262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rFonts w:hint="eastAsia"/>
                  <w:bCs/>
                </w:rPr>
                <w:t>人民币</w:t>
              </w:r>
            </w:sdtContent>
          </w:sdt>
        </w:p>
        <w:tbl>
          <w:tblPr>
            <w:tblStyle w:val="1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016"/>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7df5d6dc8fe1463b8e0d41784241e311"/>
                <w:id w:val="865726242"/>
                <w:lock w:val="sdtLocked"/>
              </w:sdtPr>
              <w:sdtEndPr>
                <w:rPr>
                  <w:rFonts w:ascii="Times New Roman" w:hAnsi="Times New Roman" w:cs="Times New Roman"/>
                </w:rPr>
              </w:sdtEndPr>
              <w:sdtContent>
                <w:tc>
                  <w:tcPr>
                    <w:tcW w:w="3016" w:type="dxa"/>
                    <w:shd w:val="clear" w:color="auto" w:fill="auto"/>
                  </w:tcPr>
                  <w:p>
                    <w:pPr>
                      <w:jc w:val="center"/>
                      <w:rPr>
                        <w:rFonts w:ascii="Times New Roman" w:hAnsi="Times New Roman" w:cs="Times New Roman"/>
                      </w:rPr>
                    </w:pPr>
                    <w:r>
                      <w:rPr>
                        <w:rFonts w:ascii="Times New Roman" w:cs="Times New Roman"/>
                      </w:rPr>
                      <w:t>项目</w:t>
                    </w:r>
                  </w:p>
                </w:tc>
              </w:sdtContent>
            </w:sdt>
            <w:sdt>
              <w:sdtPr>
                <w:rPr>
                  <w:rFonts w:ascii="Times New Roman" w:hAnsi="Times New Roman" w:cs="Times New Roman"/>
                </w:rPr>
                <w:tag w:val="_PLD_2c34d48a6a534080943d2d340c325c15"/>
                <w:id w:val="865726243"/>
                <w:lock w:val="sdtLocked"/>
              </w:sdtPr>
              <w:sdtEndPr>
                <w:rPr>
                  <w:rFonts w:ascii="Times New Roman" w:hAnsi="Times New Roman" w:cs="Times New Roman"/>
                </w:rPr>
              </w:sdtEndPr>
              <w:sdtContent>
                <w:tc>
                  <w:tcPr>
                    <w:tcW w:w="3016" w:type="dxa"/>
                    <w:shd w:val="clear" w:color="auto" w:fill="auto"/>
                  </w:tcPr>
                  <w:p>
                    <w:pPr>
                      <w:jc w:val="center"/>
                      <w:rPr>
                        <w:rFonts w:ascii="Times New Roman" w:hAnsi="Times New Roman" w:cs="Times New Roman"/>
                      </w:rPr>
                    </w:pPr>
                    <w:r>
                      <w:rPr>
                        <w:rFonts w:ascii="Times New Roman" w:cs="Times New Roman"/>
                      </w:rPr>
                      <w:t>本期发生额</w:t>
                    </w:r>
                  </w:p>
                </w:tc>
              </w:sdtContent>
            </w:sdt>
            <w:sdt>
              <w:sdtPr>
                <w:rPr>
                  <w:rFonts w:ascii="Times New Roman" w:hAnsi="Times New Roman" w:cs="Times New Roman"/>
                </w:rPr>
                <w:tag w:val="_PLD_1a2c9ed0a9704089897421e22b8696dd"/>
                <w:id w:val="865726244"/>
                <w:lock w:val="sdtLocked"/>
              </w:sdtPr>
              <w:sdtEndPr>
                <w:rPr>
                  <w:rFonts w:ascii="Times New Roman" w:hAnsi="Times New Roman" w:cs="Times New Roman"/>
                </w:rPr>
              </w:sdtEndPr>
              <w:sdtContent>
                <w:tc>
                  <w:tcPr>
                    <w:tcW w:w="3017" w:type="dxa"/>
                    <w:shd w:val="clear" w:color="auto" w:fill="auto"/>
                  </w:tcPr>
                  <w:p>
                    <w:pPr>
                      <w:jc w:val="center"/>
                      <w:rPr>
                        <w:rFonts w:ascii="Times New Roman" w:hAnsi="Times New Roman" w:cs="Times New Roman"/>
                      </w:rPr>
                    </w:pPr>
                    <w:r>
                      <w:rPr>
                        <w:rFonts w:ascii="Times New Roman" w:cs="Times New Roman"/>
                      </w:rPr>
                      <w:t>上期发生额</w:t>
                    </w:r>
                  </w:p>
                </w:tc>
              </w:sdtContent>
            </w:sdt>
          </w:tr>
          <w:sdt>
            <w:sdtPr>
              <w:rPr>
                <w:rFonts w:ascii="Times New Roman" w:hAnsi="Times New Roman" w:cs="Times New Roman"/>
              </w:rPr>
              <w:alias w:val="财务报表其他收益明细"/>
              <w:tag w:val="_TUP_0ed2ced1ccdb4c10982baeb73855c8ba"/>
              <w:id w:val="865726245"/>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递延收益转入</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397,978.42</w:t>
                    </w:r>
                  </w:p>
                </w:tc>
                <w:tc>
                  <w:tcPr>
                    <w:tcW w:w="3017" w:type="dxa"/>
                    <w:shd w:val="clear" w:color="auto" w:fill="auto"/>
                    <w:vAlign w:val="center"/>
                  </w:tcPr>
                  <w:p>
                    <w:pPr>
                      <w:jc w:val="right"/>
                      <w:rPr>
                        <w:rFonts w:ascii="Times New Roman" w:hAnsi="Times New Roman" w:cs="Times New Roman"/>
                      </w:rPr>
                    </w:pPr>
                    <w:r>
                      <w:rPr>
                        <w:rFonts w:ascii="Times New Roman" w:hAnsi="Times New Roman" w:cs="Times New Roman"/>
                      </w:rPr>
                      <w:t>395,878.38</w:t>
                    </w:r>
                  </w:p>
                </w:tc>
              </w:tr>
            </w:sdtContent>
          </w:sdt>
          <w:sdt>
            <w:sdtPr>
              <w:rPr>
                <w:rFonts w:ascii="Times New Roman" w:hAnsi="Times New Roman" w:cs="Times New Roman"/>
              </w:rPr>
              <w:alias w:val="财务报表其他收益明细"/>
              <w:tag w:val="_TUP_0ed2ced1ccdb4c10982baeb73855c8ba"/>
              <w:id w:val="865726246"/>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稳岗补贴资金</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94,588.29</w:t>
                    </w:r>
                  </w:p>
                </w:tc>
                <w:tc>
                  <w:tcPr>
                    <w:tcW w:w="3017" w:type="dxa"/>
                    <w:shd w:val="clear" w:color="auto" w:fill="auto"/>
                    <w:vAlign w:val="center"/>
                  </w:tcPr>
                  <w:p>
                    <w:pPr>
                      <w:jc w:val="right"/>
                      <w:rPr>
                        <w:rFonts w:ascii="Times New Roman" w:hAnsi="Times New Roman" w:cs="Times New Roman"/>
                      </w:rPr>
                    </w:pPr>
                    <w:r>
                      <w:rPr>
                        <w:rFonts w:ascii="Times New Roman" w:hAnsi="Times New Roman" w:cs="Times New Roman"/>
                      </w:rPr>
                      <w:t>2,915,605.14</w:t>
                    </w:r>
                  </w:p>
                </w:tc>
              </w:tr>
            </w:sdtContent>
          </w:sdt>
          <w:sdt>
            <w:sdtPr>
              <w:rPr>
                <w:rFonts w:ascii="Times New Roman" w:hAnsi="Times New Roman" w:cs="Times New Roman"/>
              </w:rPr>
              <w:alias w:val="财务报表其他收益明细"/>
              <w:tag w:val="_TUP_0ed2ced1ccdb4c10982baeb73855c8ba"/>
              <w:id w:val="865726247"/>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广告宣传及展会补助</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152,895.00</w:t>
                    </w:r>
                  </w:p>
                </w:tc>
                <w:tc>
                  <w:tcPr>
                    <w:tcW w:w="3017" w:type="dxa"/>
                    <w:shd w:val="clear" w:color="auto" w:fill="auto"/>
                    <w:vAlign w:val="center"/>
                  </w:tcPr>
                  <w:p>
                    <w:pPr>
                      <w:jc w:val="right"/>
                      <w:rPr>
                        <w:rFonts w:ascii="Times New Roman" w:hAnsi="Times New Roman" w:cs="Times New Roman"/>
                      </w:rPr>
                    </w:pPr>
                    <w:r>
                      <w:rPr>
                        <w:rFonts w:ascii="Times New Roman" w:hAnsi="Times New Roman" w:cs="Times New Roman"/>
                      </w:rPr>
                      <w:t>29,000.00</w:t>
                    </w:r>
                  </w:p>
                </w:tc>
              </w:tr>
            </w:sdtContent>
          </w:sdt>
          <w:sdt>
            <w:sdtPr>
              <w:rPr>
                <w:rFonts w:ascii="Times New Roman" w:hAnsi="Times New Roman" w:cs="Times New Roman"/>
              </w:rPr>
              <w:alias w:val="财务报表其他收益明细"/>
              <w:tag w:val="_TUP_0ed2ced1ccdb4c10982baeb73855c8ba"/>
              <w:id w:val="865726248"/>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社保缴费补助</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2,896,223.70</w:t>
                    </w:r>
                  </w:p>
                </w:tc>
                <w:tc>
                  <w:tcPr>
                    <w:tcW w:w="3017" w:type="dxa"/>
                    <w:shd w:val="clear" w:color="auto" w:fill="auto"/>
                    <w:vAlign w:val="center"/>
                  </w:tcPr>
                  <w:p>
                    <w:pPr>
                      <w:jc w:val="right"/>
                      <w:rPr>
                        <w:rFonts w:ascii="Times New Roman" w:hAnsi="Times New Roman" w:cs="Times New Roman"/>
                      </w:rPr>
                    </w:pPr>
                  </w:p>
                </w:tc>
              </w:tr>
            </w:sdtContent>
          </w:sdt>
          <w:sdt>
            <w:sdtPr>
              <w:rPr>
                <w:rFonts w:ascii="Times New Roman" w:hAnsi="Times New Roman" w:cs="Times New Roman"/>
              </w:rPr>
              <w:alias w:val="财务报表其他收益明细"/>
              <w:tag w:val="_TUP_0ed2ced1ccdb4c10982baeb73855c8ba"/>
              <w:id w:val="865726249"/>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科技技改奖</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164,910.00</w:t>
                    </w:r>
                  </w:p>
                </w:tc>
                <w:tc>
                  <w:tcPr>
                    <w:tcW w:w="3017" w:type="dxa"/>
                    <w:shd w:val="clear" w:color="auto" w:fill="auto"/>
                    <w:vAlign w:val="center"/>
                  </w:tcPr>
                  <w:p>
                    <w:pPr>
                      <w:jc w:val="right"/>
                      <w:rPr>
                        <w:rFonts w:ascii="Times New Roman" w:hAnsi="Times New Roman" w:cs="Times New Roman"/>
                      </w:rPr>
                    </w:pPr>
                  </w:p>
                </w:tc>
              </w:tr>
            </w:sdtContent>
          </w:sdt>
          <w:sdt>
            <w:sdtPr>
              <w:rPr>
                <w:rFonts w:ascii="Times New Roman" w:hAnsi="Times New Roman" w:cs="Times New Roman"/>
              </w:rPr>
              <w:alias w:val="财务报表其他收益明细"/>
              <w:tag w:val="_TUP_0ed2ced1ccdb4c10982baeb73855c8ba"/>
              <w:id w:val="865726250"/>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纳税贡献奖</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225,000.00</w:t>
                    </w:r>
                  </w:p>
                </w:tc>
                <w:tc>
                  <w:tcPr>
                    <w:tcW w:w="3017" w:type="dxa"/>
                    <w:shd w:val="clear" w:color="auto" w:fill="auto"/>
                    <w:vAlign w:val="center"/>
                  </w:tcPr>
                  <w:p>
                    <w:pPr>
                      <w:jc w:val="right"/>
                      <w:rPr>
                        <w:rFonts w:ascii="Times New Roman" w:hAnsi="Times New Roman" w:cs="Times New Roman"/>
                      </w:rPr>
                    </w:pPr>
                  </w:p>
                </w:tc>
              </w:tr>
            </w:sdtContent>
          </w:sdt>
          <w:sdt>
            <w:sdtPr>
              <w:rPr>
                <w:rFonts w:ascii="Times New Roman" w:hAnsi="Times New Roman" w:cs="Times New Roman"/>
              </w:rPr>
              <w:alias w:val="财务报表其他收益明细"/>
              <w:tag w:val="_TUP_0ed2ced1ccdb4c10982baeb73855c8ba"/>
              <w:id w:val="865726251"/>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企业创新平台奖</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100,000.00</w:t>
                    </w:r>
                  </w:p>
                </w:tc>
                <w:tc>
                  <w:tcPr>
                    <w:tcW w:w="3017" w:type="dxa"/>
                    <w:shd w:val="clear" w:color="auto" w:fill="auto"/>
                    <w:vAlign w:val="center"/>
                  </w:tcPr>
                  <w:p>
                    <w:pPr>
                      <w:jc w:val="right"/>
                      <w:rPr>
                        <w:rFonts w:ascii="Times New Roman" w:hAnsi="Times New Roman" w:cs="Times New Roman"/>
                      </w:rPr>
                    </w:pPr>
                  </w:p>
                </w:tc>
              </w:tr>
            </w:sdtContent>
          </w:sdt>
          <w:sdt>
            <w:sdtPr>
              <w:rPr>
                <w:rFonts w:ascii="Times New Roman" w:hAnsi="Times New Roman" w:cs="Times New Roman"/>
              </w:rPr>
              <w:alias w:val="财务报表其他收益明细"/>
              <w:tag w:val="_TUP_0ed2ced1ccdb4c10982baeb73855c8ba"/>
              <w:id w:val="865726252"/>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企业新型学徒制培训补助资金</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200,000.00</w:t>
                    </w:r>
                  </w:p>
                </w:tc>
                <w:tc>
                  <w:tcPr>
                    <w:tcW w:w="3017" w:type="dxa"/>
                    <w:shd w:val="clear" w:color="auto" w:fill="auto"/>
                    <w:vAlign w:val="center"/>
                  </w:tcPr>
                  <w:p>
                    <w:pPr>
                      <w:jc w:val="right"/>
                      <w:rPr>
                        <w:rFonts w:ascii="Times New Roman" w:hAnsi="Times New Roman" w:cs="Times New Roman"/>
                      </w:rPr>
                    </w:pPr>
                  </w:p>
                </w:tc>
              </w:tr>
            </w:sdtContent>
          </w:sdt>
          <w:sdt>
            <w:sdtPr>
              <w:rPr>
                <w:rFonts w:ascii="Times New Roman" w:hAnsi="Times New Roman" w:cs="Times New Roman"/>
              </w:rPr>
              <w:alias w:val="财务报表其他收益明细"/>
              <w:tag w:val="_TUP_0ed2ced1ccdb4c10982baeb73855c8ba"/>
              <w:id w:val="865726253"/>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先进制造业发展引导资金</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474,500.00</w:t>
                    </w:r>
                  </w:p>
                </w:tc>
                <w:tc>
                  <w:tcPr>
                    <w:tcW w:w="3017" w:type="dxa"/>
                    <w:shd w:val="clear" w:color="auto" w:fill="auto"/>
                    <w:vAlign w:val="center"/>
                  </w:tcPr>
                  <w:p>
                    <w:pPr>
                      <w:jc w:val="right"/>
                      <w:rPr>
                        <w:rFonts w:ascii="Times New Roman" w:hAnsi="Times New Roman" w:cs="Times New Roman"/>
                      </w:rPr>
                    </w:pPr>
                  </w:p>
                </w:tc>
              </w:tr>
            </w:sdtContent>
          </w:sdt>
          <w:sdt>
            <w:sdtPr>
              <w:rPr>
                <w:rFonts w:ascii="Times New Roman" w:hAnsi="Times New Roman" w:cs="Times New Roman"/>
              </w:rPr>
              <w:alias w:val="财务报表其他收益明细"/>
              <w:tag w:val="_TUP_0ed2ced1ccdb4c10982baeb73855c8ba"/>
              <w:id w:val="865726254"/>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新增上规企业奖励资金</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200,000.00</w:t>
                    </w:r>
                  </w:p>
                </w:tc>
                <w:tc>
                  <w:tcPr>
                    <w:tcW w:w="3017" w:type="dxa"/>
                    <w:shd w:val="clear" w:color="auto" w:fill="auto"/>
                    <w:vAlign w:val="center"/>
                  </w:tcPr>
                  <w:p>
                    <w:pPr>
                      <w:jc w:val="right"/>
                      <w:rPr>
                        <w:rFonts w:ascii="Times New Roman" w:hAnsi="Times New Roman" w:cs="Times New Roman"/>
                      </w:rPr>
                    </w:pPr>
                  </w:p>
                </w:tc>
              </w:tr>
            </w:sdtContent>
          </w:sdt>
          <w:sdt>
            <w:sdtPr>
              <w:rPr>
                <w:rFonts w:ascii="Times New Roman" w:hAnsi="Times New Roman" w:cs="Times New Roman"/>
              </w:rPr>
              <w:alias w:val="财务报表其他收益明细"/>
              <w:tag w:val="_TUP_0ed2ced1ccdb4c10982baeb73855c8ba"/>
              <w:id w:val="865726255"/>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以工代训补贴</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355,500.00</w:t>
                    </w:r>
                  </w:p>
                </w:tc>
                <w:tc>
                  <w:tcPr>
                    <w:tcW w:w="3017" w:type="dxa"/>
                    <w:shd w:val="clear" w:color="auto" w:fill="auto"/>
                    <w:vAlign w:val="center"/>
                  </w:tcPr>
                  <w:p>
                    <w:pPr>
                      <w:jc w:val="right"/>
                      <w:rPr>
                        <w:rFonts w:ascii="Times New Roman" w:hAnsi="Times New Roman" w:cs="Times New Roman"/>
                      </w:rPr>
                    </w:pPr>
                  </w:p>
                </w:tc>
              </w:tr>
            </w:sdtContent>
          </w:sdt>
          <w:sdt>
            <w:sdtPr>
              <w:rPr>
                <w:rFonts w:ascii="Times New Roman" w:hAnsi="Times New Roman" w:cs="Times New Roman"/>
              </w:rPr>
              <w:alias w:val="财务报表其他收益明细"/>
              <w:tag w:val="_TUP_0ed2ced1ccdb4c10982baeb73855c8ba"/>
              <w:id w:val="865726256"/>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其他</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370,072.94</w:t>
                    </w:r>
                  </w:p>
                </w:tc>
                <w:tc>
                  <w:tcPr>
                    <w:tcW w:w="3017" w:type="dxa"/>
                    <w:shd w:val="clear" w:color="auto" w:fill="auto"/>
                    <w:vAlign w:val="center"/>
                  </w:tcPr>
                  <w:p>
                    <w:pPr>
                      <w:jc w:val="right"/>
                      <w:rPr>
                        <w:rFonts w:ascii="Times New Roman" w:hAnsi="Times New Roman" w:cs="Times New Roman"/>
                      </w:rPr>
                    </w:pPr>
                    <w:r>
                      <w:rPr>
                        <w:rFonts w:ascii="Times New Roman" w:hAnsi="Times New Roman" w:cs="Times New Roman"/>
                      </w:rPr>
                      <w:t>170,546.49</w:t>
                    </w:r>
                  </w:p>
                </w:tc>
              </w:tr>
            </w:sdtContent>
          </w:sdt>
          <w:sdt>
            <w:sdtPr>
              <w:rPr>
                <w:rFonts w:ascii="Times New Roman" w:hAnsi="Times New Roman" w:cs="Times New Roman"/>
              </w:rPr>
              <w:alias w:val="财务报表其他收益明细"/>
              <w:tag w:val="_TUP_0ed2ced1ccdb4c10982baeb73855c8ba"/>
              <w:id w:val="865726257"/>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p>
                </w:tc>
                <w:tc>
                  <w:tcPr>
                    <w:tcW w:w="3016" w:type="dxa"/>
                    <w:shd w:val="clear" w:color="auto" w:fill="auto"/>
                    <w:vAlign w:val="center"/>
                  </w:tcPr>
                  <w:p>
                    <w:pPr>
                      <w:jc w:val="right"/>
                      <w:rPr>
                        <w:rFonts w:ascii="Times New Roman" w:hAnsi="Times New Roman" w:cs="Times New Roman"/>
                      </w:rPr>
                    </w:pPr>
                  </w:p>
                </w:tc>
                <w:tc>
                  <w:tcPr>
                    <w:tcW w:w="3017" w:type="dxa"/>
                    <w:shd w:val="clear" w:color="auto" w:fill="auto"/>
                    <w:vAlign w:val="center"/>
                  </w:tcPr>
                  <w:p>
                    <w:pPr>
                      <w:jc w:val="right"/>
                      <w:rPr>
                        <w:rFonts w:ascii="Times New Roman" w:hAnsi="Times New Roman" w:cs="Times New Roman"/>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3061f381a4f4b81848cbe7eb2e8df05"/>
                <w:id w:val="865726258"/>
                <w:lock w:val="sdtLocked"/>
              </w:sdtPr>
              <w:sdtEndPr>
                <w:rPr>
                  <w:rFonts w:ascii="Times New Roman" w:hAnsi="Times New Roman" w:cs="Times New Roman"/>
                </w:rPr>
              </w:sdtEndPr>
              <w:sdtContent>
                <w:tc>
                  <w:tcPr>
                    <w:tcW w:w="3016" w:type="dxa"/>
                    <w:shd w:val="clear" w:color="auto" w:fill="auto"/>
                  </w:tcPr>
                  <w:p>
                    <w:pPr>
                      <w:jc w:val="center"/>
                      <w:rPr>
                        <w:rFonts w:ascii="Times New Roman" w:hAnsi="Times New Roman" w:cs="Times New Roman"/>
                      </w:rPr>
                    </w:pPr>
                    <w:r>
                      <w:rPr>
                        <w:rFonts w:ascii="Times New Roman" w:cs="Times New Roman"/>
                      </w:rPr>
                      <w:t>合计</w:t>
                    </w:r>
                  </w:p>
                </w:tc>
              </w:sdtContent>
            </w:sdt>
            <w:tc>
              <w:tcPr>
                <w:tcW w:w="3016" w:type="dxa"/>
                <w:shd w:val="clear" w:color="auto" w:fill="auto"/>
                <w:vAlign w:val="center"/>
              </w:tcPr>
              <w:p>
                <w:pPr>
                  <w:jc w:val="right"/>
                  <w:rPr>
                    <w:rFonts w:ascii="Times New Roman" w:hAnsi="Times New Roman" w:cs="Times New Roman"/>
                    <w:sz w:val="24"/>
                  </w:rPr>
                </w:pPr>
                <w:r>
                  <w:rPr>
                    <w:rFonts w:ascii="Times New Roman" w:hAnsi="Times New Roman" w:cs="Times New Roman"/>
                  </w:rPr>
                  <w:t>5,631,668.35</w:t>
                </w:r>
              </w:p>
            </w:tc>
            <w:tc>
              <w:tcPr>
                <w:tcW w:w="3017" w:type="dxa"/>
                <w:shd w:val="clear" w:color="auto" w:fill="auto"/>
                <w:vAlign w:val="center"/>
              </w:tcPr>
              <w:p>
                <w:pPr>
                  <w:jc w:val="right"/>
                  <w:rPr>
                    <w:rFonts w:ascii="Times New Roman" w:hAnsi="Times New Roman" w:cs="Times New Roman"/>
                    <w:sz w:val="24"/>
                  </w:rPr>
                </w:pPr>
                <w:r>
                  <w:rPr>
                    <w:rFonts w:ascii="Times New Roman" w:hAnsi="Times New Roman" w:cs="Times New Roman"/>
                  </w:rPr>
                  <w:t>3,511,030.01</w:t>
                </w:r>
              </w:p>
            </w:tc>
          </w:tr>
        </w:tbl>
        <w:p/>
        <w:p/>
      </w:sdtContent>
    </w:sdt>
    <w:p/>
    <w:sdt>
      <w:sdtPr>
        <w:rPr>
          <w:rFonts w:ascii="宋体" w:hAnsi="宋体" w:cs="宋体"/>
          <w:b w:val="0"/>
          <w:bCs w:val="0"/>
          <w:kern w:val="0"/>
          <w:szCs w:val="21"/>
        </w:rPr>
        <w:alias w:val="模块:"/>
        <w:tag w:val="_SEC_153dc505def641b68896504f5596ef5b"/>
        <w:id w:val="865726282"/>
        <w:lock w:val="sdtLocked"/>
        <w:placeholder>
          <w:docPart w:val="GBC22222222222222222222222222222"/>
        </w:placeholder>
      </w:sdtPr>
      <w:sdtEndPr>
        <w:rPr>
          <w:rFonts w:ascii="Calibri" w:hAnsi="Calibri" w:cs="Times New Roman"/>
          <w:b/>
          <w:bCs/>
          <w:kern w:val="2"/>
          <w:szCs w:val="21"/>
        </w:rPr>
      </w:sdtEndPr>
      <w:sdtContent>
        <w:p>
          <w:pPr>
            <w:pStyle w:val="4"/>
            <w:numPr>
              <w:ilvl w:val="0"/>
              <w:numId w:val="79"/>
            </w:numPr>
            <w:tabs>
              <w:tab w:val="left" w:pos="504"/>
            </w:tabs>
            <w:rPr>
              <w:rFonts w:ascii="宋体" w:hAnsi="宋体"/>
              <w:szCs w:val="21"/>
            </w:rPr>
          </w:pPr>
          <w:bookmarkStart w:id="220" w:name="_Hlk11857276"/>
          <w:bookmarkEnd w:id="220"/>
          <w:bookmarkStart w:id="221" w:name="_Hlk24027658"/>
          <w:r>
            <w:rPr>
              <w:rFonts w:hint="eastAsia" w:ascii="宋体" w:hAnsi="宋体"/>
              <w:szCs w:val="21"/>
            </w:rPr>
            <w:t>投资收益</w:t>
          </w:r>
        </w:p>
        <w:sdt>
          <w:sdtPr>
            <w:alias w:val="是否适用：投资收益[双击切换]"/>
            <w:tag w:val="_GBC_f581223c46c2426aa46b9e88b6b47f4f"/>
            <w:id w:val="865726261"/>
            <w:lock w:val="sdtLocked"/>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bookmarkStart w:id="222"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86572626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8657262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269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98e1ec79cfc4df397c6fa0a751f3489"/>
                <w:id w:val="865726264"/>
                <w:lock w:val="sdtLocked"/>
              </w:sdtPr>
              <w:sdtEndPr>
                <w:rPr>
                  <w:rFonts w:ascii="Times New Roman" w:hAnsi="Times New Roman" w:cs="Times New Roman"/>
                </w:rPr>
              </w:sdtEndPr>
              <w:sdtContent>
                <w:tc>
                  <w:tcPr>
                    <w:tcW w:w="2018" w:type="pct"/>
                    <w:vAlign w:val="center"/>
                  </w:tcPr>
                  <w:p>
                    <w:pPr>
                      <w:ind w:left="420" w:hanging="42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239208f1271348119306f77c15ab0ec0"/>
                <w:id w:val="865726265"/>
                <w:lock w:val="sdtLocked"/>
              </w:sdtPr>
              <w:sdtEndPr>
                <w:rPr>
                  <w:rFonts w:ascii="Times New Roman" w:hAnsi="Times New Roman" w:cs="Times New Roman"/>
                </w:rPr>
              </w:sdtEndPr>
              <w:sdtContent>
                <w:tc>
                  <w:tcPr>
                    <w:tcW w:w="1488" w:type="pct"/>
                    <w:vAlign w:val="center"/>
                  </w:tcPr>
                  <w:p>
                    <w:pPr>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c548c34a5b7b4e3eb5536d1408d6cc7b"/>
                <w:id w:val="865726266"/>
                <w:lock w:val="sdtLocked"/>
              </w:sdtPr>
              <w:sdtEndPr>
                <w:rPr>
                  <w:rFonts w:ascii="Times New Roman" w:hAnsi="Times New Roman" w:cs="Times New Roman"/>
                </w:rPr>
              </w:sdtEndPr>
              <w:sdtContent>
                <w:tc>
                  <w:tcPr>
                    <w:tcW w:w="1494" w:type="pct"/>
                    <w:vAlign w:val="center"/>
                  </w:tcPr>
                  <w:p>
                    <w:pPr>
                      <w:jc w:val="center"/>
                      <w:rPr>
                        <w:rFonts w:ascii="Times New Roman" w:hAnsi="Times New Roman" w:cs="Times New Roman"/>
                        <w:szCs w:val="21"/>
                      </w:rPr>
                    </w:pPr>
                    <w:r>
                      <w:rPr>
                        <w:rFonts w:ascii="Times New Roman" w:cs="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5e207f6cced48018cb57ab3b134bc4b"/>
                <w:id w:val="865726267"/>
                <w:lock w:val="sdtLocked"/>
              </w:sdtPr>
              <w:sdtEndPr>
                <w:rPr>
                  <w:rFonts w:ascii="Times New Roman" w:hAnsi="Times New Roman" w:cs="Times New Roman"/>
                </w:rPr>
              </w:sdtEndPr>
              <w:sdtContent>
                <w:tc>
                  <w:tcPr>
                    <w:tcW w:w="2018" w:type="pct"/>
                  </w:tcPr>
                  <w:p>
                    <w:pPr>
                      <w:rPr>
                        <w:rFonts w:ascii="Times New Roman" w:hAnsi="Times New Roman" w:cs="Times New Roman"/>
                        <w:szCs w:val="21"/>
                      </w:rPr>
                    </w:pPr>
                    <w:r>
                      <w:rPr>
                        <w:rFonts w:ascii="Times New Roman" w:cs="Times New Roman"/>
                        <w:szCs w:val="21"/>
                      </w:rPr>
                      <w:t>权益法核算的长期股权投资收益</w:t>
                    </w:r>
                  </w:p>
                </w:tc>
              </w:sdtContent>
            </w:sdt>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1926907cd994756b13d806f0156d433"/>
                <w:id w:val="865726268"/>
                <w:lock w:val="sdtLocked"/>
              </w:sdtPr>
              <w:sdtEndPr>
                <w:rPr>
                  <w:rFonts w:ascii="Times New Roman" w:hAnsi="Times New Roman" w:cs="Times New Roman"/>
                </w:rPr>
              </w:sdtEndPr>
              <w:sdtContent>
                <w:tc>
                  <w:tcPr>
                    <w:tcW w:w="2018" w:type="pct"/>
                  </w:tcPr>
                  <w:p>
                    <w:pPr>
                      <w:rPr>
                        <w:rFonts w:ascii="Times New Roman" w:hAnsi="Times New Roman" w:cs="Times New Roman"/>
                        <w:szCs w:val="21"/>
                      </w:rPr>
                    </w:pPr>
                    <w:r>
                      <w:rPr>
                        <w:rFonts w:ascii="Times New Roman" w:cs="Times New Roman"/>
                        <w:szCs w:val="21"/>
                      </w:rPr>
                      <w:t>处置长期股权投资产生的投资收益</w:t>
                    </w:r>
                  </w:p>
                </w:tc>
              </w:sdtContent>
            </w:sdt>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4b8ae2ace4b543c199716a420a775768"/>
                  <w:id w:val="865726269"/>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交易性金融资产在持有期间的投资收益</w:t>
                    </w:r>
                  </w:p>
                </w:sdtContent>
              </w:sdt>
            </w:tc>
            <w:tc>
              <w:tcPr>
                <w:tcW w:w="1488" w:type="pct"/>
                <w:vAlign w:val="center"/>
              </w:tcPr>
              <w:p>
                <w:pPr>
                  <w:jc w:val="right"/>
                  <w:rPr>
                    <w:rFonts w:ascii="Times New Roman" w:hAnsi="Times New Roman" w:cs="Times New Roman"/>
                    <w:szCs w:val="21"/>
                  </w:rPr>
                </w:pPr>
                <w:r>
                  <w:rPr>
                    <w:rFonts w:ascii="Times New Roman" w:hAnsi="Times New Roman" w:cs="Times New Roman"/>
                  </w:rPr>
                  <w:t>3,583,302.99</w:t>
                </w:r>
              </w:p>
            </w:tc>
            <w:tc>
              <w:tcPr>
                <w:tcW w:w="1494" w:type="pct"/>
                <w:vAlign w:val="center"/>
              </w:tcPr>
              <w:p>
                <w:pPr>
                  <w:jc w:val="right"/>
                  <w:rPr>
                    <w:rFonts w:ascii="Times New Roman" w:hAnsi="Times New Roman" w:cs="Times New Roman"/>
                    <w:szCs w:val="21"/>
                  </w:rPr>
                </w:pPr>
                <w:r>
                  <w:rPr>
                    <w:rFonts w:ascii="Times New Roman" w:hAnsi="Times New Roman" w:cs="Times New Roman"/>
                  </w:rPr>
                  <w:t>4,404,519.99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7c58c52facb64de086eed2650b83b40f"/>
                  <w:id w:val="865726270"/>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其他权益工具投资在持有期间取得的股利收入</w:t>
                    </w:r>
                  </w:p>
                </w:sdtContent>
              </w:sdt>
            </w:tc>
            <w:tc>
              <w:tcPr>
                <w:tcW w:w="1488" w:type="pct"/>
                <w:vAlign w:val="center"/>
              </w:tcPr>
              <w:p>
                <w:pPr>
                  <w:jc w:val="right"/>
                  <w:rPr>
                    <w:rFonts w:ascii="Times New Roman" w:hAnsi="Times New Roman" w:cs="Times New Roman"/>
                    <w:szCs w:val="21"/>
                  </w:rPr>
                </w:pPr>
                <w:r>
                  <w:rPr>
                    <w:rFonts w:ascii="Times New Roman" w:hAnsi="Times New Roman" w:cs="Times New Roman"/>
                  </w:rPr>
                  <w:t>15,060,000.00</w:t>
                </w:r>
              </w:p>
            </w:tc>
            <w:tc>
              <w:tcPr>
                <w:tcW w:w="1494" w:type="pct"/>
                <w:vAlign w:val="center"/>
              </w:tcPr>
              <w:p>
                <w:pPr>
                  <w:jc w:val="right"/>
                  <w:rPr>
                    <w:rFonts w:ascii="Times New Roman" w:hAnsi="Times New Roman" w:cs="Times New Roman"/>
                    <w:szCs w:val="21"/>
                  </w:rPr>
                </w:pPr>
                <w:r>
                  <w:rPr>
                    <w:rFonts w:ascii="Times New Roman" w:hAnsi="Times New Roman" w:cs="Times New Roman"/>
                  </w:rPr>
                  <w:t>14,538,560.00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b4a5a5542dbf4c9ba7531d227285e539"/>
                  <w:id w:val="865726271"/>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债权投资在持有期间取得的利息收入</w:t>
                    </w:r>
                  </w:p>
                </w:sdtContent>
              </w:sdt>
            </w:tc>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ce0eb61b794a44c49f53088cf81803e7"/>
                  <w:id w:val="865726272"/>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其他债权投资在持有期间取得的利息收入</w:t>
                    </w:r>
                  </w:p>
                </w:sdtContent>
              </w:sdt>
            </w:tc>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34a3eb08d3fd4e668dbcd428a07d1e01"/>
                  <w:id w:val="865726273"/>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处置交易性金融资产取得的投资收益</w:t>
                    </w:r>
                  </w:p>
                </w:sdtContent>
              </w:sdt>
            </w:tc>
            <w:tc>
              <w:tcPr>
                <w:tcW w:w="1488" w:type="pct"/>
                <w:vAlign w:val="center"/>
              </w:tcPr>
              <w:p>
                <w:pPr>
                  <w:jc w:val="right"/>
                  <w:rPr>
                    <w:rFonts w:ascii="Times New Roman" w:hAnsi="Times New Roman" w:cs="Times New Roman"/>
                    <w:szCs w:val="21"/>
                  </w:rPr>
                </w:pPr>
                <w:r>
                  <w:rPr>
                    <w:rFonts w:ascii="Times New Roman" w:hAnsi="Times New Roman" w:cs="Times New Roman"/>
                  </w:rPr>
                  <w:t>1,538,987.37</w:t>
                </w:r>
              </w:p>
            </w:tc>
            <w:tc>
              <w:tcPr>
                <w:tcW w:w="1494" w:type="pct"/>
                <w:vAlign w:val="center"/>
              </w:tcPr>
              <w:p>
                <w:pPr>
                  <w:jc w:val="right"/>
                  <w:rPr>
                    <w:rFonts w:ascii="Times New Roman" w:hAnsi="Times New Roman" w:cs="Times New Roman"/>
                    <w:szCs w:val="21"/>
                  </w:rPr>
                </w:pPr>
                <w:r>
                  <w:rPr>
                    <w:rFonts w:ascii="Times New Roman" w:hAnsi="Times New Roman" w:cs="Times New Roman"/>
                  </w:rPr>
                  <w:t>1,044,115.15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879db1048fca46dea448b557a9f0dc0e"/>
                  <w:id w:val="865726274"/>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处置其他权益工具投资取得的投资收益</w:t>
                    </w:r>
                  </w:p>
                </w:sdtContent>
              </w:sdt>
            </w:tc>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016372af60e14d1393b77dbe654f3a56"/>
                  <w:id w:val="865726275"/>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处置债权投资取得的投资收益</w:t>
                    </w:r>
                  </w:p>
                </w:sdtContent>
              </w:sdt>
            </w:tc>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827e07bc846b46778c4ccb93138b543f"/>
                  <w:id w:val="865726276"/>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处置其他债权投资取得的投资收益</w:t>
                    </w:r>
                  </w:p>
                </w:sdtContent>
              </w:sdt>
            </w:tc>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9ca2411f6e544bea9550159eeaa3f9f7"/>
                  <w:id w:val="865726277"/>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债务重组收益</w:t>
                    </w:r>
                  </w:p>
                </w:sdtContent>
              </w:sdt>
            </w:tc>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sdt>
            <w:sdtPr>
              <w:rPr>
                <w:rFonts w:ascii="Times New Roman" w:hAnsi="Times New Roman" w:cs="Times New Roman"/>
              </w:rPr>
              <w:alias w:val="其他投资收益"/>
              <w:tag w:val="_TUP_d2e8b365f69f4959881d75822cf5ad29"/>
              <w:id w:val="86572627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Times New Roman" w:hAnsi="Times New Roman" w:cs="Times New Roman"/>
                      </w:rPr>
                    </w:pPr>
                  </w:p>
                </w:tc>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sdtContent>
          </w:sdt>
          <w:sdt>
            <w:sdtPr>
              <w:rPr>
                <w:rFonts w:ascii="Times New Roman" w:hAnsi="Times New Roman" w:cs="Times New Roman"/>
              </w:rPr>
              <w:alias w:val="其他投资收益"/>
              <w:tag w:val="_TUP_d2e8b365f69f4959881d75822cf5ad29"/>
              <w:id w:val="86572627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Times New Roman" w:hAnsi="Times New Roman" w:cs="Times New Roman"/>
                      </w:rPr>
                    </w:pPr>
                  </w:p>
                </w:tc>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60c4d59085e54017b3965846c39e4742"/>
                <w:id w:val="865726280"/>
                <w:lock w:val="sdtLocked"/>
              </w:sdtPr>
              <w:sdtEndPr>
                <w:rPr>
                  <w:rFonts w:ascii="Times New Roman" w:hAnsi="Times New Roman" w:cs="Times New Roman"/>
                </w:rPr>
              </w:sdtEndPr>
              <w:sdtContent>
                <w:tc>
                  <w:tcPr>
                    <w:tcW w:w="2018" w:type="pct"/>
                    <w:vAlign w:val="center"/>
                  </w:tcPr>
                  <w:p>
                    <w:pPr>
                      <w:jc w:val="center"/>
                      <w:rPr>
                        <w:rFonts w:ascii="Times New Roman" w:hAnsi="Times New Roman" w:cs="Times New Roman"/>
                        <w:szCs w:val="21"/>
                      </w:rPr>
                    </w:pPr>
                    <w:r>
                      <w:rPr>
                        <w:rFonts w:ascii="Times New Roman" w:cs="Times New Roman"/>
                        <w:szCs w:val="21"/>
                      </w:rPr>
                      <w:t>合计</w:t>
                    </w:r>
                  </w:p>
                </w:tc>
              </w:sdtContent>
            </w:sdt>
            <w:tc>
              <w:tcPr>
                <w:tcW w:w="1488" w:type="pct"/>
                <w:vAlign w:val="center"/>
              </w:tcPr>
              <w:p>
                <w:pPr>
                  <w:jc w:val="right"/>
                  <w:rPr>
                    <w:rFonts w:ascii="Times New Roman" w:hAnsi="Times New Roman" w:cs="Times New Roman"/>
                    <w:szCs w:val="21"/>
                  </w:rPr>
                </w:pPr>
                <w:r>
                  <w:rPr>
                    <w:rFonts w:ascii="Times New Roman" w:hAnsi="Times New Roman" w:cs="Times New Roman"/>
                    <w:szCs w:val="21"/>
                  </w:rPr>
                  <w:t>20,182,290.36</w:t>
                </w:r>
              </w:p>
            </w:tc>
            <w:tc>
              <w:tcPr>
                <w:tcW w:w="1494" w:type="pct"/>
                <w:vAlign w:val="center"/>
              </w:tcPr>
              <w:p>
                <w:pPr>
                  <w:jc w:val="right"/>
                  <w:rPr>
                    <w:rFonts w:ascii="Times New Roman" w:hAnsi="Times New Roman" w:cs="Times New Roman"/>
                    <w:szCs w:val="21"/>
                  </w:rPr>
                </w:pPr>
                <w:r>
                  <w:rPr>
                    <w:rFonts w:ascii="Times New Roman" w:hAnsi="Times New Roman" w:cs="Times New Roman"/>
                    <w:szCs w:val="21"/>
                  </w:rPr>
                  <w:t>19,987,195.14</w:t>
                </w:r>
              </w:p>
            </w:tc>
          </w:tr>
          <w:bookmarkEnd w:id="222"/>
        </w:tbl>
        <w:p>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865726281"/>
            <w:lock w:val="sdtLocked"/>
          </w:sdtPr>
          <w:sdtEndPr>
            <w:rPr>
              <w:rFonts w:hint="eastAsia"/>
              <w:szCs w:val="21"/>
            </w:rPr>
          </w:sdtEndPr>
          <w:sdtContent>
            <w:p>
              <w:r>
                <w:t>交易性金融资产持有期间的投资收益</w:t>
              </w:r>
            </w:p>
            <w:tbl>
              <w:tblPr>
                <w:tblStyle w:val="107"/>
                <w:tblW w:w="852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545"/>
                <w:gridCol w:w="298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3251" w:type="pct"/>
                    <w:shd w:val="clear" w:color="auto" w:fill="auto"/>
                    <w:vAlign w:val="center"/>
                  </w:tcPr>
                  <w:p>
                    <w:pPr>
                      <w:rPr>
                        <w:rFonts w:ascii="Times New Roman" w:hAnsi="Times New Roman" w:cs="Times New Roman"/>
                      </w:rPr>
                    </w:pPr>
                    <w:r>
                      <w:rPr>
                        <w:rFonts w:ascii="Times New Roman" w:cs="Times New Roman"/>
                      </w:rPr>
                      <w:t>项目</w:t>
                    </w:r>
                  </w:p>
                </w:tc>
                <w:tc>
                  <w:tcPr>
                    <w:tcW w:w="1749" w:type="pct"/>
                    <w:shd w:val="clear" w:color="auto" w:fill="auto"/>
                    <w:vAlign w:val="center"/>
                  </w:tcPr>
                  <w:p>
                    <w:pPr>
                      <w:rPr>
                        <w:rFonts w:ascii="Times New Roman" w:hAnsi="Times New Roman" w:cs="Times New Roman"/>
                      </w:rPr>
                    </w:pPr>
                    <w:r>
                      <w:rPr>
                        <w:rFonts w:ascii="Times New Roman" w:cs="Times New Roman"/>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rPr>
                        <w:rFonts w:ascii="Times New Roman" w:hAnsi="Times New Roman" w:cs="Times New Roman"/>
                      </w:rPr>
                    </w:pPr>
                    <w:r>
                      <w:rPr>
                        <w:rFonts w:ascii="Times New Roman" w:cs="Times New Roman"/>
                      </w:rPr>
                      <w:t>交通银行</w:t>
                    </w:r>
                    <w:r>
                      <w:rPr>
                        <w:rFonts w:ascii="Times New Roman" w:hAnsi="Times New Roman" w:cs="Times New Roman"/>
                      </w:rPr>
                      <w:t>A</w:t>
                    </w:r>
                    <w:r>
                      <w:rPr>
                        <w:rFonts w:ascii="Times New Roman" w:cs="Times New Roman"/>
                      </w:rPr>
                      <w:t>股红利</w:t>
                    </w:r>
                  </w:p>
                </w:tc>
                <w:tc>
                  <w:tcPr>
                    <w:tcW w:w="1749" w:type="pct"/>
                    <w:shd w:val="clear" w:color="auto" w:fill="auto"/>
                    <w:vAlign w:val="center"/>
                  </w:tcPr>
                  <w:p>
                    <w:pPr>
                      <w:jc w:val="right"/>
                      <w:rPr>
                        <w:rFonts w:ascii="Times New Roman" w:hAnsi="Times New Roman" w:cs="Times New Roman"/>
                      </w:rPr>
                    </w:pPr>
                    <w:r>
                      <w:rPr>
                        <w:rFonts w:ascii="Times New Roman" w:hAnsi="Times New Roman" w:cs="Times New Roman"/>
                      </w:rPr>
                      <w:t>16,341.67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rPr>
                        <w:rFonts w:ascii="Times New Roman" w:hAnsi="Times New Roman" w:cs="Times New Roman"/>
                      </w:rPr>
                    </w:pPr>
                    <w:r>
                      <w:rPr>
                        <w:rFonts w:ascii="Times New Roman" w:cs="Times New Roman"/>
                      </w:rPr>
                      <w:t>中信证券</w:t>
                    </w:r>
                    <w:r>
                      <w:rPr>
                        <w:rFonts w:ascii="Times New Roman" w:hAnsi="Times New Roman" w:cs="Times New Roman"/>
                      </w:rPr>
                      <w:t>A</w:t>
                    </w:r>
                    <w:r>
                      <w:rPr>
                        <w:rFonts w:ascii="Times New Roman" w:cs="Times New Roman"/>
                      </w:rPr>
                      <w:t>股红利</w:t>
                    </w:r>
                  </w:p>
                </w:tc>
                <w:tc>
                  <w:tcPr>
                    <w:tcW w:w="1749" w:type="pct"/>
                    <w:shd w:val="clear" w:color="auto" w:fill="auto"/>
                    <w:vAlign w:val="center"/>
                  </w:tcPr>
                  <w:p>
                    <w:pPr>
                      <w:jc w:val="right"/>
                      <w:rPr>
                        <w:rFonts w:ascii="Times New Roman" w:hAnsi="Times New Roman" w:cs="Times New Roman"/>
                      </w:rPr>
                    </w:pPr>
                    <w:r>
                      <w:rPr>
                        <w:rFonts w:ascii="Times New Roman" w:hAnsi="Times New Roman" w:cs="Times New Roman"/>
                      </w:rPr>
                      <w:t>3,463,920.00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rPr>
                        <w:rFonts w:ascii="Times New Roman" w:hAnsi="Times New Roman" w:cs="Times New Roman"/>
                      </w:rPr>
                    </w:pPr>
                    <w:r>
                      <w:rPr>
                        <w:rFonts w:ascii="Times New Roman" w:cs="Times New Roman"/>
                      </w:rPr>
                      <w:t>基金收益</w:t>
                    </w:r>
                  </w:p>
                </w:tc>
                <w:tc>
                  <w:tcPr>
                    <w:tcW w:w="1749" w:type="pct"/>
                    <w:shd w:val="clear" w:color="auto" w:fill="auto"/>
                    <w:vAlign w:val="center"/>
                  </w:tcPr>
                  <w:p>
                    <w:pPr>
                      <w:jc w:val="right"/>
                      <w:rPr>
                        <w:rFonts w:ascii="Times New Roman" w:hAnsi="Times New Roman" w:cs="Times New Roman"/>
                      </w:rPr>
                    </w:pPr>
                    <w:r>
                      <w:rPr>
                        <w:rFonts w:ascii="Times New Roman" w:hAnsi="Times New Roman" w:cs="Times New Roman"/>
                      </w:rPr>
                      <w:t>103,041.32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rPr>
                        <w:rFonts w:ascii="Times New Roman" w:hAnsi="Times New Roman" w:cs="Times New Roman"/>
                      </w:rPr>
                    </w:pPr>
                    <w:r>
                      <w:rPr>
                        <w:rFonts w:ascii="Times New Roman" w:cs="Times New Roman"/>
                      </w:rPr>
                      <w:t>合计</w:t>
                    </w:r>
                  </w:p>
                </w:tc>
                <w:tc>
                  <w:tcPr>
                    <w:tcW w:w="1749" w:type="pct"/>
                    <w:shd w:val="clear" w:color="auto" w:fill="auto"/>
                    <w:vAlign w:val="center"/>
                  </w:tcPr>
                  <w:p>
                    <w:pPr>
                      <w:jc w:val="right"/>
                      <w:rPr>
                        <w:rFonts w:ascii="Times New Roman" w:hAnsi="Times New Roman" w:cs="Times New Roman"/>
                      </w:rPr>
                    </w:pPr>
                    <w:r>
                      <w:rPr>
                        <w:rFonts w:ascii="Times New Roman" w:hAnsi="Times New Roman" w:cs="Times New Roman"/>
                      </w:rPr>
                      <w:t>3,583,302.99</w:t>
                    </w:r>
                  </w:p>
                </w:tc>
              </w:tr>
            </w:tbl>
            <w:p>
              <w:r>
                <w:t>处置交易性金融资产取得的投资收益</w:t>
              </w:r>
            </w:p>
            <w:tbl>
              <w:tblPr>
                <w:tblStyle w:val="107"/>
                <w:tblW w:w="5000"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638"/>
                <w:gridCol w:w="341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3115" w:type="pct"/>
                    <w:shd w:val="clear" w:color="auto" w:fill="auto"/>
                    <w:vAlign w:val="center"/>
                  </w:tcPr>
                  <w:p>
                    <w:r>
                      <w:t>项目</w:t>
                    </w:r>
                  </w:p>
                </w:tc>
                <w:tc>
                  <w:tcPr>
                    <w:tcW w:w="1885" w:type="pct"/>
                    <w:shd w:val="clear" w:color="auto" w:fill="auto"/>
                    <w:vAlign w:val="center"/>
                  </w:tcPr>
                  <w:p>
                    <w: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center"/>
                  </w:tcPr>
                  <w:p>
                    <w:pPr>
                      <w:rPr>
                        <w:rFonts w:ascii="Times New Roman" w:hAnsi="Times New Roman" w:cs="Times New Roman"/>
                      </w:rPr>
                    </w:pPr>
                    <w:r>
                      <w:rPr>
                        <w:rFonts w:ascii="Times New Roman" w:cs="Times New Roman"/>
                      </w:rPr>
                      <w:t>理财收益</w:t>
                    </w:r>
                  </w:p>
                </w:tc>
                <w:tc>
                  <w:tcPr>
                    <w:tcW w:w="1885" w:type="pct"/>
                    <w:shd w:val="clear" w:color="auto" w:fill="auto"/>
                    <w:vAlign w:val="center"/>
                  </w:tcPr>
                  <w:p>
                    <w:pPr>
                      <w:jc w:val="right"/>
                      <w:rPr>
                        <w:rFonts w:ascii="Times New Roman" w:hAnsi="Times New Roman" w:cs="Times New Roman"/>
                      </w:rPr>
                    </w:pPr>
                    <w:r>
                      <w:rPr>
                        <w:rFonts w:ascii="Times New Roman" w:hAnsi="Times New Roman" w:cs="Times New Roman"/>
                      </w:rPr>
                      <w:t>1,538,987.37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center"/>
                  </w:tcPr>
                  <w:p>
                    <w:pPr>
                      <w:rPr>
                        <w:rFonts w:ascii="Times New Roman" w:hAnsi="Times New Roman" w:cs="Times New Roman"/>
                      </w:rPr>
                    </w:pPr>
                    <w:r>
                      <w:rPr>
                        <w:rFonts w:ascii="Times New Roman" w:cs="Times New Roman"/>
                      </w:rPr>
                      <w:t>合计</w:t>
                    </w:r>
                  </w:p>
                </w:tc>
                <w:tc>
                  <w:tcPr>
                    <w:tcW w:w="1885" w:type="pct"/>
                    <w:shd w:val="clear" w:color="auto" w:fill="auto"/>
                    <w:vAlign w:val="center"/>
                  </w:tcPr>
                  <w:p>
                    <w:pPr>
                      <w:jc w:val="right"/>
                      <w:rPr>
                        <w:rFonts w:ascii="Times New Roman" w:hAnsi="Times New Roman" w:cs="Times New Roman"/>
                      </w:rPr>
                    </w:pPr>
                    <w:r>
                      <w:rPr>
                        <w:rFonts w:ascii="Times New Roman" w:hAnsi="Times New Roman" w:cs="Times New Roman"/>
                      </w:rPr>
                      <w:t>1,538,987.37</w:t>
                    </w:r>
                  </w:p>
                </w:tc>
              </w:tr>
            </w:tbl>
            <w:p>
              <w:pPr>
                <w:rPr>
                  <w:rFonts w:ascii="Times New Roman" w:hAnsi="Times New Roman" w:cs="Times New Roman"/>
                </w:rPr>
              </w:pPr>
              <w:r>
                <w:rPr>
                  <w:rFonts w:ascii="Times New Roman" w:cs="Times New Roman"/>
                </w:rPr>
                <w:t>其他权益工具投资持有期间的股利收入</w:t>
              </w:r>
            </w:p>
            <w:tbl>
              <w:tblPr>
                <w:tblStyle w:val="107"/>
                <w:tblW w:w="5000"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638"/>
                <w:gridCol w:w="341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3115" w:type="pct"/>
                    <w:shd w:val="clear" w:color="auto" w:fill="auto"/>
                    <w:vAlign w:val="center"/>
                  </w:tcPr>
                  <w:p>
                    <w:pPr>
                      <w:rPr>
                        <w:rFonts w:ascii="Times New Roman" w:hAnsi="Times New Roman" w:cs="Times New Roman"/>
                      </w:rPr>
                    </w:pPr>
                    <w:r>
                      <w:rPr>
                        <w:rFonts w:ascii="Times New Roman" w:cs="Times New Roman"/>
                      </w:rPr>
                      <w:t>项目</w:t>
                    </w:r>
                  </w:p>
                </w:tc>
                <w:tc>
                  <w:tcPr>
                    <w:tcW w:w="1885" w:type="pct"/>
                    <w:shd w:val="clear" w:color="auto" w:fill="auto"/>
                    <w:vAlign w:val="center"/>
                  </w:tcPr>
                  <w:p>
                    <w:pPr>
                      <w:rPr>
                        <w:rFonts w:ascii="Times New Roman" w:hAnsi="Times New Roman" w:cs="Times New Roman"/>
                      </w:rPr>
                    </w:pPr>
                    <w:r>
                      <w:rPr>
                        <w:rFonts w:ascii="Times New Roman" w:cs="Times New Roman"/>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center"/>
                  </w:tcPr>
                  <w:p>
                    <w:pPr>
                      <w:rPr>
                        <w:rFonts w:ascii="Times New Roman" w:hAnsi="Times New Roman" w:cs="Times New Roman"/>
                      </w:rPr>
                    </w:pPr>
                    <w:r>
                      <w:rPr>
                        <w:rFonts w:ascii="Times New Roman" w:cs="Times New Roman"/>
                      </w:rPr>
                      <w:t>广西北部湾银行股份有限公司</w:t>
                    </w:r>
                  </w:p>
                </w:tc>
                <w:tc>
                  <w:tcPr>
                    <w:tcW w:w="1885" w:type="pct"/>
                    <w:shd w:val="clear" w:color="auto" w:fill="auto"/>
                    <w:vAlign w:val="center"/>
                  </w:tcPr>
                  <w:p>
                    <w:pPr>
                      <w:jc w:val="right"/>
                      <w:rPr>
                        <w:rFonts w:ascii="Times New Roman" w:hAnsi="Times New Roman" w:cs="Times New Roman"/>
                      </w:rPr>
                    </w:pPr>
                    <w:r>
                      <w:rPr>
                        <w:rFonts w:ascii="Times New Roman" w:hAnsi="Times New Roman" w:cs="Times New Roman"/>
                      </w:rPr>
                      <w:t>13,860,000.00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center"/>
                  </w:tcPr>
                  <w:p>
                    <w:pPr>
                      <w:rPr>
                        <w:rFonts w:ascii="Times New Roman" w:hAnsi="Times New Roman" w:cs="Times New Roman"/>
                      </w:rPr>
                    </w:pPr>
                    <w:r>
                      <w:rPr>
                        <w:rFonts w:ascii="Times New Roman" w:cs="Times New Roman"/>
                      </w:rPr>
                      <w:t>柳州银行股份有限公司</w:t>
                    </w:r>
                  </w:p>
                </w:tc>
                <w:tc>
                  <w:tcPr>
                    <w:tcW w:w="1885" w:type="pct"/>
                    <w:shd w:val="clear" w:color="auto" w:fill="auto"/>
                    <w:vAlign w:val="center"/>
                  </w:tcPr>
                  <w:p>
                    <w:pPr>
                      <w:jc w:val="right"/>
                      <w:rPr>
                        <w:rFonts w:ascii="Times New Roman" w:hAnsi="Times New Roman" w:cs="Times New Roman"/>
                      </w:rPr>
                    </w:pPr>
                    <w:r>
                      <w:rPr>
                        <w:rFonts w:ascii="Times New Roman" w:hAnsi="Times New Roman" w:cs="Times New Roman"/>
                      </w:rPr>
                      <w:t>1,200,000.00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center"/>
                  </w:tcPr>
                  <w:p>
                    <w:pPr>
                      <w:rPr>
                        <w:rFonts w:ascii="Times New Roman" w:hAnsi="Times New Roman" w:cs="Times New Roman"/>
                      </w:rPr>
                    </w:pPr>
                    <w:r>
                      <w:rPr>
                        <w:rFonts w:ascii="Times New Roman" w:cs="Times New Roman"/>
                      </w:rPr>
                      <w:t>合计</w:t>
                    </w:r>
                  </w:p>
                </w:tc>
                <w:tc>
                  <w:tcPr>
                    <w:tcW w:w="1885" w:type="pct"/>
                    <w:shd w:val="clear" w:color="auto" w:fill="auto"/>
                    <w:vAlign w:val="center"/>
                  </w:tcPr>
                  <w:p>
                    <w:pPr>
                      <w:jc w:val="right"/>
                      <w:rPr>
                        <w:rFonts w:ascii="Times New Roman" w:hAnsi="Times New Roman" w:cs="Times New Roman"/>
                      </w:rPr>
                    </w:pPr>
                    <w:r>
                      <w:rPr>
                        <w:rFonts w:ascii="Times New Roman" w:hAnsi="Times New Roman" w:cs="Times New Roman"/>
                      </w:rPr>
                      <w:t>15,060,000.00</w:t>
                    </w:r>
                  </w:p>
                </w:tc>
              </w:tr>
            </w:tbl>
            <w:p/>
          </w:sdtContent>
        </w:sdt>
        <w:p>
          <w:pPr>
            <w:autoSpaceDE w:val="0"/>
            <w:autoSpaceDN w:val="0"/>
            <w:adjustRightInd w:val="0"/>
            <w:rPr>
              <w:szCs w:val="21"/>
            </w:rPr>
          </w:pPr>
        </w:p>
        <w:p>
          <w:pPr>
            <w:pStyle w:val="4"/>
            <w:tabs>
              <w:tab w:val="left" w:pos="504"/>
            </w:tabs>
            <w:rPr>
              <w:szCs w:val="21"/>
            </w:rPr>
          </w:pPr>
        </w:p>
      </w:sdtContent>
    </w:sdt>
    <w:bookmarkEnd w:id="221"/>
    <w:sdt>
      <w:sdtPr>
        <w:rPr>
          <w:rFonts w:hint="eastAsia" w:ascii="宋体" w:hAnsi="宋体" w:cs="宋体"/>
          <w:b w:val="0"/>
          <w:bCs w:val="0"/>
          <w:kern w:val="0"/>
          <w:szCs w:val="21"/>
        </w:rPr>
        <w:alias w:val="模块:净敞口套期收益"/>
        <w:tag w:val="_SEC_1b8fb7a0e4a44723ab3a865986917571"/>
        <w:id w:val="865726284"/>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79"/>
            </w:numPr>
            <w:tabs>
              <w:tab w:val="left" w:pos="504"/>
            </w:tabs>
            <w:rPr>
              <w:szCs w:val="21"/>
            </w:rPr>
          </w:pPr>
          <w:r>
            <w:rPr>
              <w:rFonts w:hint="eastAsia"/>
              <w:szCs w:val="21"/>
            </w:rPr>
            <w:t>净敞口套期收益</w:t>
          </w:r>
        </w:p>
        <w:sdt>
          <w:sdtPr>
            <w:alias w:val="是否适用：净敞口套期收益[双击切换]"/>
            <w:tag w:val="_GBC_0b9c0635e78547e1b23b27daf08672cd"/>
            <w:id w:val="865726283"/>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rPr>
              <w:szCs w:val="21"/>
            </w:rPr>
          </w:pPr>
        </w:p>
        <w:p>
          <w:pPr>
            <w:autoSpaceDE w:val="0"/>
            <w:autoSpaceDN w:val="0"/>
            <w:adjustRightInd w:val="0"/>
            <w:rPr>
              <w:szCs w:val="21"/>
            </w:rPr>
          </w:pPr>
        </w:p>
      </w:sdtContent>
    </w:sdt>
    <w:sdt>
      <w:sdtPr>
        <w:rPr>
          <w:rFonts w:hint="eastAsia" w:ascii="宋体" w:hAnsi="宋体" w:cs="宋体"/>
          <w:b w:val="0"/>
          <w:bCs w:val="0"/>
          <w:kern w:val="0"/>
          <w:szCs w:val="21"/>
        </w:rPr>
        <w:alias w:val="模块:公允价值变动收益"/>
        <w:tag w:val="_SEC_ba248bb644d24508b56cf476e57a1ad1"/>
        <w:id w:val="865726299"/>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79"/>
            </w:numPr>
            <w:tabs>
              <w:tab w:val="left" w:pos="504"/>
            </w:tabs>
            <w:rPr>
              <w:rFonts w:ascii="宋体" w:hAnsi="宋体"/>
              <w:szCs w:val="21"/>
            </w:rPr>
          </w:pPr>
          <w:bookmarkStart w:id="223" w:name="_Hlk534895224"/>
          <w:r>
            <w:rPr>
              <w:rFonts w:hint="eastAsia" w:ascii="宋体" w:hAnsi="宋体"/>
              <w:szCs w:val="21"/>
            </w:rPr>
            <w:t>公允价值变动收益</w:t>
          </w:r>
        </w:p>
        <w:sdt>
          <w:sdtPr>
            <w:alias w:val="是否适用：公允价值变动收益[双击切换]"/>
            <w:tag w:val="_GBC_703e46a239ba45afa37afdd4dcae0cb4"/>
            <w:id w:val="86572628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公允价值变动收益"/>
              <w:tag w:val="_GBC_c4e1118ffbdf4d6f90815a9b487cc79b"/>
              <w:id w:val="8657262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865726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9"/>
            <w:gridCol w:w="2825"/>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6e9a92135b46440eb6d0daa39f0ec40f"/>
                <w:id w:val="865726288"/>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产生公允价值变动收益的来源</w:t>
                    </w:r>
                  </w:p>
                </w:tc>
              </w:sdtContent>
            </w:sdt>
            <w:sdt>
              <w:sdtPr>
                <w:rPr>
                  <w:rFonts w:ascii="Times New Roman" w:hAnsi="Times New Roman" w:cs="Times New Roman"/>
                </w:rPr>
                <w:tag w:val="_PLD_7cd0c8223b6b499990a24553e928cba4"/>
                <w:id w:val="865726289"/>
                <w:lock w:val="sdtLocked"/>
              </w:sdtPr>
              <w:sdtEndPr>
                <w:rPr>
                  <w:rFonts w:ascii="Times New Roman" w:hAnsi="Times New Roman" w:cs="Times New Roman"/>
                </w:rPr>
              </w:sdtEndPr>
              <w:sdtContent>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1ebddc94af9345a99e7800415f9811c7"/>
                <w:id w:val="865726290"/>
                <w:lock w:val="sdtLocked"/>
              </w:sdtPr>
              <w:sdtEndPr>
                <w:rPr>
                  <w:rFonts w:ascii="Times New Roman" w:hAnsi="Times New Roman" w:cs="Times New Roman"/>
                </w:rPr>
              </w:sdtEndPr>
              <w:sdtContent>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8fdad34a3ea4bf88d13d2cea1763e5f"/>
                <w:id w:val="865726291"/>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交易性金融资产</w:t>
                    </w:r>
                  </w:p>
                </w:tc>
              </w:sdtContent>
            </w:sdt>
            <w:tc>
              <w:tcPr>
                <w:tcW w:w="1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-26,145,255.54</w:t>
                </w:r>
              </w:p>
            </w:tc>
            <w:tc>
              <w:tcPr>
                <w:tcW w:w="1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35,705,051.52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6b01843590fe419a970a6ed4f04b1565"/>
                <w:id w:val="865726292"/>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其中：衍生金融工具产生的公允价值变动收益</w:t>
                    </w:r>
                  </w:p>
                </w:tc>
              </w:sdtContent>
            </w:sdt>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bbf0a974c3b4741b9d53ed083461508"/>
                <w:id w:val="865726293"/>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交易性金融负债</w:t>
                    </w:r>
                  </w:p>
                </w:tc>
              </w:sdtContent>
            </w:sdt>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8f8aca983494a3987845fa26d1fc496"/>
                <w:id w:val="865726294"/>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按公允价值计量的投资性房地产</w:t>
                    </w:r>
                  </w:p>
                </w:tc>
              </w:sdtContent>
            </w:sdt>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p>
            </w:tc>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de60e6b2a8a44ce9663011df3f14a75"/>
                <w:id w:val="865726297"/>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合计</w:t>
                    </w:r>
                  </w:p>
                </w:tc>
              </w:sdtContent>
            </w:sdt>
            <w:tc>
              <w:tcPr>
                <w:tcW w:w="1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-26,145,255.54</w:t>
                </w:r>
              </w:p>
            </w:tc>
            <w:tc>
              <w:tcPr>
                <w:tcW w:w="15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35,705,051.52</w:t>
                </w:r>
              </w:p>
            </w:tc>
          </w:tr>
        </w:tbl>
        <w:p>
          <w:pPr>
            <w:spacing w:before="60" w:after="60"/>
            <w:rPr>
              <w:szCs w:val="21"/>
            </w:rPr>
          </w:pPr>
          <w:r>
            <w:rPr>
              <w:rFonts w:hint="eastAsia"/>
              <w:szCs w:val="21"/>
            </w:rPr>
            <w:t>其他说明：</w:t>
          </w:r>
        </w:p>
        <w:sdt>
          <w:sdtPr>
            <w:rPr>
              <w:rFonts w:hint="eastAsia"/>
              <w:szCs w:val="21"/>
            </w:rPr>
            <w:alias w:val="公允价值变动收益的说明"/>
            <w:tag w:val="_GBC_2de79fa0260c440dae18401771bdd5db"/>
            <w:id w:val="865726298"/>
            <w:lock w:val="sdtLocked"/>
            <w:placeholder>
              <w:docPart w:val="GBC22222222222222222222222222222"/>
            </w:placeholder>
          </w:sdtPr>
          <w:sdtEndPr>
            <w:rPr>
              <w:rFonts w:hint="eastAsia"/>
              <w:szCs w:val="21"/>
            </w:rPr>
          </w:sdtEndPr>
          <w:sdtContent>
            <w:p>
              <w:pPr>
                <w:rPr>
                  <w:szCs w:val="21"/>
                </w:rPr>
              </w:pPr>
              <w:r>
                <w:rPr>
                  <w:rFonts w:asciiTheme="minorEastAsia" w:hAnsiTheme="minorEastAsia" w:eastAsiaTheme="minorEastAsia"/>
                  <w:szCs w:val="21"/>
                </w:rPr>
                <w:t>公允价值变动收益主要为公司持有中信证券股票的</w:t>
              </w:r>
              <w:r>
                <w:rPr>
                  <w:rFonts w:hint="eastAsia" w:asciiTheme="minorEastAsia" w:hAnsiTheme="minorEastAsia" w:eastAsiaTheme="minorEastAsia"/>
                  <w:szCs w:val="21"/>
                </w:rPr>
                <w:t>股价下跌，公允</w:t>
              </w:r>
              <w:r>
                <w:rPr>
                  <w:rFonts w:ascii="Times New Roman" w:cs="Times New Roman" w:hAnsiTheme="minorEastAsia" w:eastAsiaTheme="minorEastAsia"/>
                  <w:szCs w:val="21"/>
                </w:rPr>
                <w:t>价值下降</w:t>
              </w:r>
              <w:r>
                <w:rPr>
                  <w:rFonts w:ascii="Times New Roman" w:hAnsi="Times New Roman" w:cs="Times New Roman" w:eastAsiaTheme="minorEastAsia"/>
                  <w:color w:val="000000"/>
                  <w:szCs w:val="21"/>
                </w:rPr>
                <w:t>25,892,802.00</w:t>
              </w:r>
              <w:r>
                <w:rPr>
                  <w:rFonts w:asciiTheme="minorEastAsia" w:hAnsiTheme="minorEastAsia" w:eastAsiaTheme="minorEastAsia"/>
                  <w:szCs w:val="21"/>
                </w:rPr>
                <w:t>元</w:t>
              </w:r>
              <w:r>
                <w:rPr>
                  <w:rFonts w:hint="eastAsia" w:asciiTheme="minorEastAsia" w:hAnsiTheme="minorEastAsia" w:eastAsiaTheme="minorEastAsia"/>
                  <w:szCs w:val="21"/>
                </w:rPr>
                <w:t>。</w:t>
              </w:r>
            </w:p>
          </w:sdtContent>
        </w:sdt>
        <w:p>
          <w:pPr>
            <w:rPr>
              <w:rFonts w:cstheme="minorBidi"/>
              <w:kern w:val="2"/>
              <w:szCs w:val="21"/>
            </w:rPr>
          </w:pPr>
        </w:p>
      </w:sdtContent>
    </w:sdt>
    <w:bookmarkEnd w:id="223"/>
    <w:sdt>
      <w:sdtPr>
        <w:rPr>
          <w:rFonts w:hint="eastAsia" w:ascii="宋体" w:hAnsi="宋体" w:cs="宋体"/>
          <w:b w:val="0"/>
          <w:bCs w:val="0"/>
          <w:kern w:val="0"/>
          <w:szCs w:val="24"/>
        </w:rPr>
        <w:alias w:val="模块:信用减值损失"/>
        <w:tag w:val="_SEC_f3aa22c360ad4d4fa144dfe2d37137a3"/>
        <w:id w:val="865726317"/>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79"/>
            </w:numPr>
            <w:tabs>
              <w:tab w:val="left" w:pos="504"/>
            </w:tabs>
          </w:pPr>
          <w:r>
            <w:rPr>
              <w:rFonts w:hint="eastAsia"/>
            </w:rPr>
            <w:t>信用减值损失</w:t>
          </w:r>
        </w:p>
        <w:sdt>
          <w:sdtPr>
            <w:alias w:val="是否适用：信用减值损失[双击切换]"/>
            <w:tag w:val="_GBC_3e1c9d9dad6c4530991d2befd4b098e3"/>
            <w:id w:val="86572630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ind w:left="420" w:firstLine="0" w:firstLineChars="0"/>
            <w:jc w:val="right"/>
          </w:pPr>
          <w:r>
            <w:rPr>
              <w:rFonts w:hint="eastAsia"/>
            </w:rPr>
            <w:t>单位：</w:t>
          </w:r>
          <w:sdt>
            <w:sdtPr>
              <w:rPr>
                <w:rFonts w:hint="eastAsia"/>
              </w:rPr>
              <w:alias w:val="单位：信用减值损失"/>
              <w:tag w:val="_GBC_64c0f12c02d44b548838a6936d90e525"/>
              <w:id w:val="8657263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信用减值损失"/>
              <w:tag w:val="_GBC_4d6a964234bf4666a052d68fb8b9d060"/>
              <w:id w:val="8657263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650"/>
            <w:gridCol w:w="2688"/>
            <w:gridCol w:w="27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32efbc222fba4f8b87e71fbd7550f57d"/>
                <w:id w:val="865726303"/>
                <w:lock w:val="sdtLocked"/>
              </w:sdtPr>
              <w:sdtContent>
                <w:tc>
                  <w:tcPr>
                    <w:tcW w:w="2017" w:type="pct"/>
                    <w:shd w:val="clear" w:color="auto" w:fill="auto"/>
                    <w:vAlign w:val="center"/>
                  </w:tcPr>
                  <w:p>
                    <w:pPr>
                      <w:jc w:val="center"/>
                      <w:rPr>
                        <w:szCs w:val="21"/>
                      </w:rPr>
                    </w:pPr>
                    <w:r>
                      <w:rPr>
                        <w:rFonts w:hint="eastAsia"/>
                        <w:szCs w:val="21"/>
                      </w:rPr>
                      <w:t>项目</w:t>
                    </w:r>
                  </w:p>
                </w:tc>
              </w:sdtContent>
            </w:sdt>
            <w:sdt>
              <w:sdtPr>
                <w:tag w:val="_PLD_57fc93ac35684eca9207e23d2b2d6664"/>
                <w:id w:val="865726304"/>
                <w:lock w:val="sdtLocked"/>
              </w:sdtPr>
              <w:sdtContent>
                <w:tc>
                  <w:tcPr>
                    <w:tcW w:w="1485" w:type="pct"/>
                    <w:tcBorders>
                      <w:bottom w:val="single" w:color="auto" w:sz="6" w:space="0"/>
                    </w:tcBorders>
                    <w:shd w:val="clear" w:color="auto" w:fill="auto"/>
                    <w:vAlign w:val="center"/>
                  </w:tcPr>
                  <w:p>
                    <w:pPr>
                      <w:jc w:val="center"/>
                      <w:rPr>
                        <w:szCs w:val="21"/>
                      </w:rPr>
                    </w:pPr>
                    <w:r>
                      <w:rPr>
                        <w:rFonts w:hint="eastAsia"/>
                        <w:szCs w:val="21"/>
                      </w:rPr>
                      <w:t>本期发生额</w:t>
                    </w:r>
                  </w:p>
                </w:tc>
              </w:sdtContent>
            </w:sdt>
            <w:sdt>
              <w:sdtPr>
                <w:tag w:val="_PLD_ddb6bc4a58314fb2abbbb04ed4af2419"/>
                <w:id w:val="865726305"/>
                <w:lock w:val="sdtLocked"/>
              </w:sdtPr>
              <w:sdtContent>
                <w:tc>
                  <w:tcPr>
                    <w:tcW w:w="1498" w:type="pct"/>
                    <w:shd w:val="clear" w:color="auto" w:fill="auto"/>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3dea696ffc7a401fb0b2813dfdf2ee05"/>
                  <w:id w:val="865726306"/>
                  <w:lock w:val="sdtLocked"/>
                </w:sdtPr>
                <w:sdtEndPr>
                  <w:rPr>
                    <w:rFonts w:hint="eastAsia"/>
                    <w:szCs w:val="21"/>
                  </w:rPr>
                </w:sdtEndPr>
                <w:sdtContent>
                  <w:p>
                    <w:pPr>
                      <w:rPr>
                        <w:szCs w:val="21"/>
                      </w:rPr>
                    </w:pPr>
                    <w:r>
                      <w:rPr>
                        <w:rFonts w:hint="eastAsia"/>
                        <w:szCs w:val="21"/>
                      </w:rPr>
                      <w:t>应收票据坏账损失</w:t>
                    </w:r>
                  </w:p>
                </w:sdtContent>
              </w:sdt>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8f95ae55a83148e8a935f39fa8f92ca4"/>
                  <w:id w:val="865726307"/>
                  <w:lock w:val="sdtLocked"/>
                </w:sdtPr>
                <w:sdtEndPr>
                  <w:rPr>
                    <w:rFonts w:hint="eastAsia"/>
                    <w:szCs w:val="21"/>
                  </w:rPr>
                </w:sdtEndPr>
                <w:sdtContent>
                  <w:p>
                    <w:pPr>
                      <w:rPr>
                        <w:szCs w:val="21"/>
                      </w:rPr>
                    </w:pPr>
                    <w:r>
                      <w:rPr>
                        <w:rFonts w:hint="eastAsia"/>
                        <w:szCs w:val="21"/>
                      </w:rPr>
                      <w:t>应收账款坏账损失</w:t>
                    </w:r>
                  </w:p>
                </w:sdtContent>
              </w:sdt>
            </w:tc>
            <w:tc>
              <w:tcPr>
                <w:tcW w:w="1485"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p>
            </w:tc>
            <w:tc>
              <w:tcPr>
                <w:tcW w:w="1498"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d9f7b1208cc747c9bd80ca0b7a90857e"/>
                  <w:id w:val="865726308"/>
                  <w:lock w:val="sdtLocked"/>
                </w:sdtPr>
                <w:sdtEndPr>
                  <w:rPr>
                    <w:rFonts w:hint="eastAsia"/>
                    <w:szCs w:val="21"/>
                  </w:rPr>
                </w:sdtEndPr>
                <w:sdtContent>
                  <w:p>
                    <w:pPr>
                      <w:rPr>
                        <w:szCs w:val="21"/>
                      </w:rPr>
                    </w:pPr>
                    <w:r>
                      <w:rPr>
                        <w:rFonts w:hint="eastAsia"/>
                        <w:szCs w:val="21"/>
                      </w:rPr>
                      <w:t>其他应收款坏账损失</w:t>
                    </w:r>
                  </w:p>
                </w:sdtContent>
              </w:sdt>
            </w:tc>
            <w:tc>
              <w:tcPr>
                <w:tcW w:w="1485"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p>
            </w:tc>
            <w:tc>
              <w:tcPr>
                <w:tcW w:w="1498"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2c9adec2cb4a46aeb2cec6f99fe0fe9f"/>
                  <w:id w:val="865726309"/>
                  <w:lock w:val="sdtLocked"/>
                </w:sdtPr>
                <w:sdtEndPr>
                  <w:rPr>
                    <w:rFonts w:hint="eastAsia"/>
                    <w:szCs w:val="21"/>
                  </w:rPr>
                </w:sdtEndPr>
                <w:sdtContent>
                  <w:p>
                    <w:pPr>
                      <w:rPr>
                        <w:szCs w:val="21"/>
                      </w:rPr>
                    </w:pPr>
                    <w:r>
                      <w:rPr>
                        <w:rFonts w:hint="eastAsia"/>
                        <w:szCs w:val="21"/>
                      </w:rPr>
                      <w:t>债权投资减值损失</w:t>
                    </w:r>
                  </w:p>
                </w:sdtContent>
              </w:sdt>
            </w:tc>
            <w:tc>
              <w:tcPr>
                <w:tcW w:w="1485"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p>
            </w:tc>
            <w:tc>
              <w:tcPr>
                <w:tcW w:w="1498"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ae55071e73dc4bc4a7ae2758f22c1239"/>
                  <w:id w:val="865726310"/>
                  <w:lock w:val="sdtLocked"/>
                </w:sdtPr>
                <w:sdtEndPr>
                  <w:rPr>
                    <w:rFonts w:hint="eastAsia"/>
                    <w:szCs w:val="21"/>
                  </w:rPr>
                </w:sdtEndPr>
                <w:sdtContent>
                  <w:p>
                    <w:pPr>
                      <w:rPr>
                        <w:szCs w:val="21"/>
                      </w:rPr>
                    </w:pPr>
                    <w:r>
                      <w:rPr>
                        <w:rFonts w:hint="eastAsia"/>
                        <w:szCs w:val="21"/>
                      </w:rPr>
                      <w:t>其他债权投资减值损失</w:t>
                    </w:r>
                  </w:p>
                </w:sdtContent>
              </w:sdt>
            </w:tc>
            <w:tc>
              <w:tcPr>
                <w:tcW w:w="1485"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p>
            </w:tc>
            <w:tc>
              <w:tcPr>
                <w:tcW w:w="1498"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6533e6f8c0f84283b74361e70d6b5710"/>
                  <w:id w:val="865726311"/>
                  <w:lock w:val="sdtLocked"/>
                </w:sdtPr>
                <w:sdtEndPr>
                  <w:rPr>
                    <w:rFonts w:hint="eastAsia"/>
                    <w:szCs w:val="21"/>
                  </w:rPr>
                </w:sdtEndPr>
                <w:sdtContent>
                  <w:p>
                    <w:pPr>
                      <w:rPr>
                        <w:szCs w:val="21"/>
                      </w:rPr>
                    </w:pPr>
                    <w:r>
                      <w:rPr>
                        <w:rFonts w:hint="eastAsia"/>
                        <w:szCs w:val="21"/>
                      </w:rPr>
                      <w:t>长期应收款坏账损失</w:t>
                    </w:r>
                  </w:p>
                </w:sdtContent>
              </w:sdt>
            </w:tc>
            <w:tc>
              <w:tcPr>
                <w:tcW w:w="1485"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p>
            </w:tc>
            <w:tc>
              <w:tcPr>
                <w:tcW w:w="1498"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7476643019704ecf8be783f76b96e872"/>
                  <w:id w:val="865726312"/>
                  <w:lock w:val="sdtLocked"/>
                </w:sdtPr>
                <w:sdtEndPr>
                  <w:rPr>
                    <w:rFonts w:hint="eastAsia"/>
                    <w:szCs w:val="21"/>
                  </w:rPr>
                </w:sdtEndPr>
                <w:sdtContent>
                  <w:p>
                    <w:pPr>
                      <w:rPr>
                        <w:szCs w:val="21"/>
                      </w:rPr>
                    </w:pPr>
                    <w:r>
                      <w:rPr>
                        <w:rFonts w:hint="eastAsia"/>
                        <w:szCs w:val="21"/>
                      </w:rPr>
                      <w:t>合同资产减值损失</w:t>
                    </w:r>
                  </w:p>
                </w:sdtContent>
              </w:sdt>
            </w:tc>
            <w:tc>
              <w:tcPr>
                <w:tcW w:w="1485"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p>
            </w:tc>
            <w:tc>
              <w:tcPr>
                <w:tcW w:w="1498" w:type="pct"/>
                <w:shd w:val="clear" w:color="auto" w:fill="auto"/>
                <w:vAlign w:val="center"/>
              </w:tcPr>
              <w:p>
                <w:pPr>
                  <w:jc w:val="right"/>
                  <w:rPr>
                    <w:rFonts w:ascii="Times New Roman" w:hAnsi="Times New Roman" w:cs="Times New Roman"/>
                    <w:szCs w:val="21"/>
                  </w:rPr>
                </w:pPr>
              </w:p>
            </w:tc>
          </w:tr>
          <w:sdt>
            <w:sdtPr>
              <w:rPr>
                <w:szCs w:val="21"/>
              </w:rPr>
              <w:alias w:val="信用减值损失明细"/>
              <w:tag w:val="_TUP_7336614644024cf99f8d11879e04a06f"/>
              <w:id w:val="86572631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szCs w:val="21"/>
                      </w:rPr>
                    </w:pPr>
                    <w:r>
                      <w:t>坏账损失</w:t>
                    </w:r>
                  </w:p>
                </w:tc>
                <w:tc>
                  <w:tcPr>
                    <w:tcW w:w="1485"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-2,101,571.43</w:t>
                    </w:r>
                  </w:p>
                </w:tc>
                <w:tc>
                  <w:tcPr>
                    <w:tcW w:w="1498" w:type="pct"/>
                    <w:shd w:val="clear" w:color="auto" w:fill="auto"/>
                    <w:vAlign w:val="center"/>
                  </w:tcPr>
                  <w:p>
                    <w:pPr>
                      <w:jc w:val="right"/>
                      <w:rPr>
                        <w:rFonts w:ascii="Times New Roman" w:hAnsi="Times New Roman" w:cs="Times New Roman"/>
                        <w:szCs w:val="21"/>
                      </w:rPr>
                    </w:pPr>
                    <w:r>
                      <w:rPr>
                        <w:rFonts w:ascii="Times New Roman" w:hAnsi="Times New Roman" w:cs="Times New Roman"/>
                      </w:rPr>
                      <w:t>-8,118,247.66</w:t>
                    </w:r>
                  </w:p>
                </w:tc>
              </w:tr>
            </w:sdtContent>
          </w:sdt>
          <w:sdt>
            <w:sdtPr>
              <w:rPr>
                <w:szCs w:val="21"/>
              </w:rPr>
              <w:alias w:val="信用减值损失明细"/>
              <w:tag w:val="_TUP_7336614644024cf99f8d11879e04a06f"/>
              <w:id w:val="86572631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szCs w:val="21"/>
                      </w:rPr>
                    </w:pPr>
                  </w:p>
                </w:tc>
                <w:tc>
                  <w:tcPr>
                    <w:tcW w:w="1485" w:type="pct"/>
                    <w:tcBorders>
                      <w:top w:val="single" w:color="auto" w:sz="6" w:space="0"/>
                      <w:bottom w:val="single" w:color="auto" w:sz="6" w:space="0"/>
                    </w:tcBorders>
                    <w:shd w:val="clear" w:color="auto" w:fill="auto"/>
                    <w:vAlign w:val="center"/>
                  </w:tcPr>
                  <w:p>
                    <w:pPr>
                      <w:jc w:val="right"/>
                      <w:rPr>
                        <w:rFonts w:ascii="Times New Roman" w:hAnsi="Times New Roman" w:cs="Times New Roman"/>
                        <w:szCs w:val="21"/>
                      </w:rPr>
                    </w:pPr>
                  </w:p>
                </w:tc>
                <w:tc>
                  <w:tcPr>
                    <w:tcW w:w="1498" w:type="pct"/>
                    <w:shd w:val="clear" w:color="auto" w:fill="auto"/>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fb4052249318445ab343a63eb6ab6e3b"/>
                <w:id w:val="865726315"/>
                <w:lock w:val="sdtLocked"/>
              </w:sdtPr>
              <w:sdtContent>
                <w:tc>
                  <w:tcPr>
                    <w:tcW w:w="2017" w:type="pct"/>
                    <w:shd w:val="clear" w:color="auto" w:fill="auto"/>
                    <w:vAlign w:val="center"/>
                  </w:tcPr>
                  <w:p>
                    <w:pPr>
                      <w:jc w:val="center"/>
                      <w:rPr>
                        <w:szCs w:val="21"/>
                      </w:rPr>
                    </w:pPr>
                    <w:r>
                      <w:rPr>
                        <w:rFonts w:hint="eastAsia"/>
                        <w:szCs w:val="21"/>
                      </w:rPr>
                      <w:t>合计</w:t>
                    </w:r>
                  </w:p>
                </w:tc>
              </w:sdtContent>
            </w:sdt>
            <w:tc>
              <w:tcPr>
                <w:tcW w:w="1485" w:type="pct"/>
                <w:tcBorders>
                  <w:top w:val="single" w:color="auto" w:sz="6" w:space="0"/>
                  <w:bottom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-2,101,571.43</w:t>
                </w:r>
              </w:p>
            </w:tc>
            <w:tc>
              <w:tcPr>
                <w:tcW w:w="1498" w:type="pct"/>
                <w:shd w:val="clear" w:color="auto" w:fill="auto"/>
                <w:vAlign w:val="center"/>
              </w:tcPr>
              <w:p>
                <w:pPr>
                  <w:jc w:val="right"/>
                  <w:rPr>
                    <w:rFonts w:ascii="Times New Roman" w:hAnsi="Times New Roman" w:cs="Times New Roman"/>
                    <w:sz w:val="24"/>
                  </w:rPr>
                </w:pPr>
                <w:r>
                  <w:rPr>
                    <w:rFonts w:ascii="Times New Roman" w:hAnsi="Times New Roman" w:cs="Times New Roman"/>
                  </w:rPr>
                  <w:t>-8,118,247.66</w:t>
                </w:r>
              </w:p>
            </w:tc>
          </w:tr>
        </w:tbl>
        <w:p/>
        <w:p/>
        <w:p/>
      </w:sdtContent>
    </w:sdt>
    <w:p>
      <w:pPr>
        <w:rPr>
          <w:rFonts w:cstheme="minorBidi"/>
          <w:kern w:val="2"/>
          <w:szCs w:val="21"/>
        </w:rPr>
      </w:pPr>
    </w:p>
    <w:sdt>
      <w:sdtPr>
        <w:rPr>
          <w:rFonts w:hint="eastAsia" w:ascii="宋体" w:hAnsi="宋体" w:cs="宋体"/>
          <w:b w:val="0"/>
          <w:bCs w:val="0"/>
          <w:kern w:val="0"/>
          <w:szCs w:val="21"/>
        </w:rPr>
        <w:alias w:val="模块:资产减值损失"/>
        <w:tag w:val="_SEC_0711b4002bfe46319954a4204926581c"/>
        <w:id w:val="865726340"/>
        <w:lock w:val="sdtLocked"/>
        <w:placeholder>
          <w:docPart w:val="GBC22222222222222222222222222222"/>
        </w:placeholder>
      </w:sdtPr>
      <w:sdtEndPr>
        <w:rPr>
          <w:rFonts w:hint="default" w:cs="宋体" w:asciiTheme="minorHAnsi" w:hAnsiTheme="minorHAnsi" w:eastAsiaTheme="minorEastAsia"/>
          <w:b w:val="0"/>
          <w:bCs w:val="0"/>
          <w:kern w:val="0"/>
          <w:szCs w:val="22"/>
        </w:rPr>
      </w:sdtEndPr>
      <w:sdtContent>
        <w:p>
          <w:pPr>
            <w:pStyle w:val="4"/>
            <w:numPr>
              <w:ilvl w:val="0"/>
              <w:numId w:val="79"/>
            </w:numPr>
            <w:tabs>
              <w:tab w:val="left" w:pos="504"/>
            </w:tabs>
            <w:rPr>
              <w:rFonts w:ascii="宋体" w:hAnsi="宋体"/>
              <w:szCs w:val="21"/>
            </w:rPr>
          </w:pPr>
          <w:r>
            <w:rPr>
              <w:rFonts w:hint="eastAsia" w:ascii="宋体" w:hAnsi="宋体"/>
              <w:bCs w:val="0"/>
              <w:szCs w:val="21"/>
            </w:rPr>
            <w:t>资</w:t>
          </w:r>
          <w:r>
            <w:rPr>
              <w:rFonts w:hint="eastAsia" w:ascii="宋体" w:hAnsi="宋体"/>
              <w:szCs w:val="21"/>
            </w:rPr>
            <w:t>产减值损失</w:t>
          </w:r>
        </w:p>
        <w:sdt>
          <w:sdtPr>
            <w:alias w:val="是否适用：资产减值损失[双击切换]"/>
            <w:tag w:val="_GBC_8b37643fea7c43289fdaf85f79b2bcae"/>
            <w:id w:val="86572631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资产减值损失"/>
              <w:tag w:val="_GBC_fe85f36c54dd476ea970b9d8ae08135d"/>
              <w:id w:val="865726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8657263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8"/>
            <w:gridCol w:w="2574"/>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44de032f71b4e06985c561df3bcf55a"/>
                <w:id w:val="865726321"/>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9551307ec5c049a3aa84c3c7d3e61d92"/>
                <w:id w:val="865726322"/>
                <w:lock w:val="sdtLocked"/>
              </w:sdtPr>
              <w:sdtEndPr>
                <w:rPr>
                  <w:rFonts w:ascii="Times New Roman" w:hAnsi="Times New Roman" w:cs="Times New Roman"/>
                </w:rPr>
              </w:sdtEndPr>
              <w:sdtContent>
                <w:tc>
                  <w:tcPr>
                    <w:tcW w:w="14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46a2a62cd1b1406f877f135b9d7e38a6"/>
                <w:id w:val="865726323"/>
                <w:lock w:val="sdtLocked"/>
              </w:sdtPr>
              <w:sdtEndPr>
                <w:rPr>
                  <w:rFonts w:ascii="Times New Roman" w:hAnsi="Times New Roman" w:cs="Times New Roman"/>
                </w:rPr>
              </w:sdtEndPr>
              <w:sdtContent>
                <w:tc>
                  <w:tcPr>
                    <w:tcW w:w="17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5b0452207d64fb88ccbca66f785c80a"/>
                <w:id w:val="865726324"/>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一、坏账损失</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sdt>
                <w:sdtPr>
                  <w:rPr>
                    <w:rFonts w:ascii="Times New Roman" w:hAnsi="Times New Roman" w:cs="Times New Roman"/>
                  </w:rPr>
                  <w:tag w:val="_PLD_f3e56bd86dd541bb999fb148048ad094"/>
                  <w:id w:val="865726325"/>
                  <w:lock w:val="sdtLocked"/>
                </w:sdtPr>
                <w:sdtEndPr>
                  <w:rPr>
                    <w:rFonts w:ascii="Times New Roman" w:hAnsi="Times New Roman" w:cs="Times New Roman"/>
                  </w:rPr>
                </w:sdtEndPr>
                <w:sdtContent>
                  <w:p>
                    <w:pPr>
                      <w:autoSpaceDE w:val="0"/>
                      <w:autoSpaceDN w:val="0"/>
                      <w:adjustRightInd w:val="0"/>
                      <w:rPr>
                        <w:rFonts w:ascii="Times New Roman" w:hAnsi="Times New Roman" w:cs="Times New Roman"/>
                      </w:rPr>
                    </w:pPr>
                    <w:r>
                      <w:rPr>
                        <w:rFonts w:ascii="Times New Roman" w:cs="Times New Roman"/>
                      </w:rPr>
                      <w:t>二、存货跌价损失及合同履约成本减值损失</w:t>
                    </w:r>
                  </w:p>
                </w:sdtContent>
              </w:sdt>
            </w:tc>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-1,552,149.31</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-1,295,880.31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918ffd8efce148388b465543a65deb36"/>
                <w:id w:val="865726326"/>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rPr>
                      <w:t>三</w:t>
                    </w:r>
                    <w:r>
                      <w:rPr>
                        <w:rFonts w:ascii="Times New Roman" w:cs="Times New Roman"/>
                        <w:szCs w:val="21"/>
                      </w:rPr>
                      <w:t>、长期股权投资减值损失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f59a34614d64642bfafae6cfb83a911"/>
                <w:id w:val="865726327"/>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四、投资性房地产减值损失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1f6d2fa18b94283b7668413c57d5953"/>
                <w:id w:val="865726328"/>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rPr>
                      <w:t>五</w:t>
                    </w:r>
                    <w:r>
                      <w:rPr>
                        <w:rFonts w:ascii="Times New Roman" w:cs="Times New Roman"/>
                        <w:szCs w:val="21"/>
                      </w:rPr>
                      <w:t>、固定资产减值损失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-4,490.85</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b3a63c2cafd4c51b8eeeb5a43d993d0"/>
                <w:id w:val="865726329"/>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rPr>
                      <w:t>六</w:t>
                    </w:r>
                    <w:r>
                      <w:rPr>
                        <w:rFonts w:ascii="Times New Roman" w:cs="Times New Roman"/>
                        <w:szCs w:val="21"/>
                      </w:rPr>
                      <w:t>、工程物资减值损失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c003d11a19b40018cbc74adbbdcdf57"/>
                <w:id w:val="865726330"/>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rPr>
                      <w:t>七</w:t>
                    </w:r>
                    <w:r>
                      <w:rPr>
                        <w:rFonts w:ascii="Times New Roman" w:cs="Times New Roman"/>
                        <w:szCs w:val="21"/>
                      </w:rPr>
                      <w:t>、在建工程减值损失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3b89e0837b14e99b4a3438b489d0532"/>
                <w:id w:val="865726331"/>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rPr>
                      <w:t>八</w:t>
                    </w:r>
                    <w:r>
                      <w:rPr>
                        <w:rFonts w:ascii="Times New Roman" w:cs="Times New Roman"/>
                        <w:szCs w:val="21"/>
                      </w:rPr>
                      <w:t>、生产性生物资产减值损失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0a5e5bd19264127be2c136789d951e4"/>
                <w:id w:val="865726332"/>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rPr>
                      <w:t>九</w:t>
                    </w:r>
                    <w:r>
                      <w:rPr>
                        <w:rFonts w:ascii="Times New Roman" w:cs="Times New Roman"/>
                        <w:szCs w:val="21"/>
                      </w:rPr>
                      <w:t>、油气资产减值损失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02d22ed8f36479cbf68f338da9798f3"/>
                <w:id w:val="865726333"/>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十、无形资产减值损失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-773,820.00</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a6f4245c2b749e385563afef515c3da"/>
                <w:id w:val="865726334"/>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十一、商誉减值损失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ca415e40b044bc3bb78421db6605bbe"/>
                <w:id w:val="865726335"/>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十二、其他</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34f2e9360a2400a89862cd125871d4c"/>
                <w:id w:val="865726338"/>
                <w:lock w:val="sdtLocked"/>
              </w:sdtPr>
              <w:sdtEndPr>
                <w:rPr>
                  <w:rFonts w:ascii="Times New Roman" w:hAnsi="Times New Roman" w:cs="Times New Roman"/>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ascii="Times New Roman" w:hAnsi="Times New Roman" w:cs="Times New Roman"/>
                        <w:szCs w:val="21"/>
                      </w:rPr>
                    </w:pPr>
                    <w:r>
                      <w:rPr>
                        <w:rFonts w:ascii="Times New Roman" w:cs="Times New Roman"/>
                        <w:szCs w:val="21"/>
                      </w:rPr>
                      <w:t>合计</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-2,330,460.16</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-1,295,880.31</w:t>
                </w:r>
              </w:p>
            </w:tc>
          </w:tr>
        </w:tbl>
        <w:p/>
        <w:p>
          <w:pPr>
            <w:rPr>
              <w:rFonts w:asciiTheme="minorHAnsi" w:hAnsiTheme="minorHAnsi" w:eastAsiaTheme="minorEastAsia"/>
              <w:szCs w:val="22"/>
            </w:rPr>
          </w:pPr>
        </w:p>
      </w:sdtContent>
    </w:sdt>
    <w:p>
      <w:pPr>
        <w:rPr>
          <w:rFonts w:asciiTheme="minorHAnsi" w:hAnsiTheme="minorHAnsi" w:eastAsiaTheme="minorEastAsia"/>
          <w:szCs w:val="22"/>
        </w:rPr>
      </w:pPr>
    </w:p>
    <w:sdt>
      <w:sdtPr>
        <w:rPr>
          <w:rFonts w:hint="eastAsia" w:ascii="宋体" w:hAnsi="宋体" w:cs="宋体"/>
          <w:b w:val="0"/>
          <w:bCs w:val="0"/>
          <w:kern w:val="0"/>
          <w:szCs w:val="21"/>
        </w:rPr>
        <w:alias w:val="模块:资产处置收益"/>
        <w:tag w:val="_SEC_467f7368f09741c792396e7413b66bc2"/>
        <w:id w:val="865726351"/>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79"/>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865726341"/>
            <w:lock w:val="sdtContentLocked"/>
            <w:placeholder>
              <w:docPart w:val="GBC22222222222222222222222222222"/>
            </w:placeholder>
          </w:sdtPr>
          <w:sdtEndPr>
            <w:rPr>
              <w:bCs/>
            </w:rPr>
          </w:sdtEndPr>
          <w:sdtContent>
            <w:p>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pPr>
            <w:pStyle w:val="55"/>
            <w:ind w:left="420" w:firstLine="0" w:firstLineChars="0"/>
            <w:jc w:val="right"/>
            <w:rPr>
              <w:bCs/>
            </w:rPr>
          </w:pPr>
          <w:r>
            <w:rPr>
              <w:bCs/>
            </w:rPr>
            <w:t>单位：</w:t>
          </w:r>
          <w:sdt>
            <w:sdtPr>
              <w:rPr>
                <w:bCs/>
              </w:rPr>
              <w:alias w:val="单位：资产处置收益明细"/>
              <w:tag w:val="_GBC_7ec9558ba3654efb8bffe62787e178bb"/>
              <w:id w:val="8657263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rFonts w:hint="eastAsia"/>
                  <w:bCs/>
                </w:rPr>
                <w:t>元</w:t>
              </w:r>
            </w:sdtContent>
          </w:sdt>
          <w:r>
            <w:rPr>
              <w:bCs/>
            </w:rPr>
            <w:t xml:space="preserve">  币种：</w:t>
          </w:r>
          <w:sdt>
            <w:sdtPr>
              <w:rPr>
                <w:bCs/>
              </w:rPr>
              <w:alias w:val="币种：资产处置收益明细"/>
              <w:tag w:val="_GBC_6a67bd424d2842be9fe48ecebd5d6f35"/>
              <w:id w:val="8657263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rFonts w:hint="eastAsia"/>
                  <w:bCs/>
                </w:rPr>
                <w:t>人民币</w:t>
              </w:r>
            </w:sdtContent>
          </w:sdt>
        </w:p>
        <w:tbl>
          <w:tblPr>
            <w:tblStyle w:val="1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016"/>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6aa248f59d784f95a8d1e935bd71e05e"/>
                <w:id w:val="865726344"/>
                <w:lock w:val="sdtLocked"/>
              </w:sdtPr>
              <w:sdtEndPr>
                <w:rPr>
                  <w:rFonts w:ascii="Times New Roman" w:hAnsi="Times New Roman" w:cs="Times New Roman"/>
                </w:rPr>
              </w:sdtEndPr>
              <w:sdtContent>
                <w:tc>
                  <w:tcPr>
                    <w:tcW w:w="3016" w:type="dxa"/>
                    <w:shd w:val="clear" w:color="auto" w:fill="auto"/>
                  </w:tcPr>
                  <w:p>
                    <w:pPr>
                      <w:jc w:val="center"/>
                      <w:rPr>
                        <w:rFonts w:ascii="Times New Roman" w:hAnsi="Times New Roman" w:cs="Times New Roman"/>
                      </w:rPr>
                    </w:pPr>
                    <w:r>
                      <w:rPr>
                        <w:rFonts w:ascii="Times New Roman" w:cs="Times New Roman"/>
                      </w:rPr>
                      <w:t>项目</w:t>
                    </w:r>
                  </w:p>
                </w:tc>
              </w:sdtContent>
            </w:sdt>
            <w:sdt>
              <w:sdtPr>
                <w:rPr>
                  <w:rFonts w:ascii="Times New Roman" w:hAnsi="Times New Roman" w:cs="Times New Roman"/>
                </w:rPr>
                <w:tag w:val="_PLD_130aaf0b75144f7d943c5d780cfc1b6b"/>
                <w:id w:val="865726345"/>
                <w:lock w:val="sdtLocked"/>
              </w:sdtPr>
              <w:sdtEndPr>
                <w:rPr>
                  <w:rFonts w:ascii="Times New Roman" w:hAnsi="Times New Roman" w:cs="Times New Roman"/>
                </w:rPr>
              </w:sdtEndPr>
              <w:sdtContent>
                <w:tc>
                  <w:tcPr>
                    <w:tcW w:w="3016" w:type="dxa"/>
                    <w:shd w:val="clear" w:color="auto" w:fill="auto"/>
                  </w:tcPr>
                  <w:p>
                    <w:pPr>
                      <w:jc w:val="center"/>
                      <w:rPr>
                        <w:rFonts w:ascii="Times New Roman" w:hAnsi="Times New Roman" w:cs="Times New Roman"/>
                      </w:rPr>
                    </w:pPr>
                    <w:r>
                      <w:rPr>
                        <w:rFonts w:ascii="Times New Roman" w:cs="Times New Roman"/>
                      </w:rPr>
                      <w:t>本期发生额</w:t>
                    </w:r>
                  </w:p>
                </w:tc>
              </w:sdtContent>
            </w:sdt>
            <w:sdt>
              <w:sdtPr>
                <w:rPr>
                  <w:rFonts w:ascii="Times New Roman" w:hAnsi="Times New Roman" w:cs="Times New Roman"/>
                </w:rPr>
                <w:tag w:val="_PLD_482f220f08ce46dc8e769190f957eec7"/>
                <w:id w:val="865726346"/>
                <w:lock w:val="sdtLocked"/>
              </w:sdtPr>
              <w:sdtEndPr>
                <w:rPr>
                  <w:rFonts w:ascii="Times New Roman" w:hAnsi="Times New Roman" w:cs="Times New Roman"/>
                </w:rPr>
              </w:sdtEndPr>
              <w:sdtContent>
                <w:tc>
                  <w:tcPr>
                    <w:tcW w:w="3017" w:type="dxa"/>
                    <w:shd w:val="clear" w:color="auto" w:fill="auto"/>
                  </w:tcPr>
                  <w:p>
                    <w:pPr>
                      <w:jc w:val="center"/>
                      <w:rPr>
                        <w:rFonts w:ascii="Times New Roman" w:hAnsi="Times New Roman" w:cs="Times New Roman"/>
                      </w:rPr>
                    </w:pPr>
                    <w:r>
                      <w:rPr>
                        <w:rFonts w:ascii="Times New Roman" w:cs="Times New Roman"/>
                      </w:rPr>
                      <w:t>上期发生额</w:t>
                    </w:r>
                  </w:p>
                </w:tc>
              </w:sdtContent>
            </w:sdt>
          </w:tr>
          <w:sdt>
            <w:sdtPr>
              <w:rPr>
                <w:rFonts w:ascii="Times New Roman" w:hAnsi="Times New Roman" w:cs="Times New Roman"/>
              </w:rPr>
              <w:alias w:val="资产处置收益明细"/>
              <w:tag w:val="_TUP_4e7f3b54af98459f9a8813a3573b07d6"/>
              <w:id w:val="865726347"/>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固定资产处置利得或损失</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149,602.85</w:t>
                    </w:r>
                  </w:p>
                </w:tc>
                <w:tc>
                  <w:tcPr>
                    <w:tcW w:w="3017" w:type="dxa"/>
                    <w:shd w:val="clear" w:color="auto" w:fill="auto"/>
                    <w:vAlign w:val="center"/>
                  </w:tcPr>
                  <w:p>
                    <w:pPr>
                      <w:jc w:val="right"/>
                      <w:rPr>
                        <w:rFonts w:ascii="Times New Roman" w:hAnsi="Times New Roman" w:cs="Times New Roman"/>
                      </w:rPr>
                    </w:pPr>
                    <w:r>
                      <w:rPr>
                        <w:rFonts w:ascii="Times New Roman" w:hAnsi="Times New Roman" w:cs="Times New Roman"/>
                      </w:rPr>
                      <w:t>581,665.24</w:t>
                    </w:r>
                  </w:p>
                </w:tc>
              </w:tr>
            </w:sdtContent>
          </w:sdt>
          <w:sdt>
            <w:sdtPr>
              <w:rPr>
                <w:rFonts w:ascii="Times New Roman" w:hAnsi="Times New Roman" w:cs="Times New Roman"/>
              </w:rPr>
              <w:alias w:val="资产处置收益明细"/>
              <w:tag w:val="_TUP_4e7f3b54af98459f9a8813a3573b07d6"/>
              <w:id w:val="865726348"/>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rPr>
                        <w:rFonts w:ascii="Times New Roman" w:hAnsi="Times New Roman" w:cs="Times New Roman"/>
                      </w:rPr>
                    </w:pPr>
                    <w:r>
                      <w:rPr>
                        <w:rFonts w:ascii="Times New Roman" w:cs="Times New Roman"/>
                      </w:rPr>
                      <w:t>使用权资产转租赁利得或损失</w:t>
                    </w:r>
                  </w:p>
                </w:tc>
                <w:tc>
                  <w:tcPr>
                    <w:tcW w:w="3016" w:type="dxa"/>
                    <w:shd w:val="clear" w:color="auto" w:fill="auto"/>
                    <w:vAlign w:val="center"/>
                  </w:tcPr>
                  <w:p>
                    <w:pPr>
                      <w:jc w:val="right"/>
                      <w:rPr>
                        <w:rFonts w:ascii="Times New Roman" w:hAnsi="Times New Roman" w:cs="Times New Roman"/>
                      </w:rPr>
                    </w:pPr>
                    <w:r>
                      <w:rPr>
                        <w:rFonts w:ascii="Times New Roman" w:hAnsi="Times New Roman" w:cs="Times New Roman"/>
                      </w:rPr>
                      <w:t>-7,805.11</w:t>
                    </w:r>
                  </w:p>
                </w:tc>
                <w:tc>
                  <w:tcPr>
                    <w:tcW w:w="3017" w:type="dxa"/>
                    <w:shd w:val="clear" w:color="auto" w:fill="auto"/>
                    <w:vAlign w:val="center"/>
                  </w:tcPr>
                  <w:p>
                    <w:pPr>
                      <w:jc w:val="right"/>
                      <w:rPr>
                        <w:rFonts w:ascii="Times New Roman" w:hAnsi="Times New Roman" w:cs="Times New Roman"/>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ff6aaf90ab6455a8f0879f18bec11b2"/>
                <w:id w:val="865726349"/>
                <w:lock w:val="sdtLocked"/>
              </w:sdtPr>
              <w:sdtEndPr>
                <w:rPr>
                  <w:rFonts w:ascii="Times New Roman" w:hAnsi="Times New Roman" w:cs="Times New Roman"/>
                </w:rPr>
              </w:sdtEndPr>
              <w:sdtContent>
                <w:tc>
                  <w:tcPr>
                    <w:tcW w:w="3016" w:type="dxa"/>
                    <w:shd w:val="clear" w:color="auto" w:fill="auto"/>
                  </w:tcPr>
                  <w:p>
                    <w:pPr>
                      <w:jc w:val="center"/>
                      <w:rPr>
                        <w:rFonts w:ascii="Times New Roman" w:hAnsi="Times New Roman" w:cs="Times New Roman"/>
                      </w:rPr>
                    </w:pPr>
                    <w:r>
                      <w:rPr>
                        <w:rFonts w:ascii="Times New Roman" w:cs="Times New Roman"/>
                      </w:rPr>
                      <w:t>合计</w:t>
                    </w:r>
                  </w:p>
                </w:tc>
              </w:sdtContent>
            </w:sdt>
            <w:tc>
              <w:tcPr>
                <w:tcW w:w="3016" w:type="dxa"/>
                <w:shd w:val="clear" w:color="auto" w:fill="auto"/>
                <w:vAlign w:val="center"/>
              </w:tcPr>
              <w:p>
                <w:pPr>
                  <w:jc w:val="right"/>
                  <w:rPr>
                    <w:rFonts w:ascii="Times New Roman" w:hAnsi="Times New Roman" w:cs="Times New Roman"/>
                    <w:sz w:val="24"/>
                  </w:rPr>
                </w:pPr>
                <w:r>
                  <w:rPr>
                    <w:rFonts w:ascii="Times New Roman" w:hAnsi="Times New Roman" w:cs="Times New Roman"/>
                  </w:rPr>
                  <w:t>141,797.74</w:t>
                </w:r>
              </w:p>
            </w:tc>
            <w:tc>
              <w:tcPr>
                <w:tcW w:w="3017" w:type="dxa"/>
                <w:shd w:val="clear" w:color="auto" w:fill="auto"/>
                <w:vAlign w:val="center"/>
              </w:tcPr>
              <w:p>
                <w:pPr>
                  <w:jc w:val="right"/>
                  <w:rPr>
                    <w:rFonts w:ascii="Times New Roman" w:hAnsi="Times New Roman" w:cs="Times New Roman"/>
                    <w:sz w:val="24"/>
                  </w:rPr>
                </w:pPr>
                <w:r>
                  <w:rPr>
                    <w:rFonts w:ascii="Times New Roman" w:hAnsi="Times New Roman" w:cs="Times New Roman"/>
                  </w:rPr>
                  <w:t>581,665.24</w:t>
                </w:r>
              </w:p>
            </w:tc>
          </w:tr>
        </w:tbl>
        <w:p/>
      </w:sdtContent>
    </w:sdt>
    <w:p>
      <w:pPr>
        <w:autoSpaceDE w:val="0"/>
        <w:autoSpaceDN w:val="0"/>
        <w:adjustRightInd w:val="0"/>
        <w:rPr>
          <w:szCs w:val="21"/>
        </w:rPr>
      </w:pPr>
    </w:p>
    <w:p>
      <w:pPr>
        <w:pStyle w:val="4"/>
        <w:numPr>
          <w:ilvl w:val="0"/>
          <w:numId w:val="79"/>
        </w:numPr>
        <w:tabs>
          <w:tab w:val="left" w:pos="504"/>
        </w:tabs>
        <w:rPr>
          <w:rFonts w:ascii="宋体" w:hAnsi="宋体"/>
          <w:szCs w:val="21"/>
        </w:rPr>
      </w:pPr>
      <w:r>
        <w:rPr>
          <w:rFonts w:hint="eastAsia" w:ascii="宋体" w:hAnsi="宋体"/>
          <w:szCs w:val="21"/>
        </w:rPr>
        <w:t>营业外收入</w:t>
      </w:r>
    </w:p>
    <w:sdt>
      <w:sdtPr>
        <w:rPr>
          <w:rFonts w:hint="eastAsia"/>
        </w:rPr>
        <w:alias w:val="模块:营业外收入情况"/>
        <w:tag w:val="_SEC_f6bd1fb85aac4d5fae732da5669c7d98"/>
        <w:id w:val="865726370"/>
        <w:lock w:val="sdtLocked"/>
        <w:placeholder>
          <w:docPart w:val="GBC22222222222222222222222222222"/>
        </w:placeholder>
      </w:sdtPr>
      <w:sdtEndPr>
        <w:rPr>
          <w:rFonts w:hint="default"/>
        </w:rPr>
      </w:sdtEndPr>
      <w:sdtContent>
        <w:p>
          <w:r>
            <w:rPr>
              <w:rFonts w:hint="eastAsia"/>
            </w:rPr>
            <w:t>营业外收入情况</w:t>
          </w:r>
        </w:p>
        <w:sdt>
          <w:sdtPr>
            <w:rPr>
              <w:rFonts w:hint="eastAsia"/>
            </w:rPr>
            <w:alias w:val="是否适用：营业外收入情况 [双击切换]"/>
            <w:tag w:val="_GBC_4aec8b65d0e744aaaddac8859ae249bc"/>
            <w:id w:val="865726352"/>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营业外收入"/>
              <w:tag w:val="_GBC_79d3fe1c29e746e7b2a9a9acfcc43449"/>
              <w:id w:val="865726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8657263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2306"/>
            <w:gridCol w:w="2315"/>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b52b1902e1443609ba6891d7076aebe"/>
                <w:id w:val="865726355"/>
                <w:lock w:val="sdtLocked"/>
              </w:sdtPr>
              <w:sdtEndPr>
                <w:rPr>
                  <w:rFonts w:ascii="Times New Roman" w:hAnsi="Times New Roman" w:cs="Times New Roman"/>
                </w:rPr>
              </w:sdtEndPr>
              <w:sdtContent>
                <w:tc>
                  <w:tcPr>
                    <w:tcW w:w="116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9dc87bd465124a2289f545f76d28c96c"/>
                <w:id w:val="865726356"/>
                <w:lock w:val="sdtLocked"/>
              </w:sdtPr>
              <w:sdtEndPr>
                <w:rPr>
                  <w:rFonts w:ascii="Times New Roman" w:hAnsi="Times New Roman" w:cs="Times New Roman"/>
                </w:rPr>
              </w:sdtEndPr>
              <w:sdtContent>
                <w:tc>
                  <w:tcPr>
                    <w:tcW w:w="127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e1b91f5db91a439083c1f9a1b7d17ef9"/>
                <w:id w:val="865726357"/>
                <w:lock w:val="sdtLocked"/>
              </w:sdtPr>
              <w:sdtEndPr>
                <w:rPr>
                  <w:rFonts w:ascii="Times New Roman" w:hAnsi="Times New Roman" w:cs="Times New Roman"/>
                </w:rPr>
              </w:sdtEndPr>
              <w:sdtContent>
                <w:tc>
                  <w:tcPr>
                    <w:tcW w:w="127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上期发生额</w:t>
                    </w:r>
                  </w:p>
                </w:tc>
              </w:sdtContent>
            </w:sdt>
            <w:sdt>
              <w:sdtPr>
                <w:rPr>
                  <w:rFonts w:ascii="Times New Roman" w:hAnsi="Times New Roman" w:cs="Times New Roman"/>
                </w:rPr>
                <w:tag w:val="_PLD_db1c9e08e7ea407889a350e8451d2848"/>
                <w:id w:val="865726358"/>
                <w:lock w:val="sdtLocked"/>
              </w:sdtPr>
              <w:sdtEndPr>
                <w:rPr>
                  <w:rFonts w:ascii="Times New Roman" w:hAnsi="Times New Roman" w:cs="Times New Roman"/>
                </w:rPr>
              </w:sdtEnd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FF0000"/>
                        <w:szCs w:val="21"/>
                      </w:rPr>
                    </w:pPr>
                    <w:r>
                      <w:rPr>
                        <w:rFonts w:ascii="Times New Roman" w:cs="Times New Roman"/>
                        <w:szCs w:val="21"/>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d7d486e5802447694f6aabdd236c0f9"/>
                <w:id w:val="865726359"/>
                <w:lock w:val="sdtLocked"/>
              </w:sdtPr>
              <w:sdtEndPr>
                <w:rPr>
                  <w:rFonts w:ascii="Times New Roman" w:hAnsi="Times New Roman" w:cs="Times New Roman"/>
                </w:rPr>
              </w:sdtEndPr>
              <w:sdtContent>
                <w:tc>
                  <w:tcPr>
                    <w:tcW w:w="1166"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非流动资产处置利得合计</w:t>
                    </w:r>
                  </w:p>
                </w:tc>
              </w:sdtContent>
            </w:sdt>
            <w:tc>
              <w:tcPr>
                <w:tcW w:w="127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6e5a2dd44854ddd9b1f8deb77014232"/>
                <w:id w:val="865726360"/>
                <w:lock w:val="sdtLocked"/>
              </w:sdtPr>
              <w:sdtEndPr>
                <w:rPr>
                  <w:rFonts w:ascii="Times New Roman" w:hAnsi="Times New Roman" w:cs="Times New Roman"/>
                </w:rPr>
              </w:sdtEndPr>
              <w:sdtContent>
                <w:tc>
                  <w:tcPr>
                    <w:tcW w:w="1166"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其中：固定资产处置利得</w:t>
                    </w:r>
                  </w:p>
                </w:tc>
              </w:sdtContent>
            </w:sdt>
            <w:tc>
              <w:tcPr>
                <w:tcW w:w="127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c67c8623790441885ff3b307cc33e39"/>
                <w:id w:val="865726361"/>
                <w:lock w:val="sdtLocked"/>
              </w:sdtPr>
              <w:sdtEndPr>
                <w:rPr>
                  <w:rFonts w:ascii="Times New Roman" w:hAnsi="Times New Roman" w:cs="Times New Roman"/>
                </w:rPr>
              </w:sdtEndPr>
              <w:sdtContent>
                <w:tc>
                  <w:tcPr>
                    <w:tcW w:w="1166" w:type="pct"/>
                    <w:tcBorders>
                      <w:top w:val="single" w:color="auto" w:sz="4" w:space="0"/>
                      <w:left w:val="single" w:color="auto" w:sz="4" w:space="0"/>
                      <w:bottom w:val="single" w:color="auto" w:sz="4" w:space="0"/>
                      <w:right w:val="single" w:color="auto" w:sz="4" w:space="0"/>
                    </w:tcBorders>
                  </w:tcPr>
                  <w:p>
                    <w:pPr>
                      <w:autoSpaceDE w:val="0"/>
                      <w:autoSpaceDN w:val="0"/>
                      <w:adjustRightInd w:val="0"/>
                      <w:ind w:firstLine="630" w:firstLineChars="300"/>
                      <w:rPr>
                        <w:rFonts w:ascii="Times New Roman" w:hAnsi="Times New Roman" w:cs="Times New Roman"/>
                        <w:szCs w:val="21"/>
                      </w:rPr>
                    </w:pPr>
                    <w:r>
                      <w:rPr>
                        <w:rFonts w:ascii="Times New Roman" w:cs="Times New Roman"/>
                        <w:szCs w:val="21"/>
                      </w:rPr>
                      <w:t>无形资产处置利得</w:t>
                    </w:r>
                  </w:p>
                </w:tc>
              </w:sdtContent>
            </w:sdt>
            <w:tc>
              <w:tcPr>
                <w:tcW w:w="127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1bafef3b0014764b4b915b52e29fba9"/>
                <w:id w:val="865726362"/>
                <w:lock w:val="sdtLocked"/>
              </w:sdtPr>
              <w:sdtEndPr>
                <w:rPr>
                  <w:rFonts w:ascii="Times New Roman" w:hAnsi="Times New Roman" w:cs="Times New Roman"/>
                </w:rPr>
              </w:sdtEndPr>
              <w:sdtContent>
                <w:tc>
                  <w:tcPr>
                    <w:tcW w:w="1166"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非货币性资产交换利得</w:t>
                    </w:r>
                  </w:p>
                </w:tc>
              </w:sdtContent>
            </w:sdt>
            <w:tc>
              <w:tcPr>
                <w:tcW w:w="127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c2513254d4874268a6239e1ae075ea22"/>
                <w:id w:val="865726363"/>
                <w:lock w:val="sdtLocked"/>
              </w:sdtPr>
              <w:sdtEndPr>
                <w:rPr>
                  <w:rFonts w:ascii="Times New Roman" w:hAnsi="Times New Roman" w:cs="Times New Roman"/>
                </w:rPr>
              </w:sdtEndPr>
              <w:sdtContent>
                <w:tc>
                  <w:tcPr>
                    <w:tcW w:w="1166"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接受捐赠</w:t>
                    </w:r>
                  </w:p>
                </w:tc>
              </w:sdtContent>
            </w:sdt>
            <w:tc>
              <w:tcPr>
                <w:tcW w:w="127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79"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ceb5cb8f02c47d68b9fbe69483149d9"/>
                <w:id w:val="865726364"/>
                <w:lock w:val="sdtLocked"/>
              </w:sdtPr>
              <w:sdtEndPr>
                <w:rPr>
                  <w:rFonts w:ascii="Times New Roman" w:hAnsi="Times New Roman" w:cs="Times New Roman"/>
                </w:rPr>
              </w:sdtEndPr>
              <w:sdtContent>
                <w:tc>
                  <w:tcPr>
                    <w:tcW w:w="1166" w:type="pct"/>
                    <w:tcBorders>
                      <w:top w:val="single" w:color="auto" w:sz="4" w:space="0"/>
                      <w:left w:val="single" w:color="auto" w:sz="4" w:space="0"/>
                      <w:bottom w:val="single" w:color="auto" w:sz="4" w:space="0"/>
                      <w:right w:val="single" w:color="auto" w:sz="4" w:space="0"/>
                    </w:tcBorders>
                  </w:tcPr>
                  <w:p>
                    <w:pPr>
                      <w:ind w:right="6"/>
                      <w:rPr>
                        <w:rFonts w:ascii="Times New Roman" w:hAnsi="Times New Roman" w:cs="Times New Roman"/>
                        <w:bCs/>
                        <w:szCs w:val="21"/>
                      </w:rPr>
                    </w:pPr>
                    <w:r>
                      <w:rPr>
                        <w:rFonts w:ascii="Times New Roman" w:cs="Times New Roman"/>
                        <w:bCs/>
                        <w:szCs w:val="21"/>
                      </w:rPr>
                      <w:t>政府补助</w:t>
                    </w:r>
                  </w:p>
                </w:tc>
              </w:sdtContent>
            </w:sdt>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403,200.02</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2,688,885.40</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403,200.02</w:t>
                </w:r>
              </w:p>
            </w:tc>
          </w:tr>
          <w:sdt>
            <w:sdtPr>
              <w:rPr>
                <w:rFonts w:ascii="Times New Roman" w:hAnsi="Times New Roman" w:cs="Times New Roman"/>
                <w:szCs w:val="21"/>
              </w:rPr>
              <w:alias w:val="营业外收入明细"/>
              <w:tag w:val="_TUP_46937c9656934b67a9abb141e7420d0e"/>
              <w:id w:val="86572636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无法支付的应付款项</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1.55</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311,313.92</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1.55</w:t>
                    </w:r>
                  </w:p>
                </w:tc>
              </w:tr>
            </w:sdtContent>
          </w:sdt>
          <w:sdt>
            <w:sdtPr>
              <w:rPr>
                <w:rFonts w:ascii="Times New Roman" w:hAnsi="Times New Roman" w:cs="Times New Roman"/>
                <w:szCs w:val="21"/>
              </w:rPr>
              <w:alias w:val="营业外收入明细"/>
              <w:tag w:val="_TUP_46937c9656934b67a9abb141e7420d0e"/>
              <w:id w:val="86572636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违约金及罚款收入</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114,390.95</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64,412.42</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114,390.95</w:t>
                    </w:r>
                  </w:p>
                </w:tc>
              </w:tr>
            </w:sdtContent>
          </w:sdt>
          <w:sdt>
            <w:sdtPr>
              <w:rPr>
                <w:rFonts w:ascii="Times New Roman" w:hAnsi="Times New Roman" w:cs="Times New Roman"/>
                <w:szCs w:val="21"/>
              </w:rPr>
              <w:alias w:val="营业外收入明细"/>
              <w:tag w:val="_TUP_46937c9656934b67a9abb141e7420d0e"/>
              <w:id w:val="86572636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固定资产报废净收益</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198,703.29</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198,703.29</w:t>
                    </w:r>
                  </w:p>
                </w:tc>
              </w:tr>
            </w:sdtContent>
          </w:sdt>
          <w:sdt>
            <w:sdtPr>
              <w:rPr>
                <w:rFonts w:ascii="Times New Roman" w:hAnsi="Times New Roman" w:cs="Times New Roman"/>
                <w:szCs w:val="21"/>
              </w:rPr>
              <w:alias w:val="营业外收入明细"/>
              <w:tag w:val="_TUP_46937c9656934b67a9abb141e7420d0e"/>
              <w:id w:val="86572636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其他</w:t>
                    </w:r>
                  </w:p>
                </w:tc>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22,875.30</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10,376.13</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22,875.30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701136e79c0479f9536922958a26987"/>
                <w:id w:val="865726369"/>
                <w:lock w:val="sdtLocked"/>
              </w:sdtPr>
              <w:sdtEndPr>
                <w:rPr>
                  <w:rFonts w:ascii="Times New Roman" w:hAnsi="Times New Roman" w:cs="Times New Roman"/>
                </w:rPr>
              </w:sdtEndPr>
              <w:sdtContent>
                <w:tc>
                  <w:tcPr>
                    <w:tcW w:w="116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合计</w:t>
                    </w:r>
                  </w:p>
                </w:tc>
              </w:sdtContent>
            </w:sdt>
            <w:tc>
              <w:tcPr>
                <w:tcW w:w="127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739,171.11</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3,074,987.87</w:t>
                </w:r>
              </w:p>
            </w:tc>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739,171.11</w:t>
                </w:r>
              </w:p>
            </w:tc>
          </w:tr>
        </w:tbl>
        <w:p/>
        <w:p/>
      </w:sdtContent>
    </w:sdt>
    <w:sdt>
      <w:sdtPr>
        <w:rPr>
          <w:rFonts w:hint="eastAsia"/>
          <w:b/>
        </w:rPr>
        <w:alias w:val="模块:计入当期损益的政府补助"/>
        <w:tag w:val="_SEC_7da34acddedf41ad98cc013fa3418dfa"/>
        <w:id w:val="865726379"/>
        <w:lock w:val="sdtLocked"/>
        <w:placeholder>
          <w:docPart w:val="GBC22222222222222222222222222222"/>
        </w:placeholder>
      </w:sdtPr>
      <w:sdtEndPr>
        <w:rPr>
          <w:rFonts w:hint="default"/>
          <w:b w:val="0"/>
        </w:rPr>
      </w:sdtEndPr>
      <w:sdtContent>
        <w:p>
          <w:pPr>
            <w:rPr>
              <w:rStyle w:val="47"/>
              <w:rFonts w:ascii="宋体" w:hAnsi="宋体"/>
              <w:b w:val="0"/>
              <w:szCs w:val="21"/>
            </w:rPr>
          </w:pPr>
          <w:r>
            <w:rPr>
              <w:rStyle w:val="47"/>
              <w:rFonts w:hint="eastAsia" w:ascii="宋体" w:hAnsi="宋体"/>
              <w:b w:val="0"/>
              <w:szCs w:val="21"/>
            </w:rPr>
            <w:t>计入当期</w:t>
          </w:r>
          <w:r>
            <w:rPr>
              <w:rFonts w:hint="eastAsia"/>
            </w:rPr>
            <w:t>损益</w:t>
          </w:r>
          <w:r>
            <w:rPr>
              <w:rStyle w:val="47"/>
              <w:rFonts w:hint="eastAsia" w:ascii="宋体" w:hAnsi="宋体"/>
              <w:b w:val="0"/>
              <w:szCs w:val="21"/>
            </w:rPr>
            <w:t>的政府补助</w:t>
          </w:r>
        </w:p>
        <w:sdt>
          <w:sdtPr>
            <w:rPr>
              <w:rStyle w:val="47"/>
              <w:rFonts w:ascii="宋体" w:hAnsi="宋体"/>
              <w:b w:val="0"/>
              <w:szCs w:val="21"/>
            </w:rPr>
            <w:alias w:val="是否适用：计入当期损益的政府补助[双击切换]"/>
            <w:tag w:val="_GBC_4a57096a511a4052b159cd6811fa40df"/>
            <w:id w:val="865726371"/>
            <w:lock w:val="sdtLocked"/>
            <w:placeholder>
              <w:docPart w:val="GBC22222222222222222222222222222"/>
            </w:placeholder>
          </w:sdtPr>
          <w:sdtEndPr>
            <w:rPr>
              <w:rStyle w:val="47"/>
              <w:rFonts w:ascii="宋体" w:hAnsi="宋体"/>
              <w:b w:val="0"/>
              <w:szCs w:val="21"/>
            </w:rPr>
          </w:sdtEndPr>
          <w:sdtContent>
            <w:p>
              <w:pPr>
                <w:rPr>
                  <w:rStyle w:val="47"/>
                  <w:rFonts w:ascii="宋体" w:hAnsi="宋体"/>
                  <w:b w:val="0"/>
                  <w:szCs w:val="21"/>
                </w:rPr>
              </w:pPr>
              <w:r>
                <w:rPr>
                  <w:rStyle w:val="47"/>
                  <w:rFonts w:ascii="宋体" w:hAnsi="宋体"/>
                  <w:b w:val="0"/>
                  <w:szCs w:val="21"/>
                </w:rPr>
                <w:fldChar w:fldCharType="begin"/>
              </w:r>
              <w:r>
                <w:rPr>
                  <w:rStyle w:val="47"/>
                  <w:rFonts w:ascii="宋体" w:hAnsi="宋体"/>
                  <w:b w:val="0"/>
                  <w:szCs w:val="21"/>
                </w:rPr>
                <w:instrText xml:space="preserve">MACROBUTTON  SnrToggleCheckbox √适用 </w:instrText>
              </w:r>
              <w:r>
                <w:rPr>
                  <w:rStyle w:val="47"/>
                  <w:rFonts w:ascii="宋体" w:hAnsi="宋体"/>
                  <w:b w:val="0"/>
                  <w:szCs w:val="21"/>
                </w:rPr>
                <w:fldChar w:fldCharType="end"/>
              </w:r>
              <w:r>
                <w:rPr>
                  <w:rStyle w:val="47"/>
                  <w:rFonts w:ascii="宋体" w:hAnsi="宋体"/>
                  <w:b w:val="0"/>
                  <w:szCs w:val="21"/>
                </w:rPr>
                <w:fldChar w:fldCharType="begin"/>
              </w:r>
              <w:r>
                <w:rPr>
                  <w:rStyle w:val="47"/>
                  <w:rFonts w:ascii="宋体" w:hAnsi="宋体"/>
                  <w:b w:val="0"/>
                  <w:szCs w:val="21"/>
                </w:rPr>
                <w:instrText xml:space="preserve"> MACROBUTTON  SnrToggleCheckbox □不适用 </w:instrText>
              </w:r>
              <w:r>
                <w:rPr>
                  <w:rStyle w:val="47"/>
                  <w:rFonts w:ascii="宋体" w:hAnsi="宋体"/>
                  <w:b w:val="0"/>
                  <w:szCs w:val="21"/>
                </w:rPr>
                <w:fldChar w:fldCharType="end"/>
              </w:r>
            </w:p>
          </w:sdtContent>
        </w:sdt>
        <w:p>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865726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8657263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098"/>
            <w:gridCol w:w="2319"/>
            <w:gridCol w:w="2319"/>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56" w:hRule="atLeast"/>
              <w:jc w:val="center"/>
            </w:trPr>
            <w:sdt>
              <w:sdtPr>
                <w:rPr>
                  <w:rFonts w:ascii="Times New Roman" w:hAnsi="Times New Roman" w:cs="Times New Roman"/>
                </w:rPr>
                <w:tag w:val="_PLD_86798175e8274935b14c55657369624d"/>
                <w:id w:val="865726374"/>
                <w:lock w:val="sdtLocked"/>
              </w:sdtPr>
              <w:sdtEndPr>
                <w:rPr>
                  <w:rFonts w:ascii="Times New Roman" w:hAnsi="Times New Roman" w:cs="Times New Roman"/>
                </w:rPr>
              </w:sdtEndPr>
              <w:sdtContent>
                <w:tc>
                  <w:tcPr>
                    <w:tcW w:w="1158"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szCs w:val="21"/>
                      </w:rPr>
                      <w:t>补助项目</w:t>
                    </w:r>
                  </w:p>
                </w:tc>
              </w:sdtContent>
            </w:sdt>
            <w:sdt>
              <w:sdtPr>
                <w:rPr>
                  <w:rFonts w:ascii="Times New Roman" w:hAnsi="Times New Roman" w:cs="Times New Roman"/>
                </w:rPr>
                <w:tag w:val="_PLD_4aa15420d5c045e4a4982225afbb2ce5"/>
                <w:id w:val="865726375"/>
                <w:lock w:val="sdtLocked"/>
              </w:sdtPr>
              <w:sdtEndPr>
                <w:rPr>
                  <w:rFonts w:ascii="Times New Roman" w:hAnsi="Times New Roman" w:cs="Times New Roman"/>
                </w:rPr>
              </w:sdtEndPr>
              <w:sdtContent>
                <w:tc>
                  <w:tcPr>
                    <w:tcW w:w="1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本期发生金额</w:t>
                    </w:r>
                  </w:p>
                </w:tc>
              </w:sdtContent>
            </w:sdt>
            <w:sdt>
              <w:sdtPr>
                <w:rPr>
                  <w:rFonts w:ascii="Times New Roman" w:hAnsi="Times New Roman" w:cs="Times New Roman"/>
                </w:rPr>
                <w:tag w:val="_PLD_698f3be90de143b0ab21d08bd35dfea3"/>
                <w:id w:val="865726376"/>
                <w:lock w:val="sdtLocked"/>
              </w:sdtPr>
              <w:sdtEndPr>
                <w:rPr>
                  <w:rFonts w:ascii="Times New Roman" w:hAnsi="Times New Roman" w:cs="Times New Roman"/>
                </w:rPr>
              </w:sdtEndPr>
              <w:sdtContent>
                <w:tc>
                  <w:tcPr>
                    <w:tcW w:w="1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上期发生金额</w:t>
                    </w:r>
                  </w:p>
                </w:tc>
              </w:sdtContent>
            </w:sdt>
            <w:sdt>
              <w:sdtPr>
                <w:rPr>
                  <w:rFonts w:ascii="Times New Roman" w:hAnsi="Times New Roman" w:cs="Times New Roman"/>
                </w:rPr>
                <w:tag w:val="_PLD_1ccc55fac54348899e665549cfebd368"/>
                <w:id w:val="865726377"/>
                <w:lock w:val="sdtLocked"/>
              </w:sdtPr>
              <w:sdtEndPr>
                <w:rPr>
                  <w:rFonts w:ascii="Times New Roman" w:hAnsi="Times New Roman" w:cs="Times New Roman"/>
                </w:rPr>
              </w:sdtEndPr>
              <w:sdtContent>
                <w:tc>
                  <w:tcPr>
                    <w:tcW w:w="128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与资产相关</w:t>
                    </w:r>
                    <w:r>
                      <w:rPr>
                        <w:rFonts w:ascii="Times New Roman" w:hAnsi="Times New Roman" w:cs="Times New Roman"/>
                        <w:szCs w:val="21"/>
                      </w:rPr>
                      <w:t>/</w:t>
                    </w:r>
                    <w:r>
                      <w:rPr>
                        <w:rFonts w:ascii="Times New Roman" w:cs="Times New Roman"/>
                        <w:szCs w:val="21"/>
                      </w:rPr>
                      <w:t>与收益相关</w:t>
                    </w:r>
                  </w:p>
                </w:tc>
              </w:sdtContent>
            </w:sdt>
          </w:tr>
          <w:sdt>
            <w:sdtPr>
              <w:rPr>
                <w:rFonts w:ascii="Times New Roman" w:hAnsi="Times New Roman" w:cs="Times New Roman"/>
                <w:szCs w:val="21"/>
              </w:rPr>
              <w:alias w:val="计入当期损益的政府补助明细"/>
              <w:tag w:val="_TUP_a1482265863e4cccb3ef6f5ba7bda669"/>
              <w:id w:val="86572637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158"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rPr>
                      <w:t>各种企业奖励及发展补助</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403,200.02</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2,688,885.40</w:t>
                    </w:r>
                  </w:p>
                </w:tc>
                <w:tc>
                  <w:tcPr>
                    <w:tcW w:w="128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cs="Times New Roman"/>
                      </w:rPr>
                      <w:t>与收益相关</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158" w:type="pct"/>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Cs w:val="21"/>
                  </w:rPr>
                </w:pPr>
                <w:r>
                  <w:rPr>
                    <w:rFonts w:ascii="Times New Roman" w:cs="Times New Roman"/>
                    <w:szCs w:val="21"/>
                  </w:rPr>
                  <w:t>合计</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403,200.02</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2,688,885.40</w:t>
                </w:r>
              </w:p>
            </w:tc>
            <w:tc>
              <w:tcPr>
                <w:tcW w:w="128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bl>
        <w:p/>
        <w:p/>
      </w:sdtContent>
    </w:sdt>
    <w:sdt>
      <w:sdtPr>
        <w:rPr>
          <w:rFonts w:hint="eastAsia"/>
          <w:szCs w:val="21"/>
        </w:rPr>
        <w:alias w:val="模块:营业外收入说明"/>
        <w:tag w:val="_SEC_784c1ba1d166453d9ae358ccd8c78ff4"/>
        <w:id w:val="865726381"/>
        <w:lock w:val="sdtLocked"/>
        <w:placeholder>
          <w:docPart w:val="GBC22222222222222222222222222222"/>
        </w:placeholder>
      </w:sdtPr>
      <w:sdtEndPr>
        <w:rPr>
          <w:rFonts w:hint="eastAsia"/>
          <w:szCs w:val="21"/>
        </w:rPr>
      </w:sdtEndPr>
      <w:sdtContent>
        <w:p>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865726380"/>
            <w:lock w:val="sdtLocked"/>
            <w:placeholder>
              <w:docPart w:val="GBC22222222222222222222222222222"/>
            </w:placeholder>
          </w:sdtPr>
          <w:sdtEndPr>
            <w:rPr>
              <w:szCs w:val="21"/>
            </w:rPr>
          </w:sdtEndPr>
          <w:sdtContent>
            <w:p>
              <w:pPr>
                <w:spacing w:before="60" w:after="60"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宋体" w:hAnsi="宋体" w:cs="宋体"/>
          <w:b w:val="0"/>
          <w:bCs w:val="0"/>
          <w:kern w:val="0"/>
          <w:szCs w:val="21"/>
        </w:rPr>
        <w:alias w:val="模块:营业外支出"/>
        <w:tag w:val="_SEC_c9367abe549f4ea783abbf3c125e949f"/>
        <w:id w:val="865726399"/>
        <w:lock w:val="sdtLocked"/>
        <w:placeholder>
          <w:docPart w:val="GBC22222222222222222222222222222"/>
        </w:placeholder>
      </w:sdtPr>
      <w:sdtEndPr>
        <w:rPr>
          <w:rFonts w:hint="eastAsia" w:asciiTheme="minorHAnsi" w:hAnsiTheme="minorHAnsi" w:cstheme="minorBidi"/>
          <w:b w:val="0"/>
          <w:bCs w:val="0"/>
          <w:kern w:val="0"/>
          <w:szCs w:val="21"/>
        </w:rPr>
      </w:sdtEndPr>
      <w:sdtContent>
        <w:p>
          <w:pPr>
            <w:pStyle w:val="4"/>
            <w:numPr>
              <w:ilvl w:val="0"/>
              <w:numId w:val="79"/>
            </w:numPr>
            <w:tabs>
              <w:tab w:val="left" w:pos="504"/>
            </w:tabs>
            <w:rPr>
              <w:rFonts w:ascii="宋体" w:hAnsi="宋体"/>
              <w:szCs w:val="21"/>
            </w:rPr>
          </w:pPr>
          <w:r>
            <w:rPr>
              <w:rFonts w:hint="eastAsia" w:ascii="宋体" w:hAnsi="宋体"/>
              <w:szCs w:val="21"/>
            </w:rPr>
            <w:t>营业外支出</w:t>
          </w:r>
        </w:p>
        <w:sdt>
          <w:sdtPr>
            <w:rPr>
              <w:rFonts w:hint="eastAsia"/>
              <w:szCs w:val="21"/>
            </w:rPr>
            <w:alias w:val="是否适用：营业外支出[双击切换]"/>
            <w:tag w:val="_GBC_8e8d3e6e563742f48edf759d6034f4ce"/>
            <w:id w:val="865726382"/>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营业外支出"/>
              <w:tag w:val="_GBC_825ccc5a51fd47a4888bf19121bc88e6"/>
              <w:id w:val="865726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8657263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376"/>
            <w:gridCol w:w="2329"/>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3e5b39f95fae41609c103f36a1017c54"/>
                <w:id w:val="865726385"/>
                <w:lock w:val="sdtLocked"/>
              </w:sdtPr>
              <w:sdtEndPr>
                <w:rPr>
                  <w:rFonts w:ascii="Times New Roman" w:hAnsi="Times New Roman" w:cs="Times New Roman"/>
                </w:rPr>
              </w:sdtEndPr>
              <w:sdtContent>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9ea5703e0d9641a1acf20638053e3dd5"/>
                <w:id w:val="865726386"/>
                <w:lock w:val="sdtLocked"/>
              </w:sdtPr>
              <w:sdtEndPr>
                <w:rPr>
                  <w:rFonts w:ascii="Times New Roman" w:hAnsi="Times New Roman" w:cs="Times New Roman"/>
                </w:rPr>
              </w:sdtEndPr>
              <w:sdtContent>
                <w:tc>
                  <w:tcPr>
                    <w:tcW w:w="131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27cbc4bb29594bcfa61154a0d46b4d20"/>
                <w:id w:val="865726387"/>
                <w:lock w:val="sdtLocked"/>
              </w:sdtPr>
              <w:sdtEndPr>
                <w:rPr>
                  <w:rFonts w:ascii="Times New Roman" w:hAnsi="Times New Roman" w:cs="Times New Roman"/>
                </w:rPr>
              </w:sdtEndPr>
              <w:sdtContent>
                <w:tc>
                  <w:tcPr>
                    <w:tcW w:w="12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上期发生额</w:t>
                    </w:r>
                  </w:p>
                </w:tc>
              </w:sdtContent>
            </w:sdt>
            <w:sdt>
              <w:sdtPr>
                <w:rPr>
                  <w:rFonts w:ascii="Times New Roman" w:hAnsi="Times New Roman" w:cs="Times New Roman"/>
                </w:rPr>
                <w:tag w:val="_PLD_cab5bf568f924fed9d087fb26b588481"/>
                <w:id w:val="865726388"/>
                <w:lock w:val="sdtLocked"/>
              </w:sdtPr>
              <w:sdtEndPr>
                <w:rPr>
                  <w:rFonts w:ascii="Times New Roman" w:hAnsi="Times New Roman" w:cs="Times New Roman"/>
                </w:rPr>
              </w:sdtEnd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fa1137f80f424464b95a182d4e48d247"/>
                <w:id w:val="865726389"/>
                <w:lock w:val="sdtLocked"/>
              </w:sdtPr>
              <w:sdtEndPr>
                <w:rPr>
                  <w:rFonts w:ascii="Times New Roman" w:hAnsi="Times New Roman" w:cs="Times New Roman"/>
                </w:rPr>
              </w:sdtEndPr>
              <w:sdtContent>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非流动资产处置损失合计</w:t>
                    </w:r>
                  </w:p>
                </w:tc>
              </w:sdtContent>
            </w:sdt>
            <w:tc>
              <w:tcPr>
                <w:tcW w:w="131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128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128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042ec27aa0b45deb7d091b82164f45c"/>
                <w:id w:val="865726390"/>
                <w:lock w:val="sdtLocked"/>
              </w:sdtPr>
              <w:sdtEndPr>
                <w:rPr>
                  <w:rFonts w:ascii="Times New Roman" w:hAnsi="Times New Roman" w:cs="Times New Roman"/>
                </w:rPr>
              </w:sdtEndPr>
              <w:sdtContent>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其中：固定资产处置损失</w:t>
                    </w:r>
                  </w:p>
                </w:tc>
              </w:sdtContent>
            </w:sdt>
            <w:tc>
              <w:tcPr>
                <w:tcW w:w="131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128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c>
              <w:tcPr>
                <w:tcW w:w="128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6c4042207ee4588afa39cb729ee058e"/>
                <w:id w:val="865726391"/>
                <w:lock w:val="sdtLocked"/>
              </w:sdtPr>
              <w:sdtEndPr>
                <w:rPr>
                  <w:rFonts w:ascii="Times New Roman" w:hAnsi="Times New Roman" w:cs="Times New Roman"/>
                </w:rPr>
              </w:sdtEndPr>
              <w:sdtContent>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ind w:firstLine="630" w:firstLineChars="300"/>
                      <w:rPr>
                        <w:rFonts w:ascii="Times New Roman" w:hAnsi="Times New Roman" w:cs="Times New Roman"/>
                        <w:szCs w:val="21"/>
                      </w:rPr>
                    </w:pPr>
                    <w:r>
                      <w:rPr>
                        <w:rFonts w:ascii="Times New Roman" w:cs="Times New Roman"/>
                        <w:szCs w:val="21"/>
                      </w:rPr>
                      <w:t>无形资产处置损失</w:t>
                    </w:r>
                  </w:p>
                </w:tc>
              </w:sdtContent>
            </w:sdt>
            <w:tc>
              <w:tcPr>
                <w:tcW w:w="131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8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e977913c5e242ec93d414c55e3d4616"/>
                <w:id w:val="865726392"/>
                <w:lock w:val="sdtLocked"/>
              </w:sdtPr>
              <w:sdtEndPr>
                <w:rPr>
                  <w:rFonts w:ascii="Times New Roman" w:hAnsi="Times New Roman" w:cs="Times New Roman"/>
                </w:rPr>
              </w:sdtEndPr>
              <w:sdtContent>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非货币性资产交换损失</w:t>
                    </w:r>
                  </w:p>
                </w:tc>
              </w:sdtContent>
            </w:sdt>
            <w:tc>
              <w:tcPr>
                <w:tcW w:w="131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8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imes New Roman" w:hAnsi="Times New Roman" w:cs="Times New Roman"/>
                    <w:szCs w:val="21"/>
                  </w:rPr>
                </w:pPr>
              </w:p>
            </w:tc>
          </w:tr>
          <w:sdt>
            <w:sdtPr>
              <w:rPr>
                <w:rFonts w:ascii="Times New Roman" w:hAnsi="Times New Roman" w:cs="Times New Roman"/>
                <w:szCs w:val="21"/>
              </w:rPr>
              <w:alias w:val="营业外支出明细"/>
              <w:tag w:val="_TUP_bd09bb7bd32c41f2b26ca414c6e9418d"/>
              <w:id w:val="86572639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固定资产报废损失</w:t>
                    </w:r>
                  </w:p>
                </w:tc>
                <w:tc>
                  <w:tcPr>
                    <w:tcW w:w="131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382,027.87</w:t>
                    </w:r>
                  </w:p>
                </w:tc>
                <w:tc>
                  <w:tcPr>
                    <w:tcW w:w="128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60,246.95</w:t>
                    </w:r>
                  </w:p>
                </w:tc>
                <w:tc>
                  <w:tcPr>
                    <w:tcW w:w="1280"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382,027.87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e47fed3bcb1413ea1180de7d4fc5c85"/>
                <w:id w:val="865726394"/>
                <w:lock w:val="sdtLocked"/>
              </w:sdtPr>
              <w:sdtEndPr>
                <w:rPr>
                  <w:rFonts w:ascii="Times New Roman" w:hAnsi="Times New Roman" w:cs="Times New Roman"/>
                </w:rPr>
              </w:sdtEndPr>
              <w:sdtContent>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szCs w:val="21"/>
                      </w:rPr>
                      <w:t>对外捐赠</w:t>
                    </w:r>
                  </w:p>
                </w:tc>
              </w:sdtContent>
            </w:sdt>
            <w:tc>
              <w:tcPr>
                <w:tcW w:w="131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483,080.93</w:t>
                </w:r>
              </w:p>
            </w:tc>
            <w:tc>
              <w:tcPr>
                <w:tcW w:w="128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56,725.86</w:t>
                </w: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imes New Roman" w:hAnsi="Times New Roman" w:cs="Times New Roman"/>
                    <w:szCs w:val="21"/>
                  </w:rPr>
                </w:pPr>
                <w:r>
                  <w:rPr>
                    <w:rFonts w:ascii="Times New Roman" w:hAnsi="Times New Roman" w:cs="Times New Roman"/>
                  </w:rPr>
                  <w:t>483,080.93</w:t>
                </w:r>
              </w:p>
            </w:tc>
          </w:tr>
          <w:sdt>
            <w:sdtPr>
              <w:rPr>
                <w:rFonts w:ascii="Times New Roman" w:hAnsi="Times New Roman" w:cs="Times New Roman"/>
                <w:szCs w:val="21"/>
              </w:rPr>
              <w:alias w:val="营业外支出明细"/>
              <w:tag w:val="_TUP_bd09bb7bd32c41f2b26ca414c6e9418d"/>
              <w:id w:val="86572639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罚款及赔款支出</w:t>
                    </w:r>
                  </w:p>
                </w:tc>
                <w:tc>
                  <w:tcPr>
                    <w:tcW w:w="131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31,100.00</w:t>
                    </w:r>
                  </w:p>
                </w:tc>
                <w:tc>
                  <w:tcPr>
                    <w:tcW w:w="128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247,924.85</w:t>
                    </w:r>
                  </w:p>
                </w:tc>
                <w:tc>
                  <w:tcPr>
                    <w:tcW w:w="1280"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31,100.00</w:t>
                    </w:r>
                  </w:p>
                </w:tc>
              </w:tr>
            </w:sdtContent>
          </w:sdt>
          <w:sdt>
            <w:sdtPr>
              <w:rPr>
                <w:rFonts w:ascii="Times New Roman" w:hAnsi="Times New Roman" w:cs="Times New Roman"/>
                <w:szCs w:val="21"/>
              </w:rPr>
              <w:alias w:val="营业外支出明细"/>
              <w:tag w:val="_TUP_bd09bb7bd32c41f2b26ca414c6e9418d"/>
              <w:id w:val="86572639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rPr>
                      <w:t>其他</w:t>
                    </w:r>
                  </w:p>
                </w:tc>
                <w:tc>
                  <w:tcPr>
                    <w:tcW w:w="131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1,951,646.31</w:t>
                    </w:r>
                  </w:p>
                </w:tc>
                <w:tc>
                  <w:tcPr>
                    <w:tcW w:w="128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6,974,015.98</w:t>
                    </w:r>
                  </w:p>
                </w:tc>
                <w:tc>
                  <w:tcPr>
                    <w:tcW w:w="1280"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1,951,646.31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f10e235b598c4cba837dde9ff8f4cdba"/>
                <w:id w:val="865726397"/>
                <w:lock w:val="sdtLocked"/>
              </w:sdtPr>
              <w:sdtEndPr>
                <w:rPr>
                  <w:rFonts w:ascii="Times New Roman" w:hAnsi="Times New Roman" w:cs="Times New Roman"/>
                </w:rPr>
              </w:sdtEndPr>
              <w:sdtContent>
                <w:tc>
                  <w:tcPr>
                    <w:tcW w:w="1120" w:type="pct"/>
                    <w:tcBorders>
                      <w:top w:val="single" w:color="auto" w:sz="4" w:space="0"/>
                      <w:left w:val="single" w:color="auto" w:sz="4" w:space="0"/>
                      <w:bottom w:val="single" w:color="auto" w:sz="4" w:space="0"/>
                      <w:right w:val="single" w:color="auto" w:sz="4" w:space="0"/>
                    </w:tcBorders>
                  </w:tcPr>
                  <w:p>
                    <w:pPr>
                      <w:ind w:right="6"/>
                      <w:jc w:val="center"/>
                      <w:rPr>
                        <w:rFonts w:ascii="Times New Roman" w:hAnsi="Times New Roman" w:cs="Times New Roman"/>
                        <w:szCs w:val="21"/>
                      </w:rPr>
                    </w:pPr>
                    <w:r>
                      <w:rPr>
                        <w:rFonts w:ascii="Times New Roman" w:cs="Times New Roman"/>
                        <w:szCs w:val="21"/>
                      </w:rPr>
                      <w:t>合计</w:t>
                    </w:r>
                  </w:p>
                </w:tc>
              </w:sdtContent>
            </w:sdt>
            <w:tc>
              <w:tcPr>
                <w:tcW w:w="1313"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2,847,855.11</w:t>
                </w:r>
              </w:p>
            </w:tc>
            <w:tc>
              <w:tcPr>
                <w:tcW w:w="1287"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7,338,913.64</w:t>
                </w: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imes New Roman" w:hAnsi="Times New Roman" w:cs="Times New Roman"/>
                    <w:szCs w:val="21"/>
                  </w:rPr>
                </w:pPr>
                <w:r>
                  <w:rPr>
                    <w:rFonts w:ascii="Times New Roman" w:hAnsi="Times New Roman" w:cs="Times New Roman"/>
                  </w:rPr>
                  <w:t>2,847,855.11</w:t>
                </w:r>
              </w:p>
            </w:tc>
          </w:tr>
        </w:tbl>
        <w:p/>
        <w:p>
          <w:pPr>
            <w:rPr>
              <w:szCs w:val="21"/>
            </w:rPr>
          </w:pPr>
        </w:p>
      </w:sdtContent>
    </w:sdt>
    <w:p/>
    <w:sdt>
      <w:sdtPr>
        <w:rPr>
          <w:rFonts w:hint="eastAsia" w:ascii="宋体" w:hAnsi="宋体" w:cs="宋体"/>
          <w:b w:val="0"/>
          <w:bCs w:val="0"/>
          <w:kern w:val="0"/>
          <w:szCs w:val="21"/>
        </w:rPr>
        <w:alias w:val="模块:所得税费用"/>
        <w:tag w:val="_SEC_dedc71a0d12742a59ac6ee5cfbfa509f"/>
        <w:id w:val="865726428"/>
        <w:lock w:val="sdtLocked"/>
        <w:placeholder>
          <w:docPart w:val="GBC22222222222222222222222222222"/>
        </w:placeholder>
      </w:sdtPr>
      <w:sdtEndPr>
        <w:rPr>
          <w:rFonts w:hint="default" w:asciiTheme="minorHAnsi" w:hAnsiTheme="minorHAnsi" w:cstheme="minorBidi"/>
          <w:b w:val="0"/>
          <w:bCs w:val="0"/>
          <w:kern w:val="0"/>
          <w:szCs w:val="21"/>
        </w:rPr>
      </w:sdtEndPr>
      <w:sdtContent>
        <w:p>
          <w:pPr>
            <w:pStyle w:val="4"/>
            <w:numPr>
              <w:ilvl w:val="0"/>
              <w:numId w:val="79"/>
            </w:numPr>
            <w:tabs>
              <w:tab w:val="left" w:pos="504"/>
            </w:tabs>
            <w:rPr>
              <w:rFonts w:ascii="宋体" w:hAnsi="宋体"/>
              <w:szCs w:val="21"/>
            </w:rPr>
          </w:pPr>
          <w:r>
            <w:rPr>
              <w:rFonts w:hint="eastAsia" w:ascii="宋体" w:hAnsi="宋体"/>
              <w:szCs w:val="21"/>
            </w:rPr>
            <w:t>所得税费用</w:t>
          </w:r>
        </w:p>
        <w:p>
          <w:pPr>
            <w:pStyle w:val="5"/>
            <w:numPr>
              <w:ilvl w:val="0"/>
              <w:numId w:val="111"/>
            </w:numPr>
            <w:ind w:left="426" w:hanging="426"/>
          </w:pPr>
          <w:r>
            <w:rPr>
              <w:rFonts w:hint="eastAsia"/>
            </w:rPr>
            <w:t>所得税费用表</w:t>
          </w:r>
        </w:p>
        <w:sdt>
          <w:sdtPr>
            <w:alias w:val="是否适用：所得税费用表[双击切换]"/>
            <w:tag w:val="_GBC_3ea18046339d457a8712506679035498"/>
            <w:id w:val="86572640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8657264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657264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14"/>
            <w:gridCol w:w="2931"/>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79" w:hRule="atLeast"/>
            </w:trPr>
            <w:sdt>
              <w:sdtPr>
                <w:rPr>
                  <w:rFonts w:ascii="Times New Roman" w:hAnsi="Times New Roman" w:cs="Times New Roman"/>
                </w:rPr>
                <w:tag w:val="_PLD_e0d72a7f55e04c898352587240ce636b"/>
                <w:id w:val="865726403"/>
                <w:lock w:val="sdtLocked"/>
              </w:sdtPr>
              <w:sdtEndPr>
                <w:rPr>
                  <w:rFonts w:ascii="Times New Roman" w:hAnsi="Times New Roman" w:cs="Times New Roman"/>
                </w:rPr>
              </w:sdtEndPr>
              <w:sdtContent>
                <w:tc>
                  <w:tcPr>
                    <w:tcW w:w="1774" w:type="pct"/>
                    <w:vAlign w:val="center"/>
                  </w:tcPr>
                  <w:p>
                    <w:pPr>
                      <w:ind w:right="6"/>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e2b12491de324856a6b2f7034aa875da"/>
                <w:id w:val="865726404"/>
                <w:lock w:val="sdtLocked"/>
              </w:sdtPr>
              <w:sdtEndPr>
                <w:rPr>
                  <w:rFonts w:ascii="Times New Roman" w:hAnsi="Times New Roman" w:cs="Times New Roman"/>
                </w:rPr>
              </w:sdtEndPr>
              <w:sdtContent>
                <w:tc>
                  <w:tcPr>
                    <w:tcW w:w="1618" w:type="pct"/>
                    <w:vAlign w:val="center"/>
                  </w:tcPr>
                  <w:p>
                    <w:pPr>
                      <w:ind w:right="6"/>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4b2515977b8d462088eb538637703bf1"/>
                <w:id w:val="865726405"/>
                <w:lock w:val="sdtLocked"/>
              </w:sdtPr>
              <w:sdtEndPr>
                <w:rPr>
                  <w:rFonts w:ascii="Times New Roman" w:hAnsi="Times New Roman" w:cs="Times New Roman"/>
                </w:rPr>
              </w:sdtEndPr>
              <w:sdtContent>
                <w:tc>
                  <w:tcPr>
                    <w:tcW w:w="1608" w:type="pct"/>
                    <w:vAlign w:val="center"/>
                  </w:tcPr>
                  <w:p>
                    <w:pPr>
                      <w:ind w:right="6"/>
                      <w:jc w:val="center"/>
                      <w:rPr>
                        <w:rFonts w:ascii="Times New Roman" w:hAnsi="Times New Roman" w:cs="Times New Roman"/>
                        <w:szCs w:val="21"/>
                      </w:rPr>
                    </w:pPr>
                    <w:r>
                      <w:rPr>
                        <w:rFonts w:ascii="Times New Roman" w:cs="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eb618de0537148aeb9864c6338e1cc40"/>
                <w:id w:val="865726406"/>
                <w:lock w:val="sdtLocked"/>
              </w:sdtPr>
              <w:sdtEndPr>
                <w:rPr>
                  <w:rFonts w:ascii="Times New Roman" w:hAnsi="Times New Roman" w:cs="Times New Roman"/>
                </w:rPr>
              </w:sdtEndPr>
              <w:sdtContent>
                <w:tc>
                  <w:tcPr>
                    <w:tcW w:w="1774" w:type="pct"/>
                  </w:tcPr>
                  <w:p>
                    <w:pPr>
                      <w:ind w:right="6"/>
                      <w:rPr>
                        <w:rFonts w:ascii="Times New Roman" w:hAnsi="Times New Roman" w:cs="Times New Roman"/>
                        <w:b/>
                        <w:bCs/>
                        <w:szCs w:val="21"/>
                      </w:rPr>
                    </w:pPr>
                    <w:r>
                      <w:rPr>
                        <w:rFonts w:ascii="Times New Roman" w:cs="Times New Roman"/>
                        <w:szCs w:val="21"/>
                      </w:rPr>
                      <w:t>当期所得税费用</w:t>
                    </w:r>
                  </w:p>
                </w:tc>
              </w:sdtContent>
            </w:sdt>
            <w:tc>
              <w:tcPr>
                <w:tcW w:w="1618" w:type="pct"/>
                <w:vAlign w:val="center"/>
              </w:tcPr>
              <w:p>
                <w:pPr>
                  <w:jc w:val="right"/>
                  <w:rPr>
                    <w:rFonts w:ascii="Times New Roman" w:hAnsi="Times New Roman" w:cs="Times New Roman"/>
                    <w:sz w:val="24"/>
                  </w:rPr>
                </w:pPr>
                <w:r>
                  <w:rPr>
                    <w:rFonts w:ascii="Times New Roman" w:hAnsi="Times New Roman" w:cs="Times New Roman"/>
                  </w:rPr>
                  <w:t>3,931,011.90</w:t>
                </w:r>
              </w:p>
            </w:tc>
            <w:tc>
              <w:tcPr>
                <w:tcW w:w="1608" w:type="pct"/>
                <w:vAlign w:val="center"/>
              </w:tcPr>
              <w:p>
                <w:pPr>
                  <w:jc w:val="right"/>
                  <w:rPr>
                    <w:rFonts w:ascii="Times New Roman" w:hAnsi="Times New Roman" w:cs="Times New Roman"/>
                    <w:sz w:val="24"/>
                  </w:rPr>
                </w:pPr>
                <w:r>
                  <w:rPr>
                    <w:rFonts w:ascii="Times New Roman" w:hAnsi="Times New Roman" w:cs="Times New Roman"/>
                  </w:rPr>
                  <w:t>4,983,719.92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41728eb82b7b4c598f50b1463edd74e5"/>
                <w:id w:val="865726407"/>
                <w:lock w:val="sdtLocked"/>
              </w:sdtPr>
              <w:sdtEndPr>
                <w:rPr>
                  <w:rFonts w:ascii="Times New Roman" w:hAnsi="Times New Roman" w:cs="Times New Roman"/>
                </w:rPr>
              </w:sdtEndPr>
              <w:sdtContent>
                <w:tc>
                  <w:tcPr>
                    <w:tcW w:w="1774" w:type="pct"/>
                  </w:tcPr>
                  <w:p>
                    <w:pPr>
                      <w:ind w:right="6"/>
                      <w:rPr>
                        <w:rFonts w:ascii="Times New Roman" w:hAnsi="Times New Roman" w:cs="Times New Roman"/>
                        <w:szCs w:val="21"/>
                      </w:rPr>
                    </w:pPr>
                    <w:r>
                      <w:rPr>
                        <w:rFonts w:ascii="Times New Roman" w:cs="Times New Roman"/>
                        <w:szCs w:val="21"/>
                      </w:rPr>
                      <w:t>递延所得税费用</w:t>
                    </w:r>
                  </w:p>
                </w:tc>
              </w:sdtContent>
            </w:sdt>
            <w:tc>
              <w:tcPr>
                <w:tcW w:w="1618" w:type="pct"/>
                <w:vAlign w:val="center"/>
              </w:tcPr>
              <w:p>
                <w:pPr>
                  <w:jc w:val="right"/>
                  <w:rPr>
                    <w:rFonts w:ascii="Times New Roman" w:hAnsi="Times New Roman" w:cs="Times New Roman"/>
                    <w:sz w:val="24"/>
                  </w:rPr>
                </w:pPr>
                <w:r>
                  <w:rPr>
                    <w:rFonts w:ascii="Times New Roman" w:hAnsi="Times New Roman" w:cs="Times New Roman"/>
                  </w:rPr>
                  <w:t>-7,273,103.28</w:t>
                </w:r>
              </w:p>
            </w:tc>
            <w:tc>
              <w:tcPr>
                <w:tcW w:w="1608" w:type="pct"/>
                <w:vAlign w:val="center"/>
              </w:tcPr>
              <w:p>
                <w:pPr>
                  <w:jc w:val="right"/>
                  <w:rPr>
                    <w:rFonts w:ascii="Times New Roman" w:hAnsi="Times New Roman" w:cs="Times New Roman"/>
                    <w:sz w:val="24"/>
                  </w:rPr>
                </w:pPr>
                <w:r>
                  <w:rPr>
                    <w:rFonts w:ascii="Times New Roman" w:hAnsi="Times New Roman" w:cs="Times New Roman"/>
                  </w:rPr>
                  <w:t>8,119,382.23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b68ddca7a6004bd4964d19fff997989b"/>
                <w:id w:val="865726410"/>
                <w:lock w:val="sdtLocked"/>
              </w:sdtPr>
              <w:sdtEndPr>
                <w:rPr>
                  <w:rFonts w:ascii="Times New Roman" w:hAnsi="Times New Roman" w:cs="Times New Roman"/>
                </w:rPr>
              </w:sdtEndPr>
              <w:sdtContent>
                <w:tc>
                  <w:tcPr>
                    <w:tcW w:w="1774" w:type="pct"/>
                  </w:tcPr>
                  <w:p>
                    <w:pPr>
                      <w:ind w:right="6"/>
                      <w:jc w:val="center"/>
                      <w:rPr>
                        <w:rFonts w:ascii="Times New Roman" w:hAnsi="Times New Roman" w:cs="Times New Roman"/>
                        <w:szCs w:val="21"/>
                      </w:rPr>
                    </w:pPr>
                    <w:r>
                      <w:rPr>
                        <w:rFonts w:ascii="Times New Roman" w:cs="Times New Roman"/>
                        <w:szCs w:val="21"/>
                      </w:rPr>
                      <w:t>合计</w:t>
                    </w:r>
                  </w:p>
                </w:tc>
              </w:sdtContent>
            </w:sdt>
            <w:tc>
              <w:tcPr>
                <w:tcW w:w="1618" w:type="pct"/>
                <w:vAlign w:val="center"/>
              </w:tcPr>
              <w:p>
                <w:pPr>
                  <w:jc w:val="right"/>
                  <w:rPr>
                    <w:rFonts w:ascii="Times New Roman" w:hAnsi="Times New Roman" w:cs="Times New Roman"/>
                    <w:sz w:val="24"/>
                  </w:rPr>
                </w:pPr>
                <w:r>
                  <w:rPr>
                    <w:rFonts w:ascii="Times New Roman" w:hAnsi="Times New Roman" w:cs="Times New Roman"/>
                  </w:rPr>
                  <w:t>-3,342,091.38</w:t>
                </w:r>
              </w:p>
            </w:tc>
            <w:tc>
              <w:tcPr>
                <w:tcW w:w="1608" w:type="pct"/>
                <w:vAlign w:val="center"/>
              </w:tcPr>
              <w:p>
                <w:pPr>
                  <w:jc w:val="right"/>
                  <w:rPr>
                    <w:rFonts w:ascii="Times New Roman" w:hAnsi="Times New Roman" w:cs="Times New Roman"/>
                    <w:sz w:val="24"/>
                  </w:rPr>
                </w:pPr>
                <w:r>
                  <w:rPr>
                    <w:rFonts w:ascii="Times New Roman" w:hAnsi="Times New Roman" w:cs="Times New Roman"/>
                  </w:rPr>
                  <w:t>13,103,102.15</w:t>
                </w:r>
              </w:p>
            </w:tc>
          </w:tr>
        </w:tbl>
        <w:p>
          <w:pPr>
            <w:rPr>
              <w:szCs w:val="21"/>
            </w:rPr>
          </w:pPr>
        </w:p>
        <w:p>
          <w:pPr>
            <w:pStyle w:val="5"/>
            <w:numPr>
              <w:ilvl w:val="0"/>
              <w:numId w:val="111"/>
            </w:numPr>
            <w:ind w:left="426" w:hanging="426"/>
          </w:pPr>
          <w:r>
            <w:rPr>
              <w:rFonts w:hint="eastAsia"/>
            </w:rPr>
            <w:t>会计利润与所得税费用调整过程</w:t>
          </w:r>
        </w:p>
        <w:sdt>
          <w:sdtPr>
            <w:alias w:val="是否适用：会计利润与所得税费用调整过程[双击切换]"/>
            <w:tag w:val="_GBC_add00d323e2049ad8bc932f632966661"/>
            <w:id w:val="86572641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会计利润与所得税费用调整过程"/>
              <w:tag w:val="_GBC_10825cb9bb5e445c9210ee34dc80406a"/>
              <w:id w:val="865726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8657264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4381"/>
            <w:gridCol w:w="46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Times New Roman" w:hAnsi="Times New Roman" w:cs="Times New Roman"/>
                </w:rPr>
                <w:tag w:val="_PLD_1123621c9879400694da9a8842888e14"/>
                <w:id w:val="865726414"/>
                <w:lock w:val="sdtLocked"/>
              </w:sdtPr>
              <w:sdtEndPr>
                <w:rPr>
                  <w:rFonts w:ascii="Times New Roman" w:hAnsi="Times New Roman" w:cs="Times New Roman"/>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rPr>
                    </w:pPr>
                    <w:r>
                      <w:rPr>
                        <w:rFonts w:ascii="Times New Roman" w:cs="Times New Roman"/>
                      </w:rPr>
                      <w:t>项目</w:t>
                    </w:r>
                  </w:p>
                </w:tc>
              </w:sdtContent>
            </w:sdt>
            <w:sdt>
              <w:sdtPr>
                <w:rPr>
                  <w:rFonts w:ascii="Times New Roman" w:hAnsi="Times New Roman" w:cs="Times New Roman"/>
                </w:rPr>
                <w:tag w:val="_PLD_4a270148a32846b69754961e55c75a04"/>
                <w:id w:val="865726415"/>
                <w:lock w:val="sdtLocked"/>
              </w:sdtPr>
              <w:sdtEndPr>
                <w:rPr>
                  <w:rFonts w:ascii="Times New Roman" w:hAnsi="Times New Roman" w:cs="Times New Roman"/>
                </w:rPr>
              </w:sdtEndPr>
              <w:sdtContent>
                <w:tc>
                  <w:tcPr>
                    <w:tcW w:w="2581"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rPr>
                    </w:pPr>
                    <w:r>
                      <w:rPr>
                        <w:rFonts w:ascii="Times New Roman" w:cs="Times New Roman"/>
                      </w:rPr>
                      <w:t>本期发生额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Times New Roman" w:hAnsi="Times New Roman" w:cs="Times New Roman"/>
                </w:rPr>
                <w:tag w:val="_PLD_fe27eedc229b486899ed547c51d37917"/>
                <w:id w:val="865726416"/>
                <w:lock w:val="sdtLocked"/>
              </w:sdtPr>
              <w:sdtEndPr>
                <w:rPr>
                  <w:rFonts w:ascii="Times New Roman" w:hAnsi="Times New Roman" w:cs="Times New Roman"/>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imes New Roman" w:hAnsi="Times New Roman" w:cs="Times New Roman"/>
                        <w:b/>
                        <w:bCs/>
                        <w:szCs w:val="21"/>
                      </w:rPr>
                    </w:pPr>
                    <w:r>
                      <w:rPr>
                        <w:rFonts w:ascii="Times New Roman" w:cs="Times New Roman"/>
                        <w:szCs w:val="21"/>
                      </w:rPr>
                      <w:t>利润总额</w:t>
                    </w:r>
                  </w:p>
                </w:tc>
              </w:sdtContent>
            </w:sdt>
            <w:tc>
              <w:tcPr>
                <w:tcW w:w="2581" w:type="pct"/>
                <w:tcBorders>
                  <w:top w:val="single" w:color="auto" w:sz="4" w:space="0"/>
                  <w:left w:val="single" w:color="auto" w:sz="4" w:space="0"/>
                  <w:bottom w:val="single" w:color="auto" w:sz="6" w:space="0"/>
                  <w:right w:val="single" w:color="auto" w:sz="6"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5,925,024.90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Times New Roman" w:hAnsi="Times New Roman" w:cs="Times New Roman"/>
                </w:rPr>
                <w:tag w:val="_PLD_f7ffc0c7ca9b497d8dc0dce5bf0eda9a"/>
                <w:id w:val="865726417"/>
                <w:lock w:val="sdtLocked"/>
              </w:sdtPr>
              <w:sdtEndPr>
                <w:rPr>
                  <w:rFonts w:ascii="Times New Roman" w:hAnsi="Times New Roman" w:cs="Times New Roman"/>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imes New Roman" w:hAnsi="Times New Roman" w:cs="Times New Roman"/>
                      </w:rPr>
                    </w:pPr>
                    <w:r>
                      <w:rPr>
                        <w:rFonts w:ascii="Times New Roman" w:cs="Times New Roman"/>
                      </w:rPr>
                      <w:t>按法定</w:t>
                    </w:r>
                    <w:r>
                      <w:rPr>
                        <w:rFonts w:ascii="Times New Roman" w:hAnsi="Times New Roman" w:cs="Times New Roman"/>
                      </w:rPr>
                      <w:t>/</w:t>
                    </w:r>
                    <w:r>
                      <w:rPr>
                        <w:rFonts w:ascii="Times New Roman" w:cs="Times New Roman"/>
                      </w:rPr>
                      <w:t>适用税率计算的所得税费用</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1,481,256.24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rPr>
              <w:trHeight w:val="139" w:hRule="atLeast"/>
            </w:trPr>
            <w:sdt>
              <w:sdtPr>
                <w:rPr>
                  <w:rFonts w:ascii="Times New Roman" w:hAnsi="Times New Roman" w:cs="Times New Roman"/>
                </w:rPr>
                <w:tag w:val="_PLD_9df18bdcd694449695ac6d0f65c229b7"/>
                <w:id w:val="865726418"/>
                <w:lock w:val="sdtLocked"/>
              </w:sdtPr>
              <w:sdtEndPr>
                <w:rPr>
                  <w:rFonts w:ascii="Times New Roman" w:hAnsi="Times New Roman" w:cs="Times New Roman"/>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imes New Roman" w:hAnsi="Times New Roman" w:cs="Times New Roman"/>
                      </w:rPr>
                    </w:pPr>
                    <w:r>
                      <w:rPr>
                        <w:rFonts w:ascii="Times New Roman" w:cs="Times New Roman"/>
                      </w:rPr>
                      <w:t>子公司适用不同税率的影响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240,801.75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Times New Roman" w:hAnsi="Times New Roman" w:cs="Times New Roman"/>
                </w:rPr>
                <w:tag w:val="_PLD_3265a7f97078414e8992682ae705b8ae"/>
                <w:id w:val="865726419"/>
                <w:lock w:val="sdtLocked"/>
              </w:sdtPr>
              <w:sdtEndPr>
                <w:rPr>
                  <w:rFonts w:ascii="Times New Roman" w:hAnsi="Times New Roman" w:cs="Times New Roman"/>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imes New Roman" w:hAnsi="Times New Roman" w:cs="Times New Roman"/>
                      </w:rPr>
                    </w:pPr>
                    <w:r>
                      <w:rPr>
                        <w:rFonts w:ascii="Times New Roman" w:cs="Times New Roman"/>
                      </w:rPr>
                      <w:t>调整以前期间所得税的影响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50,468.50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Times New Roman" w:hAnsi="Times New Roman" w:cs="Times New Roman"/>
                </w:rPr>
                <w:tag w:val="_PLD_d221a1750972424fa59e109036c4105d"/>
                <w:id w:val="865726420"/>
                <w:lock w:val="sdtLocked"/>
              </w:sdtPr>
              <w:sdtEndPr>
                <w:rPr>
                  <w:rFonts w:ascii="Times New Roman" w:hAnsi="Times New Roman" w:cs="Times New Roman"/>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imes New Roman" w:hAnsi="Times New Roman" w:cs="Times New Roman"/>
                      </w:rPr>
                    </w:pPr>
                    <w:r>
                      <w:rPr>
                        <w:rFonts w:ascii="Times New Roman" w:cs="Times New Roman"/>
                      </w:rPr>
                      <w:t>非应税收入的影响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-4,660,825.75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Times New Roman" w:hAnsi="Times New Roman" w:cs="Times New Roman"/>
                </w:rPr>
                <w:tag w:val="_PLD_b267521bfe9246aa95e35e3cebc4a1f8"/>
                <w:id w:val="865726421"/>
                <w:lock w:val="sdtLocked"/>
              </w:sdtPr>
              <w:sdtEndPr>
                <w:rPr>
                  <w:rFonts w:ascii="Times New Roman" w:hAnsi="Times New Roman" w:cs="Times New Roman"/>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imes New Roman" w:hAnsi="Times New Roman" w:cs="Times New Roman"/>
                      </w:rPr>
                    </w:pPr>
                    <w:r>
                      <w:rPr>
                        <w:rFonts w:ascii="Times New Roman" w:cs="Times New Roman"/>
                      </w:rPr>
                      <w:t>不可抵扣的成本、费用和损失的影响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2,937,235.61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Times New Roman" w:hAnsi="Times New Roman" w:cs="Times New Roman"/>
                </w:rPr>
                <w:tag w:val="_PLD_e3ea20a1997a4604af76b7db091e8702"/>
                <w:id w:val="865726422"/>
                <w:lock w:val="sdtLocked"/>
              </w:sdtPr>
              <w:sdtEndPr>
                <w:rPr>
                  <w:rFonts w:ascii="Times New Roman" w:hAnsi="Times New Roman" w:cs="Times New Roman"/>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imes New Roman" w:hAnsi="Times New Roman" w:cs="Times New Roman"/>
                      </w:rPr>
                    </w:pPr>
                    <w:r>
                      <w:rPr>
                        <w:rFonts w:ascii="Times New Roman" w:cs="Times New Roman"/>
                      </w:rPr>
                      <w:t>使用前期未确认递延所得税资产的可抵扣亏损的影响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-794,432.44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Times New Roman" w:hAnsi="Times New Roman" w:cs="Times New Roman"/>
                </w:rPr>
                <w:tag w:val="_PLD_8401811b11b54235be79955ebe812995"/>
                <w:id w:val="865726423"/>
                <w:lock w:val="sdtLocked"/>
              </w:sdtPr>
              <w:sdtEndPr>
                <w:rPr>
                  <w:rFonts w:ascii="Times New Roman" w:hAnsi="Times New Roman" w:cs="Times New Roman"/>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imes New Roman" w:hAnsi="Times New Roman" w:cs="Times New Roman"/>
                      </w:rPr>
                    </w:pPr>
                    <w:r>
                      <w:rPr>
                        <w:rFonts w:ascii="Times New Roman" w:cs="Times New Roman"/>
                      </w:rPr>
                      <w:t>本期未确认递延所得税资产的可抵扣暂时性差异或可抵扣亏损的影响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-2,596,595.29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Times New Roman" w:hAnsi="Times New Roman" w:cs="Times New Roman"/>
                </w:rPr>
                <w:tag w:val="_PLD_0d947a5f645f44d7ade144f76e03c99e"/>
                <w:id w:val="865726426"/>
                <w:lock w:val="sdtLocked"/>
              </w:sdtPr>
              <w:sdtEndPr>
                <w:rPr>
                  <w:rFonts w:ascii="Times New Roman" w:hAnsi="Times New Roman" w:cs="Times New Roman"/>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所得税费用</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vAlign w:val="center"/>
              </w:tcPr>
              <w:p>
                <w:pPr>
                  <w:jc w:val="right"/>
                  <w:rPr>
                    <w:rFonts w:ascii="Times New Roman" w:hAnsi="Times New Roman" w:cs="Times New Roman"/>
                  </w:rPr>
                </w:pPr>
                <w:r>
                  <w:rPr>
                    <w:rFonts w:ascii="Times New Roman" w:hAnsi="Times New Roman" w:cs="Times New Roman"/>
                  </w:rPr>
                  <w:t>-3,342,091.38</w:t>
                </w:r>
              </w:p>
            </w:tc>
          </w:tr>
        </w:tbl>
        <w:p>
          <w:pPr>
            <w:rPr>
              <w:szCs w:val="21"/>
            </w:rPr>
          </w:pPr>
        </w:p>
        <w:p>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865726427"/>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b/>
        </w:rPr>
      </w:pPr>
    </w:p>
    <w:sdt>
      <w:sdtPr>
        <w:rPr>
          <w:rFonts w:hint="eastAsia" w:ascii="宋体" w:hAnsi="宋体" w:cs="宋体"/>
          <w:b w:val="0"/>
          <w:bCs w:val="0"/>
          <w:kern w:val="0"/>
          <w:szCs w:val="21"/>
        </w:rPr>
        <w:alias w:val="模块:其他综合收益"/>
        <w:tag w:val="_SEC_abcda0c67180436c970991051af2777d"/>
        <w:id w:val="865726430"/>
        <w:lock w:val="sdtLocked"/>
        <w:placeholder>
          <w:docPart w:val="GBC22222222222222222222222222222"/>
        </w:placeholder>
      </w:sdtPr>
      <w:sdtEndPr>
        <w:rPr>
          <w:rFonts w:hint="eastAsia" w:cs="宋体" w:asciiTheme="minorHAnsi" w:hAnsiTheme="minorHAnsi" w:eastAsiaTheme="minorEastAsia"/>
          <w:b w:val="0"/>
          <w:bCs w:val="0"/>
          <w:kern w:val="0"/>
          <w:szCs w:val="21"/>
        </w:rPr>
      </w:sdtEndPr>
      <w:sdtContent>
        <w:p>
          <w:pPr>
            <w:pStyle w:val="4"/>
            <w:numPr>
              <w:ilvl w:val="0"/>
              <w:numId w:val="79"/>
            </w:numPr>
            <w:tabs>
              <w:tab w:val="left" w:pos="504"/>
            </w:tabs>
            <w:rPr>
              <w:rFonts w:ascii="宋体" w:hAnsi="宋体"/>
              <w:szCs w:val="21"/>
            </w:rPr>
          </w:pPr>
          <w:r>
            <w:rPr>
              <w:rFonts w:hint="eastAsia" w:ascii="宋体" w:hAnsi="宋体"/>
              <w:szCs w:val="21"/>
            </w:rPr>
            <w:t>其他综合收益</w:t>
          </w:r>
        </w:p>
        <w:sdt>
          <w:sdtPr>
            <w:alias w:val="是否适用：其他综合收益说明[双击切换]"/>
            <w:tag w:val="_GBC_055e86e99cd742699e3e89a438a26b74"/>
            <w:id w:val="86572642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4"/>
        <w:numPr>
          <w:ilvl w:val="0"/>
          <w:numId w:val="79"/>
        </w:numPr>
        <w:tabs>
          <w:tab w:val="left" w:pos="504"/>
        </w:tabs>
        <w:rPr>
          <w:rFonts w:ascii="宋体" w:hAnsi="宋体"/>
          <w:szCs w:val="21"/>
        </w:rPr>
      </w:pPr>
      <w:r>
        <w:rPr>
          <w:rFonts w:hint="eastAsia" w:ascii="宋体" w:hAnsi="宋体"/>
          <w:szCs w:val="21"/>
        </w:rPr>
        <w:t>现金流量表项目</w:t>
      </w:r>
    </w:p>
    <w:sdt>
      <w:sdtPr>
        <w:rPr>
          <w:rFonts w:hint="eastAsia" w:ascii="Calibri" w:hAnsi="Calibri" w:eastAsia="宋体" w:cs="宋体"/>
          <w:b w:val="0"/>
          <w:bCs w:val="0"/>
          <w:kern w:val="0"/>
          <w:sz w:val="24"/>
          <w:szCs w:val="24"/>
        </w:rPr>
        <w:alias w:val="模块:收到的其他与经营活动有关的现金"/>
        <w:tag w:val="_SEC_db9c62b020ec4e9ea32fddcc998663ec"/>
        <w:id w:val="865726444"/>
        <w:lock w:val="sdtLocked"/>
        <w:placeholder>
          <w:docPart w:val="GBC22222222222222222222222222222"/>
        </w:placeholder>
      </w:sdtPr>
      <w:sdtEndPr>
        <w:rPr>
          <w:rFonts w:hint="default" w:eastAsia="宋体" w:asciiTheme="minorHAnsi" w:hAnsiTheme="minorHAnsi" w:cstheme="minorBidi"/>
          <w:b w:val="0"/>
          <w:bCs w:val="0"/>
          <w:kern w:val="2"/>
          <w:sz w:val="21"/>
          <w:szCs w:val="21"/>
        </w:rPr>
      </w:sdtEndPr>
      <w:sdtContent>
        <w:p>
          <w:pPr>
            <w:pStyle w:val="5"/>
            <w:numPr>
              <w:ilvl w:val="0"/>
              <w:numId w:val="112"/>
            </w:numPr>
            <w:ind w:left="426" w:hanging="426"/>
          </w:pPr>
          <w:r>
            <w:rPr>
              <w:rFonts w:hint="eastAsia"/>
            </w:rPr>
            <w:t>收到的其他与经营活动有关的现金</w:t>
          </w:r>
        </w:p>
        <w:sdt>
          <w:sdtPr>
            <w:alias w:val="是否适用：收到的其他与经营活动有关的现金[双击切换]"/>
            <w:tag w:val="_GBC_27345010807c4445aa9d99ce1518a33b"/>
            <w:id w:val="86572643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865726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65726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30"/>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f7a5d7090c5c4e2b95d9e6f0ea383580"/>
                <w:id w:val="865726434"/>
                <w:lock w:val="sdtLocked"/>
              </w:sdtPr>
              <w:sdtEndPr>
                <w:rPr>
                  <w:rFonts w:ascii="Times New Roman" w:hAnsi="Times New Roman" w:cs="Times New Roman"/>
                </w:rPr>
              </w:sdtEndPr>
              <w:sdtContent>
                <w:tc>
                  <w:tcPr>
                    <w:tcW w:w="1882" w:type="pct"/>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6a2d5fc680f64ea980912395fdf43d18"/>
                <w:id w:val="865726435"/>
                <w:lock w:val="sdtLocked"/>
              </w:sdtPr>
              <w:sdtEndPr>
                <w:rPr>
                  <w:rFonts w:ascii="Times New Roman" w:hAnsi="Times New Roman" w:cs="Times New Roman"/>
                </w:rPr>
              </w:sdtEndPr>
              <w:sdtContent>
                <w:tc>
                  <w:tcPr>
                    <w:tcW w:w="1562" w:type="pct"/>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rPr>
                      <w:t>本期发生额</w:t>
                    </w:r>
                  </w:p>
                </w:tc>
              </w:sdtContent>
            </w:sdt>
            <w:sdt>
              <w:sdtPr>
                <w:rPr>
                  <w:rFonts w:ascii="Times New Roman" w:hAnsi="Times New Roman" w:cs="Times New Roman"/>
                </w:rPr>
                <w:tag w:val="_PLD_4c33d44ff7254e8994d6dacbfee10de3"/>
                <w:id w:val="865726436"/>
                <w:lock w:val="sdtLocked"/>
              </w:sdtPr>
              <w:sdtEndPr>
                <w:rPr>
                  <w:rFonts w:ascii="Times New Roman" w:hAnsi="Times New Roman" w:cs="Times New Roman"/>
                </w:rPr>
              </w:sdtEndPr>
              <w:sdtContent>
                <w:tc>
                  <w:tcPr>
                    <w:tcW w:w="1556" w:type="pct"/>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rPr>
                      <w:t>上期发生额</w:t>
                    </w:r>
                  </w:p>
                </w:tc>
              </w:sdtContent>
            </w:sdt>
          </w:tr>
          <w:sdt>
            <w:sdtPr>
              <w:rPr>
                <w:rFonts w:ascii="Times New Roman" w:hAnsi="Times New Roman" w:cs="Times New Roman"/>
                <w:szCs w:val="21"/>
              </w:rPr>
              <w:alias w:val="收到的其他与经营活动有关的现金明细"/>
              <w:tag w:val="_TUP_ca9171e54df6430e9436143874401ecc"/>
              <w:id w:val="86572643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收到的政府补助</w:t>
                    </w:r>
                  </w:p>
                </w:tc>
                <w:tc>
                  <w:tcPr>
                    <w:tcW w:w="1562" w:type="pct"/>
                    <w:vAlign w:val="center"/>
                  </w:tcPr>
                  <w:p>
                    <w:pPr>
                      <w:jc w:val="right"/>
                      <w:rPr>
                        <w:rFonts w:ascii="Times New Roman" w:hAnsi="Times New Roman" w:cs="Times New Roman"/>
                        <w:szCs w:val="21"/>
                      </w:rPr>
                    </w:pPr>
                    <w:r>
                      <w:rPr>
                        <w:rFonts w:ascii="Times New Roman" w:hAnsi="Times New Roman" w:cs="Times New Roman"/>
                      </w:rPr>
                      <w:t>5,636,889.95</w:t>
                    </w:r>
                  </w:p>
                </w:tc>
                <w:tc>
                  <w:tcPr>
                    <w:tcW w:w="1556" w:type="pct"/>
                    <w:vAlign w:val="center"/>
                  </w:tcPr>
                  <w:p>
                    <w:pPr>
                      <w:jc w:val="right"/>
                      <w:rPr>
                        <w:rFonts w:ascii="Times New Roman" w:hAnsi="Times New Roman" w:cs="Times New Roman"/>
                        <w:szCs w:val="21"/>
                      </w:rPr>
                    </w:pPr>
                    <w:r>
                      <w:rPr>
                        <w:rFonts w:ascii="Times New Roman" w:hAnsi="Times New Roman" w:cs="Times New Roman"/>
                      </w:rPr>
                      <w:t>8,792,907.59</w:t>
                    </w:r>
                  </w:p>
                </w:tc>
              </w:tr>
            </w:sdtContent>
          </w:sdt>
          <w:sdt>
            <w:sdtPr>
              <w:rPr>
                <w:rFonts w:ascii="Times New Roman" w:hAnsi="Times New Roman" w:cs="Times New Roman"/>
                <w:szCs w:val="21"/>
              </w:rPr>
              <w:alias w:val="收到的其他与经营活动有关的现金明细"/>
              <w:tag w:val="_TUP_ca9171e54df6430e9436143874401ecc"/>
              <w:id w:val="86572643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收到利息</w:t>
                    </w:r>
                  </w:p>
                </w:tc>
                <w:tc>
                  <w:tcPr>
                    <w:tcW w:w="1562" w:type="pct"/>
                    <w:vAlign w:val="center"/>
                  </w:tcPr>
                  <w:p>
                    <w:pPr>
                      <w:jc w:val="right"/>
                      <w:rPr>
                        <w:rFonts w:ascii="Times New Roman" w:hAnsi="Times New Roman" w:cs="Times New Roman"/>
                        <w:szCs w:val="21"/>
                      </w:rPr>
                    </w:pPr>
                    <w:r>
                      <w:rPr>
                        <w:rFonts w:ascii="Times New Roman" w:hAnsi="Times New Roman" w:cs="Times New Roman"/>
                      </w:rPr>
                      <w:t>18,339,779.82</w:t>
                    </w:r>
                  </w:p>
                </w:tc>
                <w:tc>
                  <w:tcPr>
                    <w:tcW w:w="1556" w:type="pct"/>
                    <w:vAlign w:val="center"/>
                  </w:tcPr>
                  <w:p>
                    <w:pPr>
                      <w:jc w:val="right"/>
                      <w:rPr>
                        <w:rFonts w:ascii="Times New Roman" w:hAnsi="Times New Roman" w:cs="Times New Roman"/>
                        <w:szCs w:val="21"/>
                      </w:rPr>
                    </w:pPr>
                    <w:r>
                      <w:rPr>
                        <w:rFonts w:ascii="Times New Roman" w:hAnsi="Times New Roman" w:cs="Times New Roman"/>
                      </w:rPr>
                      <w:t>17,385,089.03</w:t>
                    </w:r>
                  </w:p>
                </w:tc>
              </w:tr>
            </w:sdtContent>
          </w:sdt>
          <w:sdt>
            <w:sdtPr>
              <w:rPr>
                <w:rFonts w:ascii="Times New Roman" w:hAnsi="Times New Roman" w:cs="Times New Roman"/>
                <w:szCs w:val="21"/>
              </w:rPr>
              <w:alias w:val="收到的其他与经营活动有关的现金明细"/>
              <w:tag w:val="_TUP_ca9171e54df6430e9436143874401ecc"/>
              <w:id w:val="86572643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收到的往来款</w:t>
                    </w:r>
                  </w:p>
                </w:tc>
                <w:tc>
                  <w:tcPr>
                    <w:tcW w:w="1562" w:type="pct"/>
                    <w:vAlign w:val="center"/>
                  </w:tcPr>
                  <w:p>
                    <w:pPr>
                      <w:jc w:val="right"/>
                      <w:rPr>
                        <w:rFonts w:ascii="Times New Roman" w:hAnsi="Times New Roman" w:cs="Times New Roman"/>
                        <w:szCs w:val="21"/>
                      </w:rPr>
                    </w:pPr>
                    <w:r>
                      <w:rPr>
                        <w:rFonts w:ascii="Times New Roman" w:hAnsi="Times New Roman" w:cs="Times New Roman"/>
                      </w:rPr>
                      <w:t>7,523,855.01</w:t>
                    </w:r>
                  </w:p>
                </w:tc>
                <w:tc>
                  <w:tcPr>
                    <w:tcW w:w="1556" w:type="pct"/>
                    <w:vAlign w:val="center"/>
                  </w:tcPr>
                  <w:p>
                    <w:pPr>
                      <w:jc w:val="right"/>
                      <w:rPr>
                        <w:rFonts w:ascii="Times New Roman" w:hAnsi="Times New Roman" w:cs="Times New Roman"/>
                        <w:szCs w:val="21"/>
                      </w:rPr>
                    </w:pPr>
                    <w:r>
                      <w:rPr>
                        <w:rFonts w:ascii="Times New Roman" w:hAnsi="Times New Roman" w:cs="Times New Roman"/>
                      </w:rPr>
                      <w:t>1,211,180.50</w:t>
                    </w:r>
                  </w:p>
                </w:tc>
              </w:tr>
            </w:sdtContent>
          </w:sdt>
          <w:sdt>
            <w:sdtPr>
              <w:rPr>
                <w:rFonts w:ascii="Times New Roman" w:hAnsi="Times New Roman" w:cs="Times New Roman"/>
                <w:szCs w:val="21"/>
              </w:rPr>
              <w:alias w:val="收到的其他与经营活动有关的现金明细"/>
              <w:tag w:val="_TUP_ca9171e54df6430e9436143874401ecc"/>
              <w:id w:val="86572644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收到的其他</w:t>
                    </w:r>
                  </w:p>
                </w:tc>
                <w:tc>
                  <w:tcPr>
                    <w:tcW w:w="1562" w:type="pct"/>
                    <w:vAlign w:val="center"/>
                  </w:tcPr>
                  <w:p>
                    <w:pPr>
                      <w:jc w:val="right"/>
                      <w:rPr>
                        <w:rFonts w:ascii="Times New Roman" w:hAnsi="Times New Roman" w:cs="Times New Roman"/>
                        <w:szCs w:val="21"/>
                      </w:rPr>
                    </w:pPr>
                    <w:r>
                      <w:rPr>
                        <w:rFonts w:ascii="Times New Roman" w:hAnsi="Times New Roman" w:cs="Times New Roman"/>
                      </w:rPr>
                      <w:t>2,337,464.95</w:t>
                    </w:r>
                  </w:p>
                </w:tc>
                <w:tc>
                  <w:tcPr>
                    <w:tcW w:w="1556" w:type="pct"/>
                    <w:vAlign w:val="center"/>
                  </w:tcPr>
                  <w:p>
                    <w:pPr>
                      <w:jc w:val="right"/>
                      <w:rPr>
                        <w:rFonts w:ascii="Times New Roman" w:hAnsi="Times New Roman" w:cs="Times New Roman"/>
                        <w:szCs w:val="21"/>
                      </w:rPr>
                    </w:pPr>
                    <w:r>
                      <w:rPr>
                        <w:rFonts w:ascii="Times New Roman" w:hAnsi="Times New Roman" w:cs="Times New Roman"/>
                      </w:rPr>
                      <w:t>1,944,365.66</w:t>
                    </w:r>
                  </w:p>
                </w:tc>
              </w:tr>
            </w:sdtContent>
          </w:sdt>
          <w:sdt>
            <w:sdtPr>
              <w:rPr>
                <w:rFonts w:ascii="Times New Roman" w:hAnsi="Times New Roman" w:cs="Times New Roman"/>
                <w:szCs w:val="21"/>
              </w:rPr>
              <w:alias w:val="收到的其他与经营活动有关的现金明细"/>
              <w:tag w:val="_TUP_ca9171e54df6430e9436143874401ecc"/>
              <w:id w:val="86572644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ascii="Times New Roman" w:hAnsi="Times New Roman" w:cs="Times New Roman"/>
                        <w:szCs w:val="21"/>
                      </w:rPr>
                    </w:pPr>
                  </w:p>
                </w:tc>
                <w:tc>
                  <w:tcPr>
                    <w:tcW w:w="1562" w:type="pct"/>
                    <w:vAlign w:val="center"/>
                  </w:tcPr>
                  <w:p>
                    <w:pPr>
                      <w:jc w:val="right"/>
                      <w:rPr>
                        <w:rFonts w:ascii="Times New Roman" w:hAnsi="Times New Roman" w:cs="Times New Roman"/>
                        <w:szCs w:val="21"/>
                      </w:rPr>
                    </w:pPr>
                  </w:p>
                </w:tc>
                <w:tc>
                  <w:tcPr>
                    <w:tcW w:w="1556" w:type="pct"/>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15c008cf970d4546b79acd33ba59b803"/>
                <w:id w:val="865726442"/>
                <w:lock w:val="sdtLocked"/>
              </w:sdtPr>
              <w:sdtEndPr>
                <w:rPr>
                  <w:rFonts w:ascii="Times New Roman" w:hAnsi="Times New Roman" w:cs="Times New Roman"/>
                </w:rPr>
              </w:sdtEndPr>
              <w:sdtContent>
                <w:tc>
                  <w:tcPr>
                    <w:tcW w:w="1882" w:type="pct"/>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合计</w:t>
                    </w:r>
                  </w:p>
                </w:tc>
              </w:sdtContent>
            </w:sdt>
            <w:tc>
              <w:tcPr>
                <w:tcW w:w="1562" w:type="pct"/>
                <w:vAlign w:val="center"/>
              </w:tcPr>
              <w:p>
                <w:pPr>
                  <w:jc w:val="right"/>
                  <w:rPr>
                    <w:rFonts w:ascii="Times New Roman" w:hAnsi="Times New Roman" w:cs="Times New Roman"/>
                    <w:sz w:val="24"/>
                  </w:rPr>
                </w:pPr>
                <w:r>
                  <w:rPr>
                    <w:rFonts w:ascii="Times New Roman" w:hAnsi="Times New Roman" w:cs="Times New Roman"/>
                  </w:rPr>
                  <w:t>33,837,989.73</w:t>
                </w:r>
              </w:p>
            </w:tc>
            <w:tc>
              <w:tcPr>
                <w:tcW w:w="1556" w:type="pct"/>
                <w:vAlign w:val="center"/>
              </w:tcPr>
              <w:p>
                <w:pPr>
                  <w:jc w:val="right"/>
                  <w:rPr>
                    <w:rFonts w:ascii="Times New Roman" w:hAnsi="Times New Roman" w:cs="Times New Roman"/>
                    <w:sz w:val="24"/>
                  </w:rPr>
                </w:pPr>
                <w:r>
                  <w:rPr>
                    <w:rFonts w:ascii="Times New Roman" w:hAnsi="Times New Roman" w:cs="Times New Roman"/>
                  </w:rPr>
                  <w:t>29,333,542.78</w:t>
                </w:r>
              </w:p>
            </w:tc>
          </w:tr>
        </w:tbl>
        <w:p/>
        <w:p>
          <w:pPr>
            <w:rPr>
              <w:szCs w:val="21"/>
            </w:rPr>
          </w:pPr>
        </w:p>
      </w:sdtContent>
    </w:sdt>
    <w:p>
      <w:pPr>
        <w:rPr>
          <w:szCs w:val="21"/>
        </w:rPr>
      </w:pPr>
    </w:p>
    <w:sdt>
      <w:sdtPr>
        <w:rPr>
          <w:rFonts w:hint="eastAsia" w:ascii="宋体" w:hAnsi="宋体" w:eastAsia="宋体" w:cs="宋体"/>
          <w:b w:val="0"/>
          <w:bCs w:val="0"/>
          <w:kern w:val="0"/>
          <w:sz w:val="24"/>
          <w:szCs w:val="24"/>
        </w:rPr>
        <w:alias w:val="模块:支付的其他与经营活动有关的现金"/>
        <w:tag w:val="_SEC_69836e8867b347e7b3fe206eca280b9d"/>
        <w:id w:val="865726455"/>
        <w:lock w:val="sdtLocked"/>
        <w:placeholder>
          <w:docPart w:val="GBC22222222222222222222222222222"/>
        </w:placeholder>
      </w:sdtPr>
      <w:sdtEndPr>
        <w:rPr>
          <w:rFonts w:hint="eastAsia" w:eastAsia="宋体" w:asciiTheme="minorHAnsi" w:hAnsiTheme="minorHAnsi" w:cstheme="minorBidi"/>
          <w:b w:val="0"/>
          <w:bCs w:val="0"/>
          <w:kern w:val="2"/>
          <w:sz w:val="21"/>
          <w:szCs w:val="21"/>
        </w:rPr>
      </w:sdtEndPr>
      <w:sdtContent>
        <w:p>
          <w:pPr>
            <w:pStyle w:val="5"/>
            <w:numPr>
              <w:ilvl w:val="0"/>
              <w:numId w:val="112"/>
            </w:numPr>
            <w:ind w:left="426" w:hanging="426"/>
          </w:pPr>
          <w:r>
            <w:rPr>
              <w:rFonts w:hint="eastAsia"/>
            </w:rPr>
            <w:t>支付的其他与经营活动有关的现金</w:t>
          </w:r>
        </w:p>
        <w:sdt>
          <w:sdtPr>
            <w:alias w:val="是否适用：支付的其他与经营活动有关的现金[双击切换]"/>
            <w:tag w:val="_GBC_f4dd9812849049808cd722f0acb16a7a"/>
            <w:id w:val="86572644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8657264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865726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10"/>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rPr>
                <w:tag w:val="_PLD_313336294a534de9a634e32311d5592e"/>
                <w:id w:val="182964088"/>
                <w:lock w:val="sdtLocked"/>
              </w:sdtPr>
              <w:sdtEndPr>
                <w:rPr>
                  <w:rFonts w:ascii="Times New Roman" w:hAnsi="Times New Roman"/>
                </w:rPr>
              </w:sdtEndPr>
              <w:sdtContent>
                <w:tc>
                  <w:tcPr>
                    <w:tcW w:w="1882" w:type="pct"/>
                  </w:tcPr>
                  <w:p>
                    <w:pPr>
                      <w:autoSpaceDE w:val="0"/>
                      <w:autoSpaceDN w:val="0"/>
                      <w:adjustRightInd w:val="0"/>
                      <w:snapToGrid w:val="0"/>
                      <w:jc w:val="center"/>
                      <w:rPr>
                        <w:rFonts w:ascii="Times New Roman" w:hAnsi="Times New Roman"/>
                        <w:szCs w:val="21"/>
                      </w:rPr>
                    </w:pPr>
                    <w:r>
                      <w:rPr>
                        <w:rFonts w:ascii="Times New Roman"/>
                        <w:szCs w:val="21"/>
                      </w:rPr>
                      <w:t>项目</w:t>
                    </w:r>
                  </w:p>
                </w:tc>
              </w:sdtContent>
            </w:sdt>
            <w:sdt>
              <w:sdtPr>
                <w:rPr>
                  <w:rFonts w:ascii="Times New Roman" w:hAnsi="Times New Roman"/>
                </w:rPr>
                <w:tag w:val="_PLD_254446e36934468da941d479360a4c79"/>
                <w:id w:val="182964089"/>
                <w:lock w:val="sdtLocked"/>
              </w:sdtPr>
              <w:sdtEndPr>
                <w:rPr>
                  <w:rFonts w:ascii="Times New Roman" w:hAnsi="Times New Roman"/>
                </w:rPr>
              </w:sdtEndPr>
              <w:sdtContent>
                <w:tc>
                  <w:tcPr>
                    <w:tcW w:w="1551" w:type="pct"/>
                  </w:tcPr>
                  <w:p>
                    <w:pPr>
                      <w:autoSpaceDE w:val="0"/>
                      <w:autoSpaceDN w:val="0"/>
                      <w:adjustRightInd w:val="0"/>
                      <w:snapToGrid w:val="0"/>
                      <w:jc w:val="center"/>
                      <w:rPr>
                        <w:rFonts w:ascii="Times New Roman" w:hAnsi="Times New Roman"/>
                        <w:szCs w:val="21"/>
                      </w:rPr>
                    </w:pPr>
                    <w:r>
                      <w:rPr>
                        <w:rFonts w:ascii="Times New Roman"/>
                      </w:rPr>
                      <w:t>本期发生额</w:t>
                    </w:r>
                  </w:p>
                </w:tc>
              </w:sdtContent>
            </w:sdt>
            <w:sdt>
              <w:sdtPr>
                <w:rPr>
                  <w:rFonts w:ascii="Times New Roman" w:hAnsi="Times New Roman"/>
                </w:rPr>
                <w:tag w:val="_PLD_7dc479c1c10240cc94f89ea3fc1d6136"/>
                <w:id w:val="182964090"/>
                <w:lock w:val="sdtLocked"/>
              </w:sdtPr>
              <w:sdtEndPr>
                <w:rPr>
                  <w:rFonts w:ascii="Times New Roman" w:hAnsi="Times New Roman"/>
                </w:rPr>
              </w:sdtEndPr>
              <w:sdtContent>
                <w:tc>
                  <w:tcPr>
                    <w:tcW w:w="1567" w:type="pct"/>
                  </w:tcPr>
                  <w:p>
                    <w:pPr>
                      <w:autoSpaceDE w:val="0"/>
                      <w:autoSpaceDN w:val="0"/>
                      <w:adjustRightInd w:val="0"/>
                      <w:snapToGrid w:val="0"/>
                      <w:jc w:val="center"/>
                      <w:rPr>
                        <w:rFonts w:ascii="Times New Roman" w:hAnsi="Times New Roman"/>
                        <w:szCs w:val="21"/>
                      </w:rPr>
                    </w:pPr>
                    <w:r>
                      <w:rPr>
                        <w:rFonts w:ascii="Times New Roman"/>
                      </w:rPr>
                      <w:t>上期发生额</w:t>
                    </w:r>
                  </w:p>
                </w:tc>
              </w:sdtContent>
            </w:sdt>
          </w:tr>
          <w:sdt>
            <w:sdtPr>
              <w:rPr>
                <w:rFonts w:ascii="Times New Roman" w:hAnsi="Times New Roman" w:eastAsiaTheme="minorEastAsia" w:cstheme="minorBidi"/>
                <w:kern w:val="2"/>
                <w:szCs w:val="21"/>
              </w:rPr>
              <w:alias w:val="支付的其他与经营活动有关的现金明细"/>
              <w:tag w:val="_TUP_6bc26f086cee402ca4d348d61c665ec6"/>
              <w:id w:val="182964091"/>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ascii="Times New Roman" w:hAnsi="Times New Roman"/>
                        <w:szCs w:val="21"/>
                      </w:rPr>
                    </w:pPr>
                    <w:r>
                      <w:rPr>
                        <w:rFonts w:ascii="Times New Roman"/>
                      </w:rPr>
                      <w:t>支付各项费用</w:t>
                    </w:r>
                  </w:p>
                </w:tc>
                <w:tc>
                  <w:tcPr>
                    <w:tcW w:w="1551" w:type="pct"/>
                    <w:vAlign w:val="center"/>
                  </w:tcPr>
                  <w:p>
                    <w:pPr>
                      <w:jc w:val="right"/>
                      <w:rPr>
                        <w:rFonts w:ascii="Times New Roman" w:hAnsi="Times New Roman" w:cs="Times New Roman"/>
                        <w:sz w:val="24"/>
                      </w:rPr>
                    </w:pPr>
                    <w:r>
                      <w:rPr>
                        <w:rFonts w:ascii="Times New Roman" w:hAnsi="Times New Roman" w:cs="Times New Roman"/>
                      </w:rPr>
                      <w:t>83,263,573.74</w:t>
                    </w:r>
                  </w:p>
                </w:tc>
                <w:tc>
                  <w:tcPr>
                    <w:tcW w:w="1567" w:type="pct"/>
                    <w:vAlign w:val="center"/>
                  </w:tcPr>
                  <w:p>
                    <w:pPr>
                      <w:jc w:val="right"/>
                      <w:rPr>
                        <w:rFonts w:ascii="Times New Roman" w:hAnsi="Times New Roman"/>
                        <w:szCs w:val="21"/>
                      </w:rPr>
                    </w:pPr>
                    <w:r>
                      <w:rPr>
                        <w:rFonts w:ascii="Times New Roman" w:hAnsi="Times New Roman"/>
                      </w:rPr>
                      <w:t>105,042,903.84</w:t>
                    </w:r>
                  </w:p>
                </w:tc>
              </w:tr>
            </w:sdtContent>
          </w:sdt>
          <w:sdt>
            <w:sdtPr>
              <w:rPr>
                <w:rFonts w:ascii="Times New Roman" w:hAnsi="Times New Roman" w:eastAsiaTheme="minorEastAsia" w:cstheme="minorBidi"/>
                <w:kern w:val="2"/>
                <w:szCs w:val="21"/>
              </w:rPr>
              <w:alias w:val="支付的其他与经营活动有关的现金明细"/>
              <w:tag w:val="_TUP_6bc26f086cee402ca4d348d61c665ec6"/>
              <w:id w:val="182964092"/>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ascii="Times New Roman" w:hAnsi="Times New Roman"/>
                        <w:szCs w:val="21"/>
                      </w:rPr>
                    </w:pPr>
                    <w:r>
                      <w:rPr>
                        <w:rFonts w:ascii="Times New Roman"/>
                      </w:rPr>
                      <w:t>支付的往来款</w:t>
                    </w:r>
                  </w:p>
                </w:tc>
                <w:tc>
                  <w:tcPr>
                    <w:tcW w:w="1551" w:type="pct"/>
                    <w:vAlign w:val="center"/>
                  </w:tcPr>
                  <w:p>
                    <w:pPr>
                      <w:jc w:val="right"/>
                      <w:rPr>
                        <w:rFonts w:ascii="Times New Roman" w:hAnsi="Times New Roman" w:cs="Times New Roman"/>
                        <w:sz w:val="24"/>
                      </w:rPr>
                    </w:pPr>
                    <w:r>
                      <w:rPr>
                        <w:rFonts w:ascii="Times New Roman" w:hAnsi="Times New Roman" w:cs="Times New Roman"/>
                      </w:rPr>
                      <w:t>5,570,729.09</w:t>
                    </w:r>
                  </w:p>
                </w:tc>
                <w:tc>
                  <w:tcPr>
                    <w:tcW w:w="1567" w:type="pct"/>
                    <w:vAlign w:val="center"/>
                  </w:tcPr>
                  <w:p>
                    <w:pPr>
                      <w:jc w:val="right"/>
                      <w:rPr>
                        <w:rFonts w:ascii="Times New Roman" w:hAnsi="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rPr>
                <w:tag w:val="_PLD_b2a645bcc9174623a4e7eefea3a149f5"/>
                <w:id w:val="182964093"/>
                <w:lock w:val="sdtLocked"/>
              </w:sdtPr>
              <w:sdtEndPr>
                <w:rPr>
                  <w:rFonts w:ascii="Times New Roman" w:hAnsi="Times New Roman"/>
                </w:rPr>
              </w:sdtEndPr>
              <w:sdtContent>
                <w:tc>
                  <w:tcPr>
                    <w:tcW w:w="1882" w:type="pct"/>
                  </w:tcPr>
                  <w:p>
                    <w:pPr>
                      <w:autoSpaceDE w:val="0"/>
                      <w:autoSpaceDN w:val="0"/>
                      <w:adjustRightInd w:val="0"/>
                      <w:snapToGrid w:val="0"/>
                      <w:jc w:val="center"/>
                      <w:rPr>
                        <w:rFonts w:ascii="Times New Roman" w:hAnsi="Times New Roman"/>
                        <w:szCs w:val="21"/>
                      </w:rPr>
                    </w:pPr>
                    <w:r>
                      <w:rPr>
                        <w:rFonts w:ascii="Times New Roman"/>
                        <w:szCs w:val="21"/>
                      </w:rPr>
                      <w:t>合计</w:t>
                    </w:r>
                  </w:p>
                </w:tc>
              </w:sdtContent>
            </w:sdt>
            <w:tc>
              <w:tcPr>
                <w:tcW w:w="1551" w:type="pct"/>
                <w:vAlign w:val="center"/>
              </w:tcPr>
              <w:p>
                <w:pPr>
                  <w:jc w:val="right"/>
                  <w:rPr>
                    <w:rFonts w:ascii="Times New Roman" w:hAnsi="Times New Roman" w:cs="Times New Roman"/>
                    <w:sz w:val="24"/>
                  </w:rPr>
                </w:pPr>
                <w:r>
                  <w:rPr>
                    <w:rFonts w:ascii="Times New Roman" w:hAnsi="Times New Roman" w:cs="Times New Roman"/>
                  </w:rPr>
                  <w:t>88,834,302.83</w:t>
                </w:r>
              </w:p>
            </w:tc>
            <w:tc>
              <w:tcPr>
                <w:tcW w:w="1567" w:type="pct"/>
                <w:vAlign w:val="center"/>
              </w:tcPr>
              <w:p>
                <w:pPr>
                  <w:jc w:val="right"/>
                  <w:rPr>
                    <w:rFonts w:ascii="Times New Roman" w:hAnsi="Times New Roman"/>
                    <w:sz w:val="24"/>
                  </w:rPr>
                </w:pPr>
                <w:r>
                  <w:rPr>
                    <w:rFonts w:ascii="Times New Roman" w:hAnsi="Times New Roman"/>
                  </w:rPr>
                  <w:t>105,042,903.84</w:t>
                </w:r>
              </w:p>
            </w:tc>
          </w:tr>
        </w:tbl>
        <w:p>
          <w:pPr>
            <w:ind w:right="5"/>
            <w:rPr>
              <w:szCs w:val="21"/>
            </w:rPr>
          </w:pPr>
        </w:p>
      </w:sdtContent>
    </w:sdt>
    <w:p>
      <w:pPr>
        <w:spacing w:line="360" w:lineRule="exact"/>
        <w:ind w:right="5"/>
        <w:rPr>
          <w:szCs w:val="21"/>
        </w:rPr>
      </w:pPr>
    </w:p>
    <w:sdt>
      <w:sdtPr>
        <w:rPr>
          <w:rFonts w:hint="eastAsia" w:ascii="宋体" w:hAnsi="宋体" w:eastAsia="宋体" w:cs="宋体"/>
          <w:b w:val="0"/>
          <w:bCs w:val="0"/>
          <w:kern w:val="0"/>
          <w:sz w:val="24"/>
          <w:szCs w:val="24"/>
        </w:rPr>
        <w:alias w:val="模块:收到的其他与投资活动有关的现金"/>
        <w:tag w:val="_SEC_bffd728d3f034a24a21a18f895399812"/>
        <w:id w:val="865726468"/>
        <w:lock w:val="sdtLocked"/>
        <w:placeholder>
          <w:docPart w:val="GBC22222222222222222222222222222"/>
        </w:placeholder>
      </w:sdtPr>
      <w:sdtEndPr>
        <w:rPr>
          <w:rFonts w:hint="default" w:eastAsia="宋体" w:asciiTheme="minorHAnsi" w:hAnsiTheme="minorHAnsi" w:cstheme="minorBidi"/>
          <w:b w:val="0"/>
          <w:bCs w:val="0"/>
          <w:kern w:val="2"/>
          <w:sz w:val="21"/>
          <w:szCs w:val="21"/>
        </w:rPr>
      </w:sdtEndPr>
      <w:sdtContent>
        <w:p>
          <w:pPr>
            <w:pStyle w:val="5"/>
            <w:numPr>
              <w:ilvl w:val="0"/>
              <w:numId w:val="112"/>
            </w:numPr>
            <w:ind w:left="426" w:hanging="426"/>
          </w:pPr>
          <w:r>
            <w:rPr>
              <w:rFonts w:hint="eastAsia"/>
            </w:rPr>
            <w:t>收到的其他与投资活动有关的现金</w:t>
          </w:r>
        </w:p>
        <w:sdt>
          <w:sdtPr>
            <w:alias w:val="是否适用：收到的其他与投资活动有关的现金[双击切换]"/>
            <w:tag w:val="_GBC_a9d11a87566b448d9e6aac9a017a8388"/>
            <w:id w:val="86572645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865726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8657264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5"/>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8fe69c5749494bb49faf620c5198417e"/>
                <w:id w:val="865726459"/>
                <w:lock w:val="sdtLocked"/>
              </w:sdtPr>
              <w:sdtEndPr>
                <w:rPr>
                  <w:rFonts w:ascii="Times New Roman" w:hAnsi="Times New Roman" w:cs="Times New Roman"/>
                </w:rPr>
              </w:sdtEndPr>
              <w:sdtContent>
                <w:tc>
                  <w:tcPr>
                    <w:tcW w:w="1882" w:type="pct"/>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bf91a26c50244250a28701d650837068"/>
                <w:id w:val="865726460"/>
                <w:lock w:val="sdtLocked"/>
              </w:sdtPr>
              <w:sdtEndPr>
                <w:rPr>
                  <w:rFonts w:ascii="Times New Roman" w:hAnsi="Times New Roman" w:cs="Times New Roman"/>
                </w:rPr>
              </w:sdtEndPr>
              <w:sdtContent>
                <w:tc>
                  <w:tcPr>
                    <w:tcW w:w="1609" w:type="pct"/>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rPr>
                      <w:t>本期发生额</w:t>
                    </w:r>
                  </w:p>
                </w:tc>
              </w:sdtContent>
            </w:sdt>
            <w:sdt>
              <w:sdtPr>
                <w:rPr>
                  <w:rFonts w:ascii="Times New Roman" w:hAnsi="Times New Roman" w:cs="Times New Roman"/>
                </w:rPr>
                <w:tag w:val="_PLD_6ba4cebdd5f34f0ebe4577174e11dd6c"/>
                <w:id w:val="865726461"/>
                <w:lock w:val="sdtLocked"/>
              </w:sdtPr>
              <w:sdtEndPr>
                <w:rPr>
                  <w:rFonts w:ascii="Times New Roman" w:hAnsi="Times New Roman" w:cs="Times New Roman"/>
                </w:rPr>
              </w:sdtEndPr>
              <w:sdtContent>
                <w:tc>
                  <w:tcPr>
                    <w:tcW w:w="1509" w:type="pct"/>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rPr>
                      <w:t>上期发生额</w:t>
                    </w:r>
                  </w:p>
                </w:tc>
              </w:sdtContent>
            </w:sdt>
          </w:tr>
          <w:sdt>
            <w:sdtPr>
              <w:rPr>
                <w:rFonts w:ascii="Times New Roman" w:hAnsi="Times New Roman" w:cs="Times New Roman"/>
                <w:szCs w:val="21"/>
              </w:rPr>
              <w:alias w:val="收到的其他与投资活动有关的现金明细"/>
              <w:tag w:val="_TUP_2a9537f55bbc4ae4adcaec7f75a44ddf"/>
              <w:id w:val="86572646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收回理财产品款</w:t>
                    </w:r>
                  </w:p>
                </w:tc>
                <w:tc>
                  <w:tcPr>
                    <w:tcW w:w="1609" w:type="pct"/>
                    <w:vAlign w:val="center"/>
                  </w:tcPr>
                  <w:p>
                    <w:pPr>
                      <w:jc w:val="right"/>
                      <w:rPr>
                        <w:rFonts w:ascii="Times New Roman" w:hAnsi="Times New Roman" w:cs="Times New Roman"/>
                        <w:szCs w:val="21"/>
                      </w:rPr>
                    </w:pPr>
                    <w:r>
                      <w:rPr>
                        <w:rFonts w:ascii="Times New Roman" w:hAnsi="Times New Roman" w:cs="Times New Roman"/>
                      </w:rPr>
                      <w:t>79,608,788.00</w:t>
                    </w:r>
                  </w:p>
                </w:tc>
                <w:tc>
                  <w:tcPr>
                    <w:tcW w:w="1509" w:type="pct"/>
                    <w:vAlign w:val="center"/>
                  </w:tcPr>
                  <w:p>
                    <w:pPr>
                      <w:jc w:val="right"/>
                      <w:rPr>
                        <w:rFonts w:ascii="Times New Roman" w:hAnsi="Times New Roman" w:cs="Times New Roman"/>
                        <w:szCs w:val="21"/>
                      </w:rPr>
                    </w:pPr>
                    <w:r>
                      <w:rPr>
                        <w:rFonts w:ascii="Times New Roman" w:hAnsi="Times New Roman" w:cs="Times New Roman"/>
                      </w:rPr>
                      <w:t>95,199,447.03</w:t>
                    </w:r>
                  </w:p>
                </w:tc>
              </w:tr>
            </w:sdtContent>
          </w:sdt>
          <w:sdt>
            <w:sdtPr>
              <w:rPr>
                <w:rFonts w:ascii="Times New Roman" w:hAnsi="Times New Roman" w:cs="Times New Roman"/>
                <w:szCs w:val="21"/>
              </w:rPr>
              <w:alias w:val="收到的其他与投资活动有关的现金明细"/>
              <w:tag w:val="_TUP_2a9537f55bbc4ae4adcaec7f75a44ddf"/>
              <w:id w:val="86572646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ascii="Times New Roman" w:hAnsi="Times New Roman" w:cs="Times New Roman"/>
                        <w:szCs w:val="21"/>
                      </w:rPr>
                    </w:pPr>
                    <w:r>
                      <w:rPr>
                        <w:rFonts w:hint="eastAsia" w:ascii="Times New Roman" w:cs="Times New Roman"/>
                      </w:rPr>
                      <w:t>收回柳州两面针房地产开发有限公司柳州两面针纸品有限公司等的股权债权转让款</w:t>
                    </w:r>
                  </w:p>
                </w:tc>
                <w:tc>
                  <w:tcPr>
                    <w:tcW w:w="1609" w:type="pct"/>
                    <w:vAlign w:val="center"/>
                  </w:tcPr>
                  <w:p>
                    <w:pPr>
                      <w:jc w:val="right"/>
                      <w:rPr>
                        <w:rFonts w:ascii="Times New Roman" w:hAnsi="Times New Roman" w:cs="Times New Roman"/>
                        <w:szCs w:val="21"/>
                      </w:rPr>
                    </w:pPr>
                    <w:r>
                      <w:rPr>
                        <w:rFonts w:ascii="Times New Roman" w:hAnsi="Times New Roman" w:cs="Times New Roman"/>
                      </w:rPr>
                      <w:t>641,453,368.79</w:t>
                    </w:r>
                  </w:p>
                </w:tc>
                <w:tc>
                  <w:tcPr>
                    <w:tcW w:w="1509" w:type="pct"/>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收到的其他与投资活动有关的现金明细"/>
              <w:tag w:val="_TUP_2a9537f55bbc4ae4adcaec7f75a44ddf"/>
              <w:id w:val="86572646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收柳州市产业投资发展集团公司两面针项目交易过渡期债务</w:t>
                    </w:r>
                  </w:p>
                </w:tc>
                <w:tc>
                  <w:tcPr>
                    <w:tcW w:w="1609" w:type="pct"/>
                    <w:vAlign w:val="center"/>
                  </w:tcPr>
                  <w:p>
                    <w:pPr>
                      <w:jc w:val="right"/>
                      <w:rPr>
                        <w:rFonts w:ascii="Times New Roman" w:hAnsi="Times New Roman" w:cs="Times New Roman"/>
                        <w:szCs w:val="21"/>
                      </w:rPr>
                    </w:pPr>
                  </w:p>
                </w:tc>
                <w:tc>
                  <w:tcPr>
                    <w:tcW w:w="1509" w:type="pct"/>
                    <w:vAlign w:val="center"/>
                  </w:tcPr>
                  <w:p>
                    <w:pPr>
                      <w:jc w:val="right"/>
                      <w:rPr>
                        <w:rFonts w:ascii="Times New Roman" w:hAnsi="Times New Roman" w:cs="Times New Roman"/>
                        <w:szCs w:val="21"/>
                      </w:rPr>
                    </w:pPr>
                    <w:r>
                      <w:rPr>
                        <w:rFonts w:ascii="Times New Roman" w:hAnsi="Times New Roman" w:cs="Times New Roman"/>
                      </w:rPr>
                      <w:t>41,420,732.18</w:t>
                    </w:r>
                  </w:p>
                </w:tc>
              </w:tr>
            </w:sdtContent>
          </w:sdt>
          <w:sdt>
            <w:sdtPr>
              <w:rPr>
                <w:rFonts w:ascii="Times New Roman" w:hAnsi="Times New Roman" w:cs="Times New Roman"/>
                <w:szCs w:val="21"/>
              </w:rPr>
              <w:alias w:val="收到的其他与投资活动有关的现金明细"/>
              <w:tag w:val="_TUP_2a9537f55bbc4ae4adcaec7f75a44ddf"/>
              <w:id w:val="86572646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rPr>
                        <w:rFonts w:ascii="Times New Roman" w:hAnsi="Times New Roman" w:cs="Times New Roman"/>
                        <w:szCs w:val="21"/>
                      </w:rPr>
                    </w:pPr>
                    <w:r>
                      <w:rPr>
                        <w:rFonts w:ascii="Times New Roman" w:cs="Times New Roman"/>
                      </w:rPr>
                      <w:t>收柳州市征地办公室新工业园征地补偿款</w:t>
                    </w:r>
                  </w:p>
                </w:tc>
                <w:tc>
                  <w:tcPr>
                    <w:tcW w:w="1609" w:type="pct"/>
                    <w:vAlign w:val="center"/>
                  </w:tcPr>
                  <w:p>
                    <w:pPr>
                      <w:jc w:val="right"/>
                      <w:rPr>
                        <w:rFonts w:ascii="Times New Roman" w:hAnsi="Times New Roman" w:cs="Times New Roman"/>
                        <w:szCs w:val="21"/>
                      </w:rPr>
                    </w:pPr>
                  </w:p>
                </w:tc>
                <w:tc>
                  <w:tcPr>
                    <w:tcW w:w="1509" w:type="pct"/>
                    <w:vAlign w:val="center"/>
                  </w:tcPr>
                  <w:p>
                    <w:pPr>
                      <w:jc w:val="right"/>
                      <w:rPr>
                        <w:rFonts w:ascii="Times New Roman" w:hAnsi="Times New Roman" w:cs="Times New Roman"/>
                        <w:szCs w:val="21"/>
                      </w:rPr>
                    </w:pPr>
                    <w:r>
                      <w:rPr>
                        <w:rFonts w:ascii="Times New Roman" w:hAnsi="Times New Roman" w:cs="Times New Roman"/>
                      </w:rPr>
                      <w:t>4,018,708.00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a28679f982044352b3f67fcf372b12e8"/>
                <w:id w:val="865726466"/>
                <w:lock w:val="sdtLocked"/>
              </w:sdtPr>
              <w:sdtEndPr>
                <w:rPr>
                  <w:rFonts w:ascii="Times New Roman" w:hAnsi="Times New Roman" w:cs="Times New Roman"/>
                </w:rPr>
              </w:sdtEndPr>
              <w:sdtContent>
                <w:tc>
                  <w:tcPr>
                    <w:tcW w:w="1882" w:type="pct"/>
                  </w:tcPr>
                  <w:p>
                    <w:pPr>
                      <w:autoSpaceDE w:val="0"/>
                      <w:autoSpaceDN w:val="0"/>
                      <w:adjustRightInd w:val="0"/>
                      <w:snapToGrid w:val="0"/>
                      <w:spacing w:line="240" w:lineRule="atLeast"/>
                      <w:jc w:val="center"/>
                      <w:rPr>
                        <w:rFonts w:ascii="Times New Roman" w:hAnsi="Times New Roman" w:cs="Times New Roman"/>
                        <w:szCs w:val="21"/>
                      </w:rPr>
                    </w:pPr>
                    <w:r>
                      <w:rPr>
                        <w:rFonts w:ascii="Times New Roman" w:cs="Times New Roman"/>
                        <w:szCs w:val="21"/>
                      </w:rPr>
                      <w:t>合计</w:t>
                    </w:r>
                  </w:p>
                </w:tc>
              </w:sdtContent>
            </w:sdt>
            <w:tc>
              <w:tcPr>
                <w:tcW w:w="1609" w:type="pct"/>
                <w:vAlign w:val="center"/>
              </w:tcPr>
              <w:p>
                <w:pPr>
                  <w:jc w:val="right"/>
                  <w:rPr>
                    <w:rFonts w:ascii="Times New Roman" w:hAnsi="Times New Roman" w:cs="Times New Roman"/>
                    <w:sz w:val="24"/>
                  </w:rPr>
                </w:pPr>
                <w:r>
                  <w:rPr>
                    <w:rFonts w:ascii="Times New Roman" w:hAnsi="Times New Roman" w:cs="Times New Roman"/>
                  </w:rPr>
                  <w:t>721,062,156.79</w:t>
                </w:r>
              </w:p>
            </w:tc>
            <w:tc>
              <w:tcPr>
                <w:tcW w:w="1509" w:type="pct"/>
                <w:vAlign w:val="center"/>
              </w:tcPr>
              <w:p>
                <w:pPr>
                  <w:jc w:val="right"/>
                  <w:rPr>
                    <w:rFonts w:ascii="Times New Roman" w:hAnsi="Times New Roman" w:cs="Times New Roman"/>
                    <w:sz w:val="24"/>
                  </w:rPr>
                </w:pPr>
                <w:r>
                  <w:rPr>
                    <w:rFonts w:ascii="Times New Roman" w:hAnsi="Times New Roman" w:cs="Times New Roman"/>
                  </w:rPr>
                  <w:t>140,638,887.21</w:t>
                </w:r>
              </w:p>
            </w:tc>
          </w:tr>
        </w:tbl>
        <w:p/>
        <w:p>
          <w:pPr>
            <w:snapToGrid w:val="0"/>
            <w:spacing w:line="240" w:lineRule="atLeast"/>
            <w:rPr>
              <w:szCs w:val="21"/>
            </w:rPr>
          </w:pPr>
        </w:p>
      </w:sdtContent>
    </w:sdt>
    <w:p>
      <w:pPr>
        <w:rPr>
          <w:szCs w:val="21"/>
        </w:rPr>
      </w:pPr>
    </w:p>
    <w:sdt>
      <w:sdtPr>
        <w:rPr>
          <w:rFonts w:hint="eastAsia" w:ascii="宋体" w:hAnsi="宋体" w:eastAsia="宋体" w:cs="宋体"/>
          <w:b w:val="0"/>
          <w:bCs w:val="0"/>
          <w:kern w:val="0"/>
          <w:sz w:val="24"/>
          <w:szCs w:val="24"/>
        </w:rPr>
        <w:alias w:val="模块:支付的其他与投资活动有关的现金"/>
        <w:tag w:val="_SEC_aafc72f0aabb4b5faeb8c5be6629eee5"/>
        <w:id w:val="865726479"/>
        <w:lock w:val="sdtLocked"/>
        <w:placeholder>
          <w:docPart w:val="GBC22222222222222222222222222222"/>
        </w:placeholder>
      </w:sdtPr>
      <w:sdtEndPr>
        <w:rPr>
          <w:rFonts w:hint="eastAsia" w:eastAsia="宋体" w:asciiTheme="minorHAnsi" w:hAnsiTheme="minorHAnsi" w:cstheme="minorBidi"/>
          <w:b w:val="0"/>
          <w:bCs w:val="0"/>
          <w:kern w:val="2"/>
          <w:sz w:val="21"/>
          <w:szCs w:val="21"/>
        </w:rPr>
      </w:sdtEndPr>
      <w:sdtContent>
        <w:p>
          <w:pPr>
            <w:pStyle w:val="5"/>
            <w:numPr>
              <w:ilvl w:val="0"/>
              <w:numId w:val="112"/>
            </w:numPr>
            <w:ind w:left="426" w:hanging="426"/>
          </w:pPr>
          <w:r>
            <w:rPr>
              <w:rFonts w:hint="eastAsia"/>
            </w:rPr>
            <w:t>支付的其他与投资活动有关的现金</w:t>
          </w:r>
        </w:p>
        <w:sdt>
          <w:sdtPr>
            <w:alias w:val="是否适用：支付的其他与投资活动有关的现金[双击切换]"/>
            <w:tag w:val="_GBC_c733aab18a804ecea142a329ce5180ba"/>
            <w:id w:val="86572646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8657264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865726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7"/>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587dffb6cb394ed0abe3449c37ec4700"/>
                <w:id w:val="865726472"/>
                <w:lock w:val="sdtLocked"/>
              </w:sdtPr>
              <w:sdtEndPr>
                <w:rPr>
                  <w:rFonts w:ascii="Times New Roman" w:hAnsi="Times New Roman" w:cs="Times New Roman"/>
                </w:rPr>
              </w:sdtEndPr>
              <w:sdtContent>
                <w:tc>
                  <w:tcPr>
                    <w:tcW w:w="1882" w:type="pct"/>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df7899e6c0274bae9f145af85a8eb277"/>
                <w:id w:val="865726473"/>
                <w:lock w:val="sdtLocked"/>
              </w:sdtPr>
              <w:sdtEndPr>
                <w:rPr>
                  <w:rFonts w:ascii="Times New Roman" w:hAnsi="Times New Roman" w:cs="Times New Roman"/>
                </w:rPr>
              </w:sdtEndPr>
              <w:sdtContent>
                <w:tc>
                  <w:tcPr>
                    <w:tcW w:w="1610" w:type="pct"/>
                  </w:tcPr>
                  <w:p>
                    <w:pPr>
                      <w:autoSpaceDE w:val="0"/>
                      <w:autoSpaceDN w:val="0"/>
                      <w:adjustRightInd w:val="0"/>
                      <w:snapToGrid w:val="0"/>
                      <w:jc w:val="center"/>
                      <w:rPr>
                        <w:rFonts w:ascii="Times New Roman" w:hAnsi="Times New Roman" w:cs="Times New Roman"/>
                        <w:szCs w:val="21"/>
                      </w:rPr>
                    </w:pPr>
                    <w:r>
                      <w:rPr>
                        <w:rFonts w:ascii="Times New Roman" w:cs="Times New Roman"/>
                      </w:rPr>
                      <w:t>本期发生额</w:t>
                    </w:r>
                  </w:p>
                </w:tc>
              </w:sdtContent>
            </w:sdt>
            <w:sdt>
              <w:sdtPr>
                <w:rPr>
                  <w:rFonts w:ascii="Times New Roman" w:hAnsi="Times New Roman" w:cs="Times New Roman"/>
                </w:rPr>
                <w:tag w:val="_PLD_f161b1c392e440818862ceb1761bb906"/>
                <w:id w:val="865726474"/>
                <w:lock w:val="sdtLocked"/>
              </w:sdtPr>
              <w:sdtEndPr>
                <w:rPr>
                  <w:rFonts w:ascii="Times New Roman" w:hAnsi="Times New Roman" w:cs="Times New Roman"/>
                </w:rPr>
              </w:sdtEndPr>
              <w:sdtContent>
                <w:tc>
                  <w:tcPr>
                    <w:tcW w:w="1508" w:type="pct"/>
                  </w:tcPr>
                  <w:p>
                    <w:pPr>
                      <w:autoSpaceDE w:val="0"/>
                      <w:autoSpaceDN w:val="0"/>
                      <w:adjustRightInd w:val="0"/>
                      <w:snapToGrid w:val="0"/>
                      <w:jc w:val="center"/>
                      <w:rPr>
                        <w:rFonts w:ascii="Times New Roman" w:hAnsi="Times New Roman" w:cs="Times New Roman"/>
                        <w:szCs w:val="21"/>
                      </w:rPr>
                    </w:pPr>
                    <w:r>
                      <w:rPr>
                        <w:rFonts w:ascii="Times New Roman" w:cs="Times New Roman"/>
                      </w:rPr>
                      <w:t>上期发生额</w:t>
                    </w:r>
                  </w:p>
                </w:tc>
              </w:sdtContent>
            </w:sdt>
          </w:tr>
          <w:sdt>
            <w:sdtPr>
              <w:rPr>
                <w:rFonts w:ascii="Times New Roman" w:hAnsi="Times New Roman" w:cs="Times New Roman"/>
                <w:szCs w:val="21"/>
              </w:rPr>
              <w:alias w:val="支付的其他与投资活动有关的现金明细"/>
              <w:tag w:val="_TUP_b6c724ac4860419dabcf1acda6dd60f4"/>
              <w:id w:val="86572647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ascii="Times New Roman" w:hAnsi="Times New Roman" w:cs="Times New Roman"/>
                        <w:szCs w:val="21"/>
                      </w:rPr>
                    </w:pPr>
                    <w:r>
                      <w:rPr>
                        <w:rFonts w:ascii="Times New Roman" w:cs="Times New Roman"/>
                      </w:rPr>
                      <w:t>投资理财产品</w:t>
                    </w:r>
                  </w:p>
                </w:tc>
                <w:tc>
                  <w:tcPr>
                    <w:tcW w:w="1610" w:type="pct"/>
                    <w:vAlign w:val="center"/>
                  </w:tcPr>
                  <w:p>
                    <w:pPr>
                      <w:jc w:val="right"/>
                      <w:rPr>
                        <w:rFonts w:ascii="Times New Roman" w:hAnsi="Times New Roman" w:cs="Times New Roman"/>
                        <w:szCs w:val="21"/>
                      </w:rPr>
                    </w:pPr>
                    <w:r>
                      <w:rPr>
                        <w:rFonts w:ascii="Times New Roman" w:hAnsi="Times New Roman" w:cs="Times New Roman"/>
                      </w:rPr>
                      <w:t>44,010,000.00</w:t>
                    </w:r>
                  </w:p>
                </w:tc>
                <w:tc>
                  <w:tcPr>
                    <w:tcW w:w="1508" w:type="pct"/>
                    <w:vAlign w:val="center"/>
                  </w:tcPr>
                  <w:p>
                    <w:pPr>
                      <w:jc w:val="right"/>
                      <w:rPr>
                        <w:rFonts w:ascii="Times New Roman" w:hAnsi="Times New Roman" w:cs="Times New Roman"/>
                        <w:szCs w:val="21"/>
                      </w:rPr>
                    </w:pPr>
                    <w:r>
                      <w:rPr>
                        <w:rFonts w:ascii="Times New Roman" w:hAnsi="Times New Roman" w:cs="Times New Roman"/>
                      </w:rPr>
                      <w:t>100,500,000.00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1206bbe0dbda46119184b2f0907045c6"/>
                <w:id w:val="865726477"/>
                <w:lock w:val="sdtLocked"/>
              </w:sdtPr>
              <w:sdtEndPr>
                <w:rPr>
                  <w:rFonts w:ascii="Times New Roman" w:hAnsi="Times New Roman" w:cs="Times New Roman"/>
                </w:rPr>
              </w:sdtEndPr>
              <w:sdtContent>
                <w:tc>
                  <w:tcPr>
                    <w:tcW w:w="1882" w:type="pct"/>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合计</w:t>
                    </w:r>
                  </w:p>
                </w:tc>
              </w:sdtContent>
            </w:sdt>
            <w:tc>
              <w:tcPr>
                <w:tcW w:w="1610" w:type="pct"/>
                <w:vAlign w:val="center"/>
              </w:tcPr>
              <w:p>
                <w:pPr>
                  <w:jc w:val="right"/>
                  <w:rPr>
                    <w:rFonts w:ascii="Times New Roman" w:hAnsi="Times New Roman" w:cs="Times New Roman"/>
                    <w:sz w:val="24"/>
                  </w:rPr>
                </w:pPr>
                <w:r>
                  <w:rPr>
                    <w:rFonts w:ascii="Times New Roman" w:hAnsi="Times New Roman" w:cs="Times New Roman"/>
                  </w:rPr>
                  <w:t>44,010,000.00</w:t>
                </w:r>
              </w:p>
            </w:tc>
            <w:tc>
              <w:tcPr>
                <w:tcW w:w="1508" w:type="pct"/>
                <w:vAlign w:val="center"/>
              </w:tcPr>
              <w:p>
                <w:pPr>
                  <w:jc w:val="right"/>
                  <w:rPr>
                    <w:rFonts w:ascii="Times New Roman" w:hAnsi="Times New Roman" w:cs="Times New Roman"/>
                    <w:sz w:val="24"/>
                  </w:rPr>
                </w:pPr>
                <w:r>
                  <w:rPr>
                    <w:rFonts w:ascii="Times New Roman" w:hAnsi="Times New Roman" w:cs="Times New Roman"/>
                  </w:rPr>
                  <w:t>100,500,000.00</w:t>
                </w:r>
              </w:p>
            </w:tc>
          </w:tr>
        </w:tbl>
        <w:p/>
        <w:p>
          <w:pPr>
            <w:rPr>
              <w:szCs w:val="21"/>
            </w:rPr>
          </w:pPr>
        </w:p>
      </w:sdtContent>
    </w:sdt>
    <w:p>
      <w:pPr>
        <w:rPr>
          <w:szCs w:val="21"/>
        </w:rPr>
      </w:pPr>
    </w:p>
    <w:sdt>
      <w:sdtPr>
        <w:rPr>
          <w:rFonts w:hint="eastAsia" w:ascii="宋体" w:hAnsi="宋体" w:eastAsia="宋体" w:cs="宋体"/>
          <w:b w:val="0"/>
          <w:bCs w:val="0"/>
          <w:kern w:val="0"/>
          <w:sz w:val="24"/>
          <w:szCs w:val="24"/>
        </w:rPr>
        <w:alias w:val="模块:收到的其他与筹资活动有关的现金"/>
        <w:tag w:val="_SEC_cee5e63128ad411498f4c0e9e303807b"/>
        <w:id w:val="865726490"/>
        <w:lock w:val="sdtLocked"/>
        <w:placeholder>
          <w:docPart w:val="GBC22222222222222222222222222222"/>
        </w:placeholder>
      </w:sdtPr>
      <w:sdtEndPr>
        <w:rPr>
          <w:rFonts w:hint="eastAsia" w:eastAsia="宋体" w:asciiTheme="minorHAnsi" w:hAnsiTheme="minorHAnsi" w:cstheme="minorBidi"/>
          <w:b w:val="0"/>
          <w:bCs w:val="0"/>
          <w:kern w:val="2"/>
          <w:sz w:val="21"/>
          <w:szCs w:val="22"/>
        </w:rPr>
      </w:sdtEndPr>
      <w:sdtContent>
        <w:p>
          <w:pPr>
            <w:pStyle w:val="5"/>
            <w:numPr>
              <w:ilvl w:val="0"/>
              <w:numId w:val="112"/>
            </w:numPr>
            <w:ind w:left="426" w:hanging="426"/>
          </w:pPr>
          <w:r>
            <w:rPr>
              <w:rFonts w:hint="eastAsia"/>
            </w:rPr>
            <w:t>收到的</w:t>
          </w:r>
          <w:r>
            <w:rPr>
              <w:rFonts w:hint="eastAsia" w:ascii="宋体" w:hAnsi="宋体"/>
            </w:rPr>
            <w:t>其他</w:t>
          </w:r>
          <w:r>
            <w:rPr>
              <w:rFonts w:hint="eastAsia"/>
            </w:rPr>
            <w:t>与筹资活动有关的现金</w:t>
          </w:r>
        </w:p>
        <w:sdt>
          <w:sdtPr>
            <w:alias w:val="是否适用：收到的其他与筹资活动有关的现金[双击切换]"/>
            <w:tag w:val="_GBC_031910cf781944cf80900ffa99f7a9d7"/>
            <w:id w:val="86572648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8657264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865726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7"/>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a77349a2c05f473b9ac20b64fc24179e"/>
                <w:id w:val="865726483"/>
                <w:lock w:val="sdtLocked"/>
              </w:sdtPr>
              <w:sdtEndPr>
                <w:rPr>
                  <w:rFonts w:ascii="Times New Roman" w:hAnsi="Times New Roman" w:cs="Times New Roman"/>
                </w:rPr>
              </w:sdtEndPr>
              <w:sdtContent>
                <w:tc>
                  <w:tcPr>
                    <w:tcW w:w="1882" w:type="pct"/>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4f0ec6d40c994acb9eb5b3560f97c407"/>
                <w:id w:val="865726484"/>
                <w:lock w:val="sdtLocked"/>
              </w:sdtPr>
              <w:sdtEndPr>
                <w:rPr>
                  <w:rFonts w:ascii="Times New Roman" w:hAnsi="Times New Roman" w:cs="Times New Roman"/>
                </w:rPr>
              </w:sdtEndPr>
              <w:sdtContent>
                <w:tc>
                  <w:tcPr>
                    <w:tcW w:w="1610" w:type="pct"/>
                  </w:tcPr>
                  <w:p>
                    <w:pPr>
                      <w:autoSpaceDE w:val="0"/>
                      <w:autoSpaceDN w:val="0"/>
                      <w:adjustRightInd w:val="0"/>
                      <w:snapToGrid w:val="0"/>
                      <w:jc w:val="center"/>
                      <w:rPr>
                        <w:rFonts w:ascii="Times New Roman" w:hAnsi="Times New Roman" w:cs="Times New Roman"/>
                        <w:szCs w:val="21"/>
                      </w:rPr>
                    </w:pPr>
                    <w:r>
                      <w:rPr>
                        <w:rFonts w:ascii="Times New Roman" w:cs="Times New Roman"/>
                      </w:rPr>
                      <w:t>本期发生额</w:t>
                    </w:r>
                  </w:p>
                </w:tc>
              </w:sdtContent>
            </w:sdt>
            <w:sdt>
              <w:sdtPr>
                <w:rPr>
                  <w:rFonts w:ascii="Times New Roman" w:hAnsi="Times New Roman" w:cs="Times New Roman"/>
                </w:rPr>
                <w:tag w:val="_PLD_aa071ffac82040379300e6f5150e4ff7"/>
                <w:id w:val="865726485"/>
                <w:lock w:val="sdtLocked"/>
              </w:sdtPr>
              <w:sdtEndPr>
                <w:rPr>
                  <w:rFonts w:ascii="Times New Roman" w:hAnsi="Times New Roman" w:cs="Times New Roman"/>
                </w:rPr>
              </w:sdtEndPr>
              <w:sdtContent>
                <w:tc>
                  <w:tcPr>
                    <w:tcW w:w="1508" w:type="pct"/>
                  </w:tcPr>
                  <w:p>
                    <w:pPr>
                      <w:autoSpaceDE w:val="0"/>
                      <w:autoSpaceDN w:val="0"/>
                      <w:adjustRightInd w:val="0"/>
                      <w:snapToGrid w:val="0"/>
                      <w:jc w:val="center"/>
                      <w:rPr>
                        <w:rFonts w:ascii="Times New Roman" w:hAnsi="Times New Roman" w:cs="Times New Roman"/>
                        <w:szCs w:val="21"/>
                      </w:rPr>
                    </w:pPr>
                    <w:r>
                      <w:rPr>
                        <w:rFonts w:ascii="Times New Roman" w:cs="Times New Roman"/>
                      </w:rPr>
                      <w:t>上期发生额</w:t>
                    </w:r>
                  </w:p>
                </w:tc>
              </w:sdtContent>
            </w:sdt>
          </w:tr>
          <w:sdt>
            <w:sdtPr>
              <w:rPr>
                <w:rFonts w:ascii="Times New Roman" w:hAnsi="Times New Roman" w:cs="Times New Roman"/>
                <w:szCs w:val="21"/>
              </w:rPr>
              <w:alias w:val="收到的其他与筹资活动有关的现金明细"/>
              <w:tag w:val="_TUP_afb02f29341a473a8c5477beb6ba2747"/>
              <w:id w:val="86572648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ascii="Times New Roman" w:hAnsi="Times New Roman" w:cs="Times New Roman"/>
                        <w:szCs w:val="21"/>
                      </w:rPr>
                    </w:pPr>
                    <w:r>
                      <w:rPr>
                        <w:rFonts w:ascii="Times New Roman" w:cs="Times New Roman"/>
                      </w:rPr>
                      <w:t>收到的贷款贴息</w:t>
                    </w:r>
                  </w:p>
                </w:tc>
                <w:tc>
                  <w:tcPr>
                    <w:tcW w:w="1610" w:type="pct"/>
                    <w:vAlign w:val="bottom"/>
                  </w:tcPr>
                  <w:p>
                    <w:pPr>
                      <w:jc w:val="right"/>
                      <w:rPr>
                        <w:rFonts w:ascii="Times New Roman" w:hAnsi="Times New Roman" w:cs="Times New Roman"/>
                        <w:szCs w:val="21"/>
                      </w:rPr>
                    </w:pPr>
                    <w:r>
                      <w:rPr>
                        <w:rFonts w:ascii="Times New Roman" w:hAnsi="Times New Roman" w:cs="Times New Roman"/>
                      </w:rPr>
                      <w:t>1,843,920.00</w:t>
                    </w:r>
                  </w:p>
                </w:tc>
                <w:tc>
                  <w:tcPr>
                    <w:tcW w:w="1508" w:type="pct"/>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7907c6798e0d4fb4a413e0875400dc4a"/>
                <w:id w:val="865726488"/>
                <w:lock w:val="sdtLocked"/>
              </w:sdtPr>
              <w:sdtEndPr>
                <w:rPr>
                  <w:rFonts w:ascii="Times New Roman" w:hAnsi="Times New Roman" w:cs="Times New Roman"/>
                </w:rPr>
              </w:sdtEndPr>
              <w:sdtContent>
                <w:tc>
                  <w:tcPr>
                    <w:tcW w:w="1882" w:type="pct"/>
                  </w:tcPr>
                  <w:p>
                    <w:pPr>
                      <w:autoSpaceDE w:val="0"/>
                      <w:autoSpaceDN w:val="0"/>
                      <w:adjustRightInd w:val="0"/>
                      <w:snapToGrid w:val="0"/>
                      <w:jc w:val="center"/>
                      <w:rPr>
                        <w:rFonts w:ascii="Times New Roman" w:hAnsi="Times New Roman" w:cs="Times New Roman"/>
                        <w:szCs w:val="21"/>
                      </w:rPr>
                    </w:pPr>
                    <w:r>
                      <w:rPr>
                        <w:rFonts w:ascii="Times New Roman" w:cs="Times New Roman"/>
                        <w:szCs w:val="21"/>
                      </w:rPr>
                      <w:t>合计</w:t>
                    </w:r>
                  </w:p>
                </w:tc>
              </w:sdtContent>
            </w:sdt>
            <w:tc>
              <w:tcPr>
                <w:tcW w:w="1610" w:type="pct"/>
                <w:vAlign w:val="bottom"/>
              </w:tcPr>
              <w:p>
                <w:pPr>
                  <w:jc w:val="right"/>
                  <w:rPr>
                    <w:rFonts w:ascii="Times New Roman" w:hAnsi="Times New Roman" w:cs="Times New Roman"/>
                    <w:szCs w:val="21"/>
                  </w:rPr>
                </w:pPr>
                <w:r>
                  <w:rPr>
                    <w:rFonts w:ascii="Times New Roman" w:hAnsi="Times New Roman" w:cs="Times New Roman"/>
                    <w:szCs w:val="21"/>
                  </w:rPr>
                  <w:t>1,843,920.00</w:t>
                </w:r>
              </w:p>
            </w:tc>
            <w:tc>
              <w:tcPr>
                <w:tcW w:w="1508" w:type="pct"/>
              </w:tcPr>
              <w:p>
                <w:pPr>
                  <w:jc w:val="right"/>
                  <w:rPr>
                    <w:rFonts w:ascii="Times New Roman" w:hAnsi="Times New Roman" w:cs="Times New Roman"/>
                    <w:szCs w:val="21"/>
                  </w:rPr>
                </w:pPr>
              </w:p>
            </w:tc>
          </w:tr>
        </w:tbl>
        <w:p/>
        <w:p/>
      </w:sdtContent>
    </w:sdt>
    <w:p/>
    <w:sdt>
      <w:sdtPr>
        <w:rPr>
          <w:rFonts w:hint="eastAsia" w:ascii="宋体" w:hAnsi="宋体" w:eastAsia="宋体" w:cs="宋体"/>
          <w:b w:val="0"/>
          <w:bCs w:val="0"/>
          <w:kern w:val="0"/>
          <w:sz w:val="24"/>
          <w:szCs w:val="22"/>
        </w:rPr>
        <w:alias w:val="模块:支付的其他与筹资活动有关的现金"/>
        <w:tag w:val="_SEC_7f5832ab98b14401b69843c0f895b85e"/>
        <w:id w:val="865726501"/>
        <w:lock w:val="sdtLocked"/>
        <w:placeholder>
          <w:docPart w:val="GBC22222222222222222222222222222"/>
        </w:placeholder>
      </w:sdtPr>
      <w:sdtEndPr>
        <w:rPr>
          <w:rFonts w:hint="eastAsia" w:eastAsia="宋体" w:asciiTheme="minorHAnsi" w:hAnsiTheme="minorHAnsi" w:cstheme="minorBidi"/>
          <w:b w:val="0"/>
          <w:bCs w:val="0"/>
          <w:kern w:val="2"/>
          <w:sz w:val="21"/>
          <w:szCs w:val="22"/>
        </w:rPr>
      </w:sdtEndPr>
      <w:sdtContent>
        <w:p>
          <w:pPr>
            <w:pStyle w:val="5"/>
            <w:numPr>
              <w:ilvl w:val="0"/>
              <w:numId w:val="112"/>
            </w:numPr>
            <w:ind w:left="426" w:hanging="426"/>
          </w:pPr>
          <w:r>
            <w:rPr>
              <w:rFonts w:hint="eastAsia"/>
            </w:rPr>
            <w:t>支付的其他与筹资活动有关的现金</w:t>
          </w:r>
        </w:p>
        <w:sdt>
          <w:sdtPr>
            <w:alias w:val="是否适用：支付的其他与筹资活动有关的现金[双击切换]"/>
            <w:tag w:val="_GBC_fcc0d0c43a2d4fa88ca685f3e36f2f40"/>
            <w:id w:val="86572649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8657264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8657264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7"/>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e2db8e0335cc47fe9b6461eeb2befa7e"/>
                <w:id w:val="865726494"/>
                <w:lock w:val="sdtLocked"/>
              </w:sdtPr>
              <w:sdtEndPr>
                <w:rPr>
                  <w:rFonts w:ascii="Times New Roman" w:hAnsi="Times New Roman" w:cs="Times New Roman"/>
                </w:rPr>
              </w:sdtEndPr>
              <w:sdtContent>
                <w:tc>
                  <w:tcPr>
                    <w:tcW w:w="1882" w:type="pct"/>
                  </w:tcPr>
                  <w:p>
                    <w:pPr>
                      <w:autoSpaceDE w:val="0"/>
                      <w:autoSpaceDN w:val="0"/>
                      <w:adjustRightInd w:val="0"/>
                      <w:snapToGrid w:val="0"/>
                      <w:jc w:val="center"/>
                      <w:rPr>
                        <w:rFonts w:ascii="Times New Roman" w:hAnsi="Times New Roman" w:cs="Times New Roman"/>
                      </w:rPr>
                    </w:pPr>
                    <w:r>
                      <w:rPr>
                        <w:rFonts w:ascii="Times New Roman" w:cs="Times New Roman"/>
                      </w:rPr>
                      <w:t>项目</w:t>
                    </w:r>
                  </w:p>
                </w:tc>
              </w:sdtContent>
            </w:sdt>
            <w:sdt>
              <w:sdtPr>
                <w:rPr>
                  <w:rFonts w:ascii="Times New Roman" w:hAnsi="Times New Roman" w:cs="Times New Roman"/>
                </w:rPr>
                <w:tag w:val="_PLD_bb4a54a8a5be4a6691e4d59483217c64"/>
                <w:id w:val="865726495"/>
                <w:lock w:val="sdtLocked"/>
              </w:sdtPr>
              <w:sdtEndPr>
                <w:rPr>
                  <w:rFonts w:ascii="Times New Roman" w:hAnsi="Times New Roman" w:cs="Times New Roman"/>
                </w:rPr>
              </w:sdtEndPr>
              <w:sdtContent>
                <w:tc>
                  <w:tcPr>
                    <w:tcW w:w="1610" w:type="pct"/>
                  </w:tcPr>
                  <w:p>
                    <w:pPr>
                      <w:autoSpaceDE w:val="0"/>
                      <w:autoSpaceDN w:val="0"/>
                      <w:adjustRightInd w:val="0"/>
                      <w:snapToGrid w:val="0"/>
                      <w:jc w:val="center"/>
                      <w:rPr>
                        <w:rFonts w:ascii="Times New Roman" w:hAnsi="Times New Roman" w:cs="Times New Roman"/>
                      </w:rPr>
                    </w:pPr>
                    <w:r>
                      <w:rPr>
                        <w:rFonts w:ascii="Times New Roman" w:cs="Times New Roman"/>
                      </w:rPr>
                      <w:t>本期发生额</w:t>
                    </w:r>
                  </w:p>
                </w:tc>
              </w:sdtContent>
            </w:sdt>
            <w:sdt>
              <w:sdtPr>
                <w:rPr>
                  <w:rFonts w:ascii="Times New Roman" w:hAnsi="Times New Roman" w:cs="Times New Roman"/>
                </w:rPr>
                <w:tag w:val="_PLD_a4930447bc4d450faf79f923eef8597b"/>
                <w:id w:val="865726496"/>
                <w:lock w:val="sdtLocked"/>
              </w:sdtPr>
              <w:sdtEndPr>
                <w:rPr>
                  <w:rFonts w:ascii="Times New Roman" w:hAnsi="Times New Roman" w:cs="Times New Roman"/>
                </w:rPr>
              </w:sdtEndPr>
              <w:sdtContent>
                <w:tc>
                  <w:tcPr>
                    <w:tcW w:w="1508" w:type="pct"/>
                  </w:tcPr>
                  <w:p>
                    <w:pPr>
                      <w:autoSpaceDE w:val="0"/>
                      <w:autoSpaceDN w:val="0"/>
                      <w:adjustRightInd w:val="0"/>
                      <w:snapToGrid w:val="0"/>
                      <w:jc w:val="center"/>
                      <w:rPr>
                        <w:rFonts w:ascii="Times New Roman" w:hAnsi="Times New Roman" w:cs="Times New Roman"/>
                      </w:rPr>
                    </w:pPr>
                    <w:r>
                      <w:rPr>
                        <w:rFonts w:ascii="Times New Roman" w:cs="Times New Roman"/>
                      </w:rPr>
                      <w:t>上期发生额</w:t>
                    </w:r>
                  </w:p>
                </w:tc>
              </w:sdtContent>
            </w:sdt>
          </w:tr>
          <w:sdt>
            <w:sdtPr>
              <w:rPr>
                <w:rFonts w:ascii="Times New Roman" w:hAnsi="Times New Roman" w:cs="Times New Roman"/>
              </w:rPr>
              <w:alias w:val="支付的其他与筹资活动有关的现金明细"/>
              <w:tag w:val="_TUP_e54614051bfb48d8ab0e47a024ba7e91"/>
              <w:id w:val="865726497"/>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ascii="Times New Roman" w:hAnsi="Times New Roman" w:cs="Times New Roman"/>
                      </w:rPr>
                    </w:pPr>
                    <w:r>
                      <w:rPr>
                        <w:rFonts w:ascii="Times New Roman" w:cs="Times New Roman"/>
                      </w:rPr>
                      <w:t>支付的融资租赁费</w:t>
                    </w:r>
                  </w:p>
                </w:tc>
                <w:tc>
                  <w:tcPr>
                    <w:tcW w:w="1610" w:type="pct"/>
                    <w:vAlign w:val="center"/>
                  </w:tcPr>
                  <w:p>
                    <w:pPr>
                      <w:jc w:val="right"/>
                      <w:rPr>
                        <w:rFonts w:ascii="Times New Roman" w:hAnsi="Times New Roman" w:cs="Times New Roman"/>
                      </w:rPr>
                    </w:pPr>
                    <w:r>
                      <w:rPr>
                        <w:rFonts w:ascii="Times New Roman" w:hAnsi="Times New Roman" w:cs="Times New Roman"/>
                      </w:rPr>
                      <w:t>1,520,880.00</w:t>
                    </w:r>
                  </w:p>
                </w:tc>
                <w:tc>
                  <w:tcPr>
                    <w:tcW w:w="1508" w:type="pct"/>
                    <w:vAlign w:val="center"/>
                  </w:tcPr>
                  <w:p>
                    <w:pPr>
                      <w:jc w:val="right"/>
                      <w:rPr>
                        <w:rFonts w:ascii="Times New Roman" w:hAnsi="Times New Roman" w:cs="Times New Roman"/>
                      </w:rPr>
                    </w:pPr>
                    <w:r>
                      <w:rPr>
                        <w:rFonts w:ascii="Times New Roman" w:hAnsi="Times New Roman" w:cs="Times New Roman"/>
                      </w:rPr>
                      <w:t>920,880.00</w:t>
                    </w:r>
                  </w:p>
                </w:tc>
              </w:tr>
            </w:sdtContent>
          </w:sdt>
          <w:sdt>
            <w:sdtPr>
              <w:rPr>
                <w:rFonts w:ascii="Times New Roman" w:hAnsi="Times New Roman" w:cs="Times New Roman"/>
              </w:rPr>
              <w:alias w:val="支付的其他与筹资活动有关的现金明细"/>
              <w:tag w:val="_TUP_e54614051bfb48d8ab0e47a024ba7e91"/>
              <w:id w:val="865726498"/>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rPr>
                        <w:rFonts w:ascii="Times New Roman" w:hAnsi="Times New Roman" w:cs="Times New Roman"/>
                      </w:rPr>
                    </w:pPr>
                    <w:r>
                      <w:rPr>
                        <w:rFonts w:ascii="Times New Roman" w:cs="Times New Roman"/>
                      </w:rPr>
                      <w:t>归还柳州东通投资发展有限公司借款</w:t>
                    </w:r>
                  </w:p>
                </w:tc>
                <w:tc>
                  <w:tcPr>
                    <w:tcW w:w="1610" w:type="pct"/>
                    <w:vAlign w:val="center"/>
                  </w:tcPr>
                  <w:p>
                    <w:pPr>
                      <w:jc w:val="right"/>
                      <w:rPr>
                        <w:rFonts w:ascii="Times New Roman" w:hAnsi="Times New Roman" w:cs="Times New Roman"/>
                      </w:rPr>
                    </w:pPr>
                  </w:p>
                </w:tc>
                <w:tc>
                  <w:tcPr>
                    <w:tcW w:w="1508" w:type="pct"/>
                    <w:vAlign w:val="center"/>
                  </w:tcPr>
                  <w:p>
                    <w:pPr>
                      <w:jc w:val="right"/>
                      <w:rPr>
                        <w:rFonts w:ascii="Times New Roman" w:hAnsi="Times New Roman" w:cs="Times New Roman"/>
                      </w:rPr>
                    </w:pPr>
                    <w:r>
                      <w:rPr>
                        <w:rFonts w:ascii="Times New Roman" w:hAnsi="Times New Roman" w:cs="Times New Roman"/>
                      </w:rPr>
                      <w:t>150,000,000.00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imes New Roman" w:hAnsi="Times New Roman" w:cs="Times New Roman"/>
                </w:rPr>
                <w:tag w:val="_PLD_003a6c5e92bb42f68cfc8065cc0deba9"/>
                <w:id w:val="865726499"/>
                <w:lock w:val="sdtLocked"/>
              </w:sdtPr>
              <w:sdtEndPr>
                <w:rPr>
                  <w:rFonts w:ascii="Times New Roman" w:hAnsi="Times New Roman" w:cs="Times New Roman"/>
                </w:rPr>
              </w:sdtEndPr>
              <w:sdtContent>
                <w:tc>
                  <w:tcPr>
                    <w:tcW w:w="1882" w:type="pct"/>
                  </w:tcPr>
                  <w:p>
                    <w:pPr>
                      <w:autoSpaceDE w:val="0"/>
                      <w:autoSpaceDN w:val="0"/>
                      <w:adjustRightInd w:val="0"/>
                      <w:snapToGrid w:val="0"/>
                      <w:jc w:val="center"/>
                      <w:rPr>
                        <w:rFonts w:ascii="Times New Roman" w:hAnsi="Times New Roman" w:cs="Times New Roman"/>
                      </w:rPr>
                    </w:pPr>
                    <w:r>
                      <w:rPr>
                        <w:rFonts w:ascii="Times New Roman" w:cs="Times New Roman"/>
                      </w:rPr>
                      <w:t>合计</w:t>
                    </w:r>
                  </w:p>
                </w:tc>
              </w:sdtContent>
            </w:sdt>
            <w:tc>
              <w:tcPr>
                <w:tcW w:w="1610" w:type="pct"/>
                <w:vAlign w:val="center"/>
              </w:tcPr>
              <w:p>
                <w:pPr>
                  <w:jc w:val="right"/>
                  <w:rPr>
                    <w:rFonts w:ascii="Times New Roman" w:hAnsi="Times New Roman" w:cs="Times New Roman"/>
                    <w:sz w:val="24"/>
                  </w:rPr>
                </w:pPr>
                <w:r>
                  <w:rPr>
                    <w:rFonts w:ascii="Times New Roman" w:hAnsi="Times New Roman" w:cs="Times New Roman"/>
                  </w:rPr>
                  <w:t>1,520,880.00</w:t>
                </w:r>
              </w:p>
            </w:tc>
            <w:tc>
              <w:tcPr>
                <w:tcW w:w="1508" w:type="pct"/>
                <w:vAlign w:val="center"/>
              </w:tcPr>
              <w:p>
                <w:pPr>
                  <w:jc w:val="right"/>
                  <w:rPr>
                    <w:rFonts w:ascii="Times New Roman" w:hAnsi="Times New Roman" w:cs="Times New Roman"/>
                    <w:sz w:val="24"/>
                  </w:rPr>
                </w:pPr>
                <w:r>
                  <w:rPr>
                    <w:rFonts w:ascii="Times New Roman" w:hAnsi="Times New Roman" w:cs="Times New Roman"/>
                  </w:rPr>
                  <w:t>150,</w:t>
                </w:r>
                <w:r>
                  <w:t xml:space="preserve"> </w:t>
                </w:r>
                <w:r>
                  <w:rPr>
                    <w:rFonts w:ascii="Times New Roman" w:hAnsi="Times New Roman" w:cs="Times New Roman"/>
                  </w:rPr>
                  <w:t>920,880.00</w:t>
                </w:r>
              </w:p>
            </w:tc>
          </w:tr>
        </w:tbl>
        <w:p>
          <w:pPr>
            <w:ind w:right="5"/>
            <w:rPr>
              <w:rFonts w:asciiTheme="minorHAnsi" w:hAnsiTheme="minorHAnsi" w:cstheme="minorBidi"/>
              <w:kern w:val="2"/>
              <w:szCs w:val="22"/>
            </w:rPr>
          </w:pPr>
        </w:p>
      </w:sdtContent>
    </w:sdt>
    <w:p>
      <w:pPr>
        <w:ind w:right="5"/>
      </w:pPr>
    </w:p>
    <w:p>
      <w:pPr>
        <w:pStyle w:val="4"/>
        <w:numPr>
          <w:ilvl w:val="0"/>
          <w:numId w:val="79"/>
        </w:numPr>
        <w:tabs>
          <w:tab w:val="left" w:pos="504"/>
        </w:tabs>
      </w:pPr>
      <w:r>
        <w:rPr>
          <w:rFonts w:hint="eastAsia"/>
        </w:rPr>
        <w:t>现金流量表</w:t>
      </w:r>
      <w:r>
        <w:rPr>
          <w:rFonts w:hint="eastAsia" w:ascii="宋体" w:hAnsi="宋体"/>
          <w:szCs w:val="21"/>
        </w:rPr>
        <w:t>补充</w:t>
      </w:r>
      <w:r>
        <w:rPr>
          <w:rFonts w:hint="eastAsia"/>
        </w:rPr>
        <w:t>资料</w:t>
      </w:r>
    </w:p>
    <w:sdt>
      <w:sdtPr>
        <w:rPr>
          <w:rFonts w:hint="eastAsia" w:ascii="宋体" w:hAnsi="宋体" w:eastAsia="宋体" w:cs="宋体"/>
          <w:b w:val="0"/>
          <w:bCs w:val="0"/>
          <w:kern w:val="0"/>
          <w:szCs w:val="24"/>
        </w:rPr>
        <w:alias w:val="模块:现金流量表补充资料"/>
        <w:tag w:val="_SEC_f8be5b6afa1a4e6a83d098555e296b4b"/>
        <w:id w:val="865726538"/>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113"/>
            </w:numPr>
            <w:ind w:left="426" w:hanging="426"/>
          </w:pPr>
          <w:r>
            <w:rPr>
              <w:rFonts w:hint="eastAsia"/>
            </w:rPr>
            <w:t>现金流量表补充资料</w:t>
          </w:r>
        </w:p>
        <w:sdt>
          <w:sdtPr>
            <w:rPr>
              <w:rFonts w:hint="eastAsia"/>
            </w:rPr>
            <w:alias w:val="是否适用：现金流量表补充资料[双击切换]"/>
            <w:tag w:val="_GBC_f77ea662869c431fa9c3cd98fccb529c"/>
            <w:id w:val="865726502"/>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现金流量表补充资料"/>
              <w:tag w:val="_GBC_816fc4f2c97b4b12911114202247ee82"/>
              <w:id w:val="8657265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865726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482"/>
            <w:gridCol w:w="2800"/>
            <w:gridCol w:w="2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9bfd38318b44efe9fa609ad19a8685a"/>
                <w:id w:val="865726505"/>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cs="Times New Roman"/>
                        <w:bCs/>
                      </w:rPr>
                      <w:t>补充资料</w:t>
                    </w:r>
                  </w:p>
                </w:tc>
              </w:sdtContent>
            </w:sdt>
            <w:sdt>
              <w:sdtPr>
                <w:rPr>
                  <w:rFonts w:ascii="Times New Roman" w:hAnsi="Times New Roman" w:cs="Times New Roman"/>
                </w:rPr>
                <w:tag w:val="_PLD_8ef3863737f6403496cc160c411b0b03"/>
                <w:id w:val="865726506"/>
                <w:lock w:val="sdtLocked"/>
              </w:sdtPr>
              <w:sdtEndPr>
                <w:rPr>
                  <w:rFonts w:ascii="Times New Roman" w:hAnsi="Times New Roman" w:cs="Times New Roman"/>
                </w:rPr>
              </w:sdtEndPr>
              <w:sdtContent>
                <w:tc>
                  <w:tcPr>
                    <w:tcW w:w="15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rPr>
                    </w:pPr>
                    <w:r>
                      <w:rPr>
                        <w:rFonts w:ascii="Times New Roman" w:cs="Times New Roman"/>
                      </w:rPr>
                      <w:t>本期金额</w:t>
                    </w:r>
                  </w:p>
                </w:tc>
              </w:sdtContent>
            </w:sdt>
            <w:sdt>
              <w:sdtPr>
                <w:rPr>
                  <w:rFonts w:ascii="Times New Roman" w:hAnsi="Times New Roman" w:cs="Times New Roman"/>
                </w:rPr>
                <w:tag w:val="_PLD_73eb01f791e44a84b1edbc96aa42b3f3"/>
                <w:id w:val="865726507"/>
                <w:lock w:val="sdtLocked"/>
              </w:sdtPr>
              <w:sdtEndPr>
                <w:rPr>
                  <w:rFonts w:ascii="Times New Roman" w:hAnsi="Times New Roman" w:cs="Times New Roman"/>
                </w:rPr>
              </w:sdtEndPr>
              <w:sdtContent>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rPr>
                    </w:pPr>
                    <w:r>
                      <w:rPr>
                        <w:rFonts w:ascii="Times New Roman" w:cs="Times New Roman"/>
                      </w:rPr>
                      <w:t>上期金额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6db035658bd4a67bcf46ade47da315d"/>
                <w:id w:val="865726508"/>
                <w:lock w:val="sdtLocked"/>
              </w:sdtPr>
              <w:sdtEndPr>
                <w:rPr>
                  <w:rFonts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tcPr>
                  <w:p>
                    <w:pPr>
                      <w:jc w:val="both"/>
                      <w:rPr>
                        <w:rFonts w:ascii="Times New Roman" w:hAnsi="Times New Roman" w:cs="Times New Roman"/>
                        <w:b/>
                      </w:rPr>
                    </w:pPr>
                    <w:r>
                      <w:rPr>
                        <w:rFonts w:ascii="Times New Roman" w:hAnsi="Times New Roman" w:cs="Times New Roman"/>
                        <w:b/>
                        <w:bCs/>
                      </w:rPr>
                      <w:t>1</w:t>
                    </w:r>
                    <w:r>
                      <w:rPr>
                        <w:rFonts w:ascii="Times New Roman" w:cs="Times New Roman"/>
                        <w:b/>
                        <w:bCs/>
                      </w:rPr>
                      <w:t>．将净利润调节为经营活动现金流量：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ff97a35e60d443387d6ac807156bbae"/>
                <w:id w:val="865726509"/>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净利润</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9,267,116.28</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58,232,466.40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eee5dca05b64715937e91cafbf88c76"/>
                <w:id w:val="865726510"/>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加：资产减值准备</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2,330,460.16</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1,295,880.31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cs="Times New Roman"/>
                  </w:rPr>
                  <w:tag w:val="_PLD_1f3bb2e3905b41c5b7b27fff29cc1f0e"/>
                  <w:id w:val="865726511"/>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信用减值损失</w:t>
                    </w:r>
                  </w:p>
                </w:sdtContent>
              </w:sdt>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2,101,571.43</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8,118,247.66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126af0092bb4ea5acb454c40fce47aa"/>
                <w:id w:val="865726512"/>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固定资产折旧、油气资产折耗、生产性生物资产折旧</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27,643,460.27</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26,981,495.90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cs="Times New Roman"/>
                  </w:rPr>
                  <w:tag w:val="_PLD_33167c9b73a649129c2f926881c92c88"/>
                  <w:id w:val="865726513"/>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使用权资产摊销</w:t>
                    </w:r>
                  </w:p>
                </w:sdtContent>
              </w:sdt>
            </w:tc>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855,556.79</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716,244.43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8b4967a4f6564e83943a72b2b6a14e25"/>
                <w:id w:val="865726514"/>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无形资产摊销</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2,607,848.28</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2,619,556.89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91bcbce91db4007a43dc457f0a7dc19"/>
                <w:id w:val="865726515"/>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长期待摊费用摊销</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1,637,292.45</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tabs>
                    <w:tab w:val="left" w:pos="795"/>
                  </w:tabs>
                  <w:jc w:val="right"/>
                  <w:rPr>
                    <w:rFonts w:ascii="Times New Roman" w:hAnsi="Times New Roman" w:cs="Times New Roman"/>
                  </w:rPr>
                </w:pPr>
                <w:r>
                  <w:rPr>
                    <w:rFonts w:ascii="Times New Roman" w:hAnsi="Times New Roman" w:cs="Times New Roman"/>
                  </w:rPr>
                  <w:tab/>
                </w:r>
                <w:r>
                  <w:rPr>
                    <w:rFonts w:ascii="Times New Roman" w:hAnsi="Times New Roman" w:cs="Times New Roman"/>
                  </w:rPr>
                  <w:t>2,336,550.79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8f9f8f7a6994120a06ba50281514777"/>
                <w:id w:val="865726516"/>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处置固定资产、无形资产和其他长期资产的损失（收益以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-141,797.74</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-581,665.24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81fee79d3354e6fb69ce33fffd7af6e"/>
                <w:id w:val="865726517"/>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固定资产报废损失（收益以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183,324.58</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60,246.95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464f7483fa24612944bff87f55d77fe"/>
                <w:id w:val="865726518"/>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公允价值变动损失（收益以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26,145,255.54</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-35,705,051.52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1aa93fc6a4d452d904d1035db57b333"/>
                <w:id w:val="865726519"/>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财务费用（收益以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1,316,169.68</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2,875,440.62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7da876d38cd4a8fb89860f293c6a668"/>
                <w:id w:val="865726520"/>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投资损失（收益以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-20,182,290.36</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-19,987,195.14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fbadbf00208453daec47ef453ccc6f9"/>
                <w:id w:val="865726521"/>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递延所得税资产减少（增加以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-801,578.19</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-1,002,897.25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995beb110fe461d9f14304be5740b51"/>
                <w:id w:val="865726522"/>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递延所得税负债增加（减少以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-6,471,525.09</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8,861,474.09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13be58aa55a4aee90fa200a6004a83d"/>
                <w:id w:val="865726523"/>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存货的减少（增加以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-38,304,223.76</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24,199,308.32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a0f2d4bd51554e919c1b56b36c76b7e4"/>
                <w:id w:val="865726524"/>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经营性应收项目的减少（增加以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-50,084,226.20</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-12,343,249.29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e775c78d32f644708ef470b027b0a24e"/>
                <w:id w:val="865726525"/>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经营性应付项目的增加（减少以</w:t>
                    </w:r>
                    <w:r>
                      <w:rPr>
                        <w:rFonts w:ascii="Times New Roman" w:hAnsi="Times New Roman" w:cs="Times New Roman"/>
                      </w:rPr>
                      <w:t>“</w:t>
                    </w:r>
                    <w:r>
                      <w:rPr>
                        <w:rFonts w:ascii="Times New Roman" w:cs="Times New Roman"/>
                      </w:rPr>
                      <w:t>－</w:t>
                    </w:r>
                    <w:r>
                      <w:rPr>
                        <w:rFonts w:ascii="Times New Roman" w:hAnsi="Times New Roman" w:cs="Times New Roman"/>
                      </w:rPr>
                      <w:t>”</w:t>
                    </w:r>
                    <w:r>
                      <w:rPr>
                        <w:rFonts w:ascii="Times New Roman" w:cs="Times New Roman"/>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-12,199,608.96</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-50,890,406.85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5eb8ffd3edfd46a084a79828c7e82dd1"/>
                <w:id w:val="865726526"/>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其他</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051c13b91464acb82ec10ce9e8e9c6e"/>
                <w:id w:val="865726527"/>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经营活动产生的现金流量净额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-54,097,194.84</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15,786,447.07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b9bf22c7a64477db916821f6ee032d7"/>
                <w:id w:val="865726528"/>
                <w:lock w:val="sdtLocked"/>
              </w:sdtPr>
              <w:sdtEndPr>
                <w:rPr>
                  <w:rFonts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tcPr>
                  <w:p>
                    <w:pPr>
                      <w:rPr>
                        <w:rFonts w:ascii="Times New Roman" w:hAnsi="Times New Roman" w:cs="Times New Roman"/>
                      </w:rPr>
                    </w:pPr>
                    <w:r>
                      <w:rPr>
                        <w:rFonts w:ascii="Times New Roman" w:hAnsi="Times New Roman" w:cs="Times New Roman"/>
                        <w:b/>
                        <w:bCs/>
                      </w:rPr>
                      <w:t>2</w:t>
                    </w:r>
                    <w:r>
                      <w:rPr>
                        <w:rFonts w:ascii="Times New Roman" w:cs="Times New Roman"/>
                        <w:b/>
                        <w:bCs/>
                      </w:rPr>
                      <w:t>．不涉及现金收支的重大投资和筹资活动：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655636739ee84751ab668093a128e30d"/>
                <w:id w:val="865726529"/>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债务转为资本</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jc w:val="right"/>
                  <w:rPr>
                    <w:rFonts w:ascii="Times New Roman" w:hAnsi="Times New Roman" w:cs="Times New Roman"/>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256cf5f86c34d5bb6f6784047858fa0"/>
                <w:id w:val="865726530"/>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一年内到期的可转换公司债券</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jc w:val="right"/>
                  <w:rPr>
                    <w:rFonts w:ascii="Times New Roman" w:hAnsi="Times New Roman" w:cs="Times New Roman"/>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d59267cd8d7d452fac4c9bc41205c801"/>
                <w:id w:val="865726531"/>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融资租入固定资产</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jc w:val="right"/>
                  <w:rPr>
                    <w:rFonts w:ascii="Times New Roman" w:hAnsi="Times New Roman" w:cs="Times New Roman"/>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b32f2ba3b4a94101978cc22144b58749"/>
                <w:id w:val="865726532"/>
                <w:lock w:val="sdtLocked"/>
              </w:sdtPr>
              <w:sdtEndPr>
                <w:rPr>
                  <w:rFonts w:ascii="Times New Roman" w:hAnsi="Times New Roman" w:cs="Times New Roman"/>
                </w:rPr>
              </w:sdtEnd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tcPr>
                  <w:p>
                    <w:pPr>
                      <w:rPr>
                        <w:rFonts w:ascii="Times New Roman" w:hAnsi="Times New Roman" w:cs="Times New Roman"/>
                      </w:rPr>
                    </w:pPr>
                    <w:r>
                      <w:rPr>
                        <w:rFonts w:ascii="Times New Roman" w:hAnsi="Times New Roman" w:cs="Times New Roman"/>
                        <w:b/>
                        <w:bCs/>
                      </w:rPr>
                      <w:t>3</w:t>
                    </w:r>
                    <w:r>
                      <w:rPr>
                        <w:rFonts w:ascii="Times New Roman" w:cs="Times New Roman"/>
                        <w:b/>
                        <w:bCs/>
                      </w:rPr>
                      <w:t>．现金及现金等价物净变动情况：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ce5f5dd10ce14f14b2630fa4d067c065"/>
                <w:id w:val="865726533"/>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现金的期末余额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1,225,515,670.06</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612,520,539.26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4086e070f5d54fb29cce570f72724cbb"/>
                <w:id w:val="865726534"/>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减：现金的期初余额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612,520,539.26</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721,525,723.83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1c91c4a914b649cfab66292de8099b2d"/>
                <w:id w:val="865726535"/>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加：现金等价物的期末余额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3477f6eacd034d7382014e3c1eb89ed3"/>
                <w:id w:val="865726536"/>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减：现金等价物的期初余额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bCs/>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imes New Roman" w:hAnsi="Times New Roman" w:cs="Times New Roman"/>
                </w:rPr>
                <w:tag w:val="_PLD_2ea0766a6a7d4c8bbcf5d81bbec324ef"/>
                <w:id w:val="865726537"/>
                <w:lock w:val="sdtLocked"/>
              </w:sdtPr>
              <w:sdtEndPr>
                <w:rPr>
                  <w:rFonts w:ascii="Times New Roman" w:hAnsi="Times New Roman" w:cs="Times New Roman"/>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rPr>
                    </w:pPr>
                    <w:r>
                      <w:rPr>
                        <w:rFonts w:ascii="Times New Roman" w:cs="Times New Roman"/>
                      </w:rPr>
                      <w:t>现金及现金等价物净增加额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612,995,130.80</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-109,005,184.57</w:t>
                </w:r>
              </w:p>
            </w:tc>
          </w:tr>
        </w:tbl>
        <w:p/>
      </w:sdtContent>
    </w:sdt>
    <w:sdt>
      <w:sdtPr>
        <w:rPr>
          <w:rFonts w:hint="eastAsia" w:ascii="宋体" w:hAnsi="宋体" w:eastAsia="宋体" w:cs="宋体"/>
          <w:b w:val="0"/>
          <w:bCs w:val="0"/>
          <w:kern w:val="0"/>
          <w:szCs w:val="24"/>
        </w:rPr>
        <w:alias w:val="模块:取得子公司支付的现金净额"/>
        <w:tag w:val="_SEC_971240b1511b4283b56dedb17a919272"/>
        <w:id w:val="865726540"/>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113"/>
            </w:numPr>
            <w:ind w:left="426" w:hanging="426"/>
          </w:pPr>
          <w:r>
            <w:rPr>
              <w:rFonts w:hint="eastAsia"/>
            </w:rPr>
            <w:t>本期</w:t>
          </w:r>
          <w:r>
            <w:rPr>
              <w:rFonts w:hint="eastAsia" w:ascii="宋体" w:hAnsi="宋体" w:cs="宋体"/>
              <w:kern w:val="0"/>
            </w:rPr>
            <w:t>支付的</w:t>
          </w:r>
          <w:r>
            <w:rPr>
              <w:rFonts w:hint="eastAsia"/>
            </w:rPr>
            <w:t>取得子公司的现金净额</w:t>
          </w:r>
        </w:p>
        <w:p>
          <w:sdt>
            <w:sdtPr>
              <w:alias w:val="是否适用：本期支付的取得子公司的现金净额[双击切换]"/>
              <w:tag w:val="_GBC_e15d87c710624e119515f4697cba951d"/>
              <w:id w:val="865726539"/>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sdtContent>
    </w:sdt>
    <w:p/>
    <w:sdt>
      <w:sdtPr>
        <w:rPr>
          <w:rFonts w:hint="eastAsia" w:ascii="宋体" w:hAnsi="宋体" w:eastAsia="宋体" w:cs="宋体"/>
          <w:b w:val="0"/>
          <w:bCs w:val="0"/>
          <w:kern w:val="0"/>
          <w:szCs w:val="24"/>
        </w:rPr>
        <w:alias w:val="模块:处置子公司收到的现金净额"/>
        <w:tag w:val="_SEC_c13aa60d3ee2485187cd10bae50b72d3"/>
        <w:id w:val="865726542"/>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113"/>
            </w:numPr>
            <w:ind w:left="426" w:hanging="426"/>
          </w:pPr>
          <w:r>
            <w:rPr>
              <w:rFonts w:hint="eastAsia" w:ascii="宋体" w:hAnsi="宋体" w:cs="宋体"/>
              <w:kern w:val="0"/>
              <w:szCs w:val="24"/>
            </w:rPr>
            <w:t>本期收到的</w:t>
          </w:r>
          <w:r>
            <w:rPr>
              <w:rFonts w:hint="eastAsia"/>
            </w:rPr>
            <w:t>处置子公司的现金净额</w:t>
          </w:r>
        </w:p>
        <w:p>
          <w:sdt>
            <w:sdtPr>
              <w:alias w:val="是否适用：本期收到的处置子公司的现金净额[双击切换]"/>
              <w:tag w:val="_GBC_34f955c7fd1f404b9df6ccd09e080d38"/>
              <w:id w:val="865726541"/>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sdtContent>
    </w:sdt>
    <w:p/>
    <w:sdt>
      <w:sdtPr>
        <w:rPr>
          <w:rFonts w:hint="eastAsia" w:ascii="宋体" w:hAnsi="宋体" w:eastAsia="宋体" w:cs="宋体"/>
          <w:b w:val="0"/>
          <w:bCs w:val="0"/>
          <w:kern w:val="0"/>
          <w:szCs w:val="24"/>
        </w:rPr>
        <w:alias w:val="模块:现金和现金等价物的构成"/>
        <w:tag w:val="_SEC_4dd83b47da414fd18ef87a83dbc8a22a"/>
        <w:id w:val="865726564"/>
        <w:lock w:val="sdtLocked"/>
        <w:placeholder>
          <w:docPart w:val="GBC22222222222222222222222222222"/>
        </w:placeholder>
      </w:sdtPr>
      <w:sdtEndPr>
        <w:rPr>
          <w:rFonts w:hint="default" w:ascii="宋体" w:hAnsi="宋体" w:eastAsia="宋体" w:cs="宋体"/>
          <w:b w:val="0"/>
          <w:bCs w:val="0"/>
          <w:kern w:val="0"/>
          <w:szCs w:val="22"/>
        </w:rPr>
      </w:sdtEndPr>
      <w:sdtContent>
        <w:p>
          <w:pPr>
            <w:pStyle w:val="5"/>
            <w:numPr>
              <w:ilvl w:val="0"/>
              <w:numId w:val="113"/>
            </w:numPr>
            <w:ind w:left="426" w:hanging="426"/>
          </w:pPr>
          <w:r>
            <w:rPr>
              <w:rFonts w:hint="eastAsia" w:ascii="宋体" w:hAnsi="宋体"/>
            </w:rPr>
            <w:t>现金</w:t>
          </w:r>
          <w:r>
            <w:rPr>
              <w:rFonts w:hint="eastAsia"/>
            </w:rPr>
            <w:t>和现金等价物的构成</w:t>
          </w:r>
        </w:p>
        <w:sdt>
          <w:sdtPr>
            <w:alias w:val="是否适用：现金和现金等价物的构成[双击切换]"/>
            <w:tag w:val="_GBC_491189eaa80041618842ef50d90276c8"/>
            <w:id w:val="86572654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rPr>
            <w:t>单位：</w:t>
          </w:r>
          <w:sdt>
            <w:sdtPr>
              <w:rPr>
                <w:rFonts w:hint="eastAsia"/>
              </w:rPr>
              <w:alias w:val="单位：财务附注：现金和现金等价物的构成"/>
              <w:tag w:val="_GBC_ae4a256eecad4f3f9ecc6e2e71ab2c7d"/>
              <w:id w:val="8657265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8657265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3"/>
            <w:gridCol w:w="2921"/>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f236b4353ebb4174a1d752e2dd8d5962"/>
                <w:id w:val="865726546"/>
                <w:lock w:val="sdtLocked"/>
              </w:sdtPr>
              <w:sdtEndPr>
                <w:rPr>
                  <w:rFonts w:ascii="Times New Roman" w:hAnsi="Times New Roman" w:cs="Times New Roman"/>
                </w:rPr>
              </w:sdtEndPr>
              <w:sdtContent>
                <w:tc>
                  <w:tcPr>
                    <w:tcW w:w="1875" w:type="pct"/>
                    <w:tcBorders>
                      <w:bottom w:val="single" w:color="auto" w:sz="4" w:space="0"/>
                    </w:tcBorders>
                    <w:shd w:val="clear" w:color="auto" w:fill="auto"/>
                    <w:vAlign w:val="center"/>
                  </w:tcPr>
                  <w:p>
                    <w:pPr>
                      <w:ind w:left="-107" w:leftChars="-51"/>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74f42234ca4e43f7b8ddb72b330e411d"/>
                <w:id w:val="865726547"/>
                <w:lock w:val="sdtLocked"/>
              </w:sdtPr>
              <w:sdtEndPr>
                <w:rPr>
                  <w:rFonts w:ascii="Times New Roman" w:hAnsi="Times New Roman" w:cs="Times New Roman"/>
                </w:rPr>
              </w:sdtEndPr>
              <w:sdtContent>
                <w:tc>
                  <w:tcPr>
                    <w:tcW w:w="1614" w:type="pct"/>
                    <w:shd w:val="clear" w:color="auto" w:fill="auto"/>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acedd6f1968c4c8e9a0e547b5501996e"/>
                <w:id w:val="865726548"/>
                <w:lock w:val="sdtLocked"/>
              </w:sdtPr>
              <w:sdtEndPr>
                <w:rPr>
                  <w:rFonts w:ascii="Times New Roman" w:hAnsi="Times New Roman" w:cs="Times New Roman"/>
                </w:rPr>
              </w:sdtEndPr>
              <w:sdtContent>
                <w:tc>
                  <w:tcPr>
                    <w:tcW w:w="1511" w:type="pct"/>
                    <w:shd w:val="clear" w:color="auto" w:fill="auto"/>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c30974bcf6934ec0baf9b0fa14607d4b"/>
                <w:id w:val="865726549"/>
                <w:lock w:val="sdtLocked"/>
              </w:sdtPr>
              <w:sdtEndPr>
                <w:rPr>
                  <w:rFonts w:ascii="Times New Roman" w:hAnsi="Times New Roman" w:cs="Times New Roman"/>
                </w:rPr>
              </w:sdtEndPr>
              <w:sdtContent>
                <w:tc>
                  <w:tcPr>
                    <w:tcW w:w="1875" w:type="pct"/>
                    <w:shd w:val="clear" w:color="auto" w:fill="auto"/>
                    <w:vAlign w:val="center"/>
                  </w:tcPr>
                  <w:p>
                    <w:pPr>
                      <w:rPr>
                        <w:rFonts w:ascii="Times New Roman" w:hAnsi="Times New Roman" w:cs="Times New Roman"/>
                        <w:szCs w:val="21"/>
                      </w:rPr>
                    </w:pPr>
                    <w:r>
                      <w:rPr>
                        <w:rFonts w:ascii="Times New Roman" w:cs="Times New Roman"/>
                        <w:szCs w:val="21"/>
                      </w:rPr>
                      <w:t>一、现金</w:t>
                    </w:r>
                  </w:p>
                </w:tc>
              </w:sdtContent>
            </w:sdt>
            <w:tc>
              <w:tcPr>
                <w:tcW w:w="1614" w:type="pct"/>
                <w:shd w:val="clear" w:color="auto" w:fill="auto"/>
                <w:vAlign w:val="center"/>
              </w:tcPr>
              <w:p>
                <w:pPr>
                  <w:jc w:val="right"/>
                  <w:rPr>
                    <w:rFonts w:ascii="Times New Roman" w:hAnsi="Times New Roman" w:cs="Times New Roman"/>
                    <w:sz w:val="24"/>
                  </w:rPr>
                </w:pPr>
                <w:r>
                  <w:rPr>
                    <w:rFonts w:ascii="Times New Roman" w:hAnsi="Times New Roman" w:cs="Times New Roman"/>
                  </w:rPr>
                  <w:t>1,225,515,670.06</w:t>
                </w:r>
              </w:p>
            </w:tc>
            <w:tc>
              <w:tcPr>
                <w:tcW w:w="1511" w:type="pct"/>
                <w:shd w:val="clear" w:color="auto" w:fill="auto"/>
                <w:vAlign w:val="center"/>
              </w:tcPr>
              <w:p>
                <w:pPr>
                  <w:jc w:val="right"/>
                  <w:rPr>
                    <w:rFonts w:ascii="Times New Roman" w:hAnsi="Times New Roman" w:cs="Times New Roman"/>
                    <w:sz w:val="24"/>
                  </w:rPr>
                </w:pPr>
                <w:r>
                  <w:rPr>
                    <w:rFonts w:ascii="Times New Roman" w:hAnsi="Times New Roman" w:cs="Times New Roman"/>
                  </w:rPr>
                  <w:t>612,520,539.26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2448924633ff47a2a056b74831275190"/>
                <w:id w:val="865726550"/>
                <w:lock w:val="sdtLocked"/>
              </w:sdtPr>
              <w:sdtEndPr>
                <w:rPr>
                  <w:rFonts w:ascii="Times New Roman" w:hAnsi="Times New Roman" w:cs="Times New Roman"/>
                </w:rPr>
              </w:sdtEndPr>
              <w:sdtContent>
                <w:tc>
                  <w:tcPr>
                    <w:tcW w:w="1875" w:type="pct"/>
                    <w:shd w:val="clear" w:color="auto" w:fill="auto"/>
                    <w:vAlign w:val="center"/>
                  </w:tcPr>
                  <w:p>
                    <w:pPr>
                      <w:rPr>
                        <w:rFonts w:ascii="Times New Roman" w:hAnsi="Times New Roman" w:cs="Times New Roman"/>
                        <w:szCs w:val="21"/>
                      </w:rPr>
                    </w:pPr>
                    <w:r>
                      <w:rPr>
                        <w:rFonts w:ascii="Times New Roman" w:cs="Times New Roman"/>
                        <w:szCs w:val="21"/>
                      </w:rPr>
                      <w:t>其中：库存现金</w:t>
                    </w:r>
                  </w:p>
                </w:tc>
              </w:sdtContent>
            </w:sdt>
            <w:tc>
              <w:tcPr>
                <w:tcW w:w="1614" w:type="pct"/>
                <w:shd w:val="clear" w:color="auto" w:fill="auto"/>
                <w:vAlign w:val="center"/>
              </w:tcPr>
              <w:p>
                <w:pPr>
                  <w:jc w:val="right"/>
                  <w:rPr>
                    <w:rFonts w:ascii="Times New Roman" w:hAnsi="Times New Roman" w:cs="Times New Roman"/>
                    <w:sz w:val="24"/>
                  </w:rPr>
                </w:pPr>
                <w:r>
                  <w:rPr>
                    <w:rFonts w:ascii="Times New Roman" w:hAnsi="Times New Roman" w:cs="Times New Roman"/>
                  </w:rPr>
                  <w:t>28,210.29</w:t>
                </w:r>
              </w:p>
            </w:tc>
            <w:tc>
              <w:tcPr>
                <w:tcW w:w="1511" w:type="pct"/>
                <w:shd w:val="clear" w:color="auto" w:fill="auto"/>
                <w:vAlign w:val="center"/>
              </w:tcPr>
              <w:p>
                <w:pPr>
                  <w:jc w:val="right"/>
                  <w:rPr>
                    <w:rFonts w:ascii="Times New Roman" w:hAnsi="Times New Roman" w:cs="Times New Roman"/>
                    <w:sz w:val="24"/>
                  </w:rPr>
                </w:pPr>
                <w:r>
                  <w:rPr>
                    <w:rFonts w:ascii="Times New Roman" w:hAnsi="Times New Roman" w:cs="Times New Roman"/>
                  </w:rPr>
                  <w:t>14,663.88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7c1d37ef90854383849abb5794e386ca"/>
                <w:id w:val="865726551"/>
                <w:lock w:val="sdtLocked"/>
              </w:sdtPr>
              <w:sdtEndPr>
                <w:rPr>
                  <w:rFonts w:ascii="Times New Roman" w:hAnsi="Times New Roman" w:cs="Times New Roman"/>
                </w:rPr>
              </w:sdtEndPr>
              <w:sdtContent>
                <w:tc>
                  <w:tcPr>
                    <w:tcW w:w="1875" w:type="pct"/>
                    <w:shd w:val="clear" w:color="auto" w:fill="auto"/>
                    <w:vAlign w:val="center"/>
                  </w:tcPr>
                  <w:p>
                    <w:pPr>
                      <w:rPr>
                        <w:rFonts w:ascii="Times New Roman" w:hAnsi="Times New Roman" w:cs="Times New Roman"/>
                        <w:szCs w:val="21"/>
                      </w:rPr>
                    </w:pPr>
                    <w:r>
                      <w:rPr>
                        <w:rFonts w:ascii="Times New Roman" w:cs="Times New Roman"/>
                        <w:szCs w:val="21"/>
                      </w:rPr>
                      <w:t>　　可随时用于支付的银行存款</w:t>
                    </w:r>
                  </w:p>
                </w:tc>
              </w:sdtContent>
            </w:sdt>
            <w:tc>
              <w:tcPr>
                <w:tcW w:w="1614" w:type="pct"/>
                <w:shd w:val="clear" w:color="auto" w:fill="auto"/>
                <w:vAlign w:val="center"/>
              </w:tcPr>
              <w:p>
                <w:pPr>
                  <w:jc w:val="right"/>
                  <w:rPr>
                    <w:rFonts w:ascii="Times New Roman" w:hAnsi="Times New Roman" w:cs="Times New Roman"/>
                    <w:sz w:val="24"/>
                  </w:rPr>
                </w:pPr>
                <w:r>
                  <w:rPr>
                    <w:rFonts w:ascii="Times New Roman" w:hAnsi="Times New Roman" w:cs="Times New Roman"/>
                  </w:rPr>
                  <w:t>1,225,454,063.77</w:t>
                </w:r>
              </w:p>
            </w:tc>
            <w:tc>
              <w:tcPr>
                <w:tcW w:w="1511" w:type="pct"/>
                <w:shd w:val="clear" w:color="auto" w:fill="auto"/>
                <w:vAlign w:val="center"/>
              </w:tcPr>
              <w:p>
                <w:pPr>
                  <w:jc w:val="right"/>
                  <w:rPr>
                    <w:rFonts w:ascii="Times New Roman" w:hAnsi="Times New Roman" w:cs="Times New Roman"/>
                    <w:sz w:val="24"/>
                  </w:rPr>
                </w:pPr>
                <w:r>
                  <w:rPr>
                    <w:rFonts w:ascii="Times New Roman" w:hAnsi="Times New Roman" w:cs="Times New Roman"/>
                  </w:rPr>
                  <w:t>612,398,943.48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sdt>
              <w:sdtPr>
                <w:rPr>
                  <w:rFonts w:ascii="Times New Roman" w:hAnsi="Times New Roman" w:cs="Times New Roman"/>
                </w:rPr>
                <w:tag w:val="_PLD_edb06094538948b280e2e88028c5768c"/>
                <w:id w:val="865726552"/>
                <w:lock w:val="sdtLocked"/>
              </w:sdtPr>
              <w:sdtEndPr>
                <w:rPr>
                  <w:rFonts w:ascii="Times New Roman" w:hAnsi="Times New Roman" w:cs="Times New Roman"/>
                </w:rPr>
              </w:sdtEndPr>
              <w:sdtContent>
                <w:tc>
                  <w:tcPr>
                    <w:tcW w:w="1875" w:type="pct"/>
                    <w:shd w:val="clear" w:color="auto" w:fill="auto"/>
                    <w:vAlign w:val="center"/>
                  </w:tcPr>
                  <w:p>
                    <w:pPr>
                      <w:rPr>
                        <w:rFonts w:ascii="Times New Roman" w:hAnsi="Times New Roman" w:cs="Times New Roman"/>
                        <w:szCs w:val="21"/>
                      </w:rPr>
                    </w:pPr>
                    <w:r>
                      <w:rPr>
                        <w:rFonts w:ascii="Times New Roman" w:cs="Times New Roman"/>
                        <w:szCs w:val="21"/>
                      </w:rPr>
                      <w:t>　　可随时用于支付的其他货币资金</w:t>
                    </w:r>
                  </w:p>
                </w:tc>
              </w:sdtContent>
            </w:sdt>
            <w:tc>
              <w:tcPr>
                <w:tcW w:w="1614" w:type="pct"/>
                <w:shd w:val="clear" w:color="auto" w:fill="auto"/>
                <w:vAlign w:val="center"/>
              </w:tcPr>
              <w:p>
                <w:pPr>
                  <w:jc w:val="right"/>
                  <w:rPr>
                    <w:rFonts w:ascii="Times New Roman" w:hAnsi="Times New Roman" w:cs="Times New Roman"/>
                    <w:sz w:val="24"/>
                  </w:rPr>
                </w:pPr>
                <w:r>
                  <w:rPr>
                    <w:rFonts w:ascii="Times New Roman" w:hAnsi="Times New Roman" w:cs="Times New Roman"/>
                  </w:rPr>
                  <w:t>33,396.00</w:t>
                </w:r>
              </w:p>
            </w:tc>
            <w:tc>
              <w:tcPr>
                <w:tcW w:w="1511" w:type="pct"/>
                <w:shd w:val="clear" w:color="auto" w:fill="auto"/>
                <w:vAlign w:val="center"/>
              </w:tcPr>
              <w:p>
                <w:pPr>
                  <w:jc w:val="right"/>
                  <w:rPr>
                    <w:rFonts w:ascii="Times New Roman" w:hAnsi="Times New Roman" w:cs="Times New Roman"/>
                    <w:sz w:val="24"/>
                  </w:rPr>
                </w:pPr>
                <w:r>
                  <w:rPr>
                    <w:rFonts w:ascii="Times New Roman" w:hAnsi="Times New Roman" w:cs="Times New Roman"/>
                  </w:rPr>
                  <w:t>106,931.90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77b2ead3898a4e50a1fbacd39f88a461"/>
                <w:id w:val="865726553"/>
                <w:lock w:val="sdtLocked"/>
              </w:sdtPr>
              <w:sdtEndPr>
                <w:rPr>
                  <w:rFonts w:ascii="Times New Roman" w:hAnsi="Times New Roman" w:cs="Times New Roman"/>
                </w:rPr>
              </w:sdtEndPr>
              <w:sdtContent>
                <w:tc>
                  <w:tcPr>
                    <w:tcW w:w="1875" w:type="pct"/>
                    <w:shd w:val="clear" w:color="auto" w:fill="auto"/>
                    <w:vAlign w:val="center"/>
                  </w:tcPr>
                  <w:p>
                    <w:pPr>
                      <w:rPr>
                        <w:rFonts w:ascii="Times New Roman" w:hAnsi="Times New Roman" w:cs="Times New Roman"/>
                        <w:szCs w:val="21"/>
                      </w:rPr>
                    </w:pPr>
                    <w:r>
                      <w:rPr>
                        <w:rFonts w:ascii="Times New Roman" w:cs="Times New Roman"/>
                        <w:szCs w:val="21"/>
                      </w:rPr>
                      <w:t>　　可用于支付的存放中央银行款项</w:t>
                    </w:r>
                  </w:p>
                </w:tc>
              </w:sdtContent>
            </w:sdt>
            <w:tc>
              <w:tcPr>
                <w:tcW w:w="1614" w:type="pct"/>
                <w:shd w:val="clear" w:color="auto" w:fill="auto"/>
                <w:vAlign w:val="center"/>
              </w:tcPr>
              <w:p>
                <w:pPr>
                  <w:jc w:val="right"/>
                  <w:rPr>
                    <w:rFonts w:ascii="Times New Roman" w:hAnsi="Times New Roman" w:cs="Times New Roman"/>
                    <w:szCs w:val="21"/>
                  </w:rPr>
                </w:pPr>
              </w:p>
            </w:tc>
            <w:tc>
              <w:tcPr>
                <w:tcW w:w="1511"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04f13530c5ee43daa46681c189519f4e"/>
                <w:id w:val="865726554"/>
                <w:lock w:val="sdtLocked"/>
              </w:sdtPr>
              <w:sdtEndPr>
                <w:rPr>
                  <w:rFonts w:ascii="Times New Roman" w:hAnsi="Times New Roman" w:cs="Times New Roman"/>
                </w:rPr>
              </w:sdtEndPr>
              <w:sdtContent>
                <w:tc>
                  <w:tcPr>
                    <w:tcW w:w="1875" w:type="pct"/>
                    <w:shd w:val="clear" w:color="auto" w:fill="auto"/>
                    <w:vAlign w:val="center"/>
                  </w:tcPr>
                  <w:p>
                    <w:pPr>
                      <w:rPr>
                        <w:rFonts w:ascii="Times New Roman" w:hAnsi="Times New Roman" w:cs="Times New Roman"/>
                        <w:szCs w:val="21"/>
                      </w:rPr>
                    </w:pPr>
                    <w:r>
                      <w:rPr>
                        <w:rFonts w:ascii="Times New Roman" w:cs="Times New Roman"/>
                        <w:szCs w:val="21"/>
                      </w:rPr>
                      <w:t>　　存放同业款项</w:t>
                    </w:r>
                  </w:p>
                </w:tc>
              </w:sdtContent>
            </w:sdt>
            <w:tc>
              <w:tcPr>
                <w:tcW w:w="1614" w:type="pct"/>
                <w:shd w:val="clear" w:color="auto" w:fill="auto"/>
                <w:vAlign w:val="center"/>
              </w:tcPr>
              <w:p>
                <w:pPr>
                  <w:jc w:val="right"/>
                  <w:rPr>
                    <w:rFonts w:ascii="Times New Roman" w:hAnsi="Times New Roman" w:cs="Times New Roman"/>
                    <w:szCs w:val="21"/>
                  </w:rPr>
                </w:pPr>
              </w:p>
            </w:tc>
            <w:tc>
              <w:tcPr>
                <w:tcW w:w="1511"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b930b521ee7d44c485fa175f84415f98"/>
                <w:id w:val="865726555"/>
                <w:lock w:val="sdtLocked"/>
              </w:sdtPr>
              <w:sdtEndPr>
                <w:rPr>
                  <w:rFonts w:ascii="Times New Roman" w:hAnsi="Times New Roman" w:cs="Times New Roman"/>
                </w:rPr>
              </w:sdtEndPr>
              <w:sdtContent>
                <w:tc>
                  <w:tcPr>
                    <w:tcW w:w="1875" w:type="pct"/>
                    <w:shd w:val="clear" w:color="auto" w:fill="auto"/>
                    <w:vAlign w:val="center"/>
                  </w:tcPr>
                  <w:p>
                    <w:pPr>
                      <w:rPr>
                        <w:rFonts w:ascii="Times New Roman" w:hAnsi="Times New Roman" w:cs="Times New Roman"/>
                        <w:szCs w:val="21"/>
                      </w:rPr>
                    </w:pPr>
                    <w:r>
                      <w:rPr>
                        <w:rFonts w:ascii="Times New Roman" w:cs="Times New Roman"/>
                        <w:szCs w:val="21"/>
                      </w:rPr>
                      <w:t>　　拆放同业款项</w:t>
                    </w:r>
                  </w:p>
                </w:tc>
              </w:sdtContent>
            </w:sdt>
            <w:tc>
              <w:tcPr>
                <w:tcW w:w="1614" w:type="pct"/>
                <w:shd w:val="clear" w:color="auto" w:fill="auto"/>
                <w:vAlign w:val="center"/>
              </w:tcPr>
              <w:p>
                <w:pPr>
                  <w:jc w:val="right"/>
                  <w:rPr>
                    <w:rFonts w:ascii="Times New Roman" w:hAnsi="Times New Roman" w:cs="Times New Roman"/>
                    <w:szCs w:val="21"/>
                  </w:rPr>
                </w:pPr>
              </w:p>
            </w:tc>
            <w:tc>
              <w:tcPr>
                <w:tcW w:w="1511"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f00d7a66342f4877aaddfcaf2bb31e3d"/>
                <w:id w:val="865726556"/>
                <w:lock w:val="sdtLocked"/>
              </w:sdtPr>
              <w:sdtEndPr>
                <w:rPr>
                  <w:rFonts w:ascii="Times New Roman" w:hAnsi="Times New Roman" w:cs="Times New Roman"/>
                </w:rPr>
              </w:sdtEndPr>
              <w:sdtContent>
                <w:tc>
                  <w:tcPr>
                    <w:tcW w:w="1875" w:type="pct"/>
                    <w:shd w:val="clear" w:color="auto" w:fill="auto"/>
                    <w:vAlign w:val="center"/>
                  </w:tcPr>
                  <w:p>
                    <w:pPr>
                      <w:rPr>
                        <w:rFonts w:ascii="Times New Roman" w:hAnsi="Times New Roman" w:cs="Times New Roman"/>
                        <w:szCs w:val="21"/>
                      </w:rPr>
                    </w:pPr>
                    <w:r>
                      <w:rPr>
                        <w:rFonts w:ascii="Times New Roman" w:cs="Times New Roman"/>
                        <w:szCs w:val="21"/>
                      </w:rPr>
                      <w:t>二、现金等价物</w:t>
                    </w:r>
                  </w:p>
                </w:tc>
              </w:sdtContent>
            </w:sdt>
            <w:tc>
              <w:tcPr>
                <w:tcW w:w="1614" w:type="pct"/>
                <w:shd w:val="clear" w:color="auto" w:fill="auto"/>
                <w:vAlign w:val="center"/>
              </w:tcPr>
              <w:p>
                <w:pPr>
                  <w:jc w:val="right"/>
                  <w:rPr>
                    <w:rFonts w:ascii="Times New Roman" w:hAnsi="Times New Roman" w:cs="Times New Roman"/>
                    <w:szCs w:val="21"/>
                  </w:rPr>
                </w:pPr>
              </w:p>
            </w:tc>
            <w:tc>
              <w:tcPr>
                <w:tcW w:w="1511" w:type="pct"/>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16299fa18d31408093e302515df85929"/>
                <w:id w:val="865726557"/>
                <w:lock w:val="sdtLocked"/>
              </w:sdtPr>
              <w:sdtEndPr>
                <w:rPr>
                  <w:rFonts w:ascii="Times New Roman" w:hAnsi="Times New Roman" w:cs="Times New Roman"/>
                </w:rPr>
              </w:sdtEndPr>
              <w:sdtContent>
                <w:tc>
                  <w:tcPr>
                    <w:tcW w:w="1875" w:type="pct"/>
                    <w:tcBorders>
                      <w:bottom w:val="single" w:color="auto" w:sz="4" w:space="0"/>
                    </w:tcBorders>
                    <w:shd w:val="clear" w:color="auto" w:fill="auto"/>
                    <w:vAlign w:val="center"/>
                  </w:tcPr>
                  <w:p>
                    <w:pPr>
                      <w:rPr>
                        <w:rFonts w:ascii="Times New Roman" w:hAnsi="Times New Roman" w:cs="Times New Roman"/>
                        <w:szCs w:val="21"/>
                      </w:rPr>
                    </w:pPr>
                    <w:r>
                      <w:rPr>
                        <w:rFonts w:ascii="Times New Roman" w:cs="Times New Roman"/>
                        <w:szCs w:val="21"/>
                      </w:rPr>
                      <w:t>其中：三个月内到期的债券投资</w:t>
                    </w:r>
                  </w:p>
                </w:tc>
              </w:sdtContent>
            </w:sdt>
            <w:tc>
              <w:tcPr>
                <w:tcW w:w="1614" w:type="pct"/>
                <w:tcBorders>
                  <w:bottom w:val="single" w:color="auto" w:sz="4" w:space="0"/>
                </w:tcBorders>
                <w:shd w:val="clear" w:color="auto" w:fill="auto"/>
                <w:vAlign w:val="center"/>
              </w:tcPr>
              <w:p>
                <w:pPr>
                  <w:jc w:val="right"/>
                  <w:rPr>
                    <w:rFonts w:ascii="Times New Roman" w:hAnsi="Times New Roman" w:cs="Times New Roman"/>
                    <w:szCs w:val="21"/>
                  </w:rPr>
                </w:pPr>
              </w:p>
            </w:tc>
            <w:tc>
              <w:tcPr>
                <w:tcW w:w="1511" w:type="pct"/>
                <w:tcBorders>
                  <w:bottom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c0edd92776694605b840649582e6ae33"/>
                <w:id w:val="865726560"/>
                <w:lock w:val="sdtLocked"/>
              </w:sdtPr>
              <w:sdtEndPr>
                <w:rPr>
                  <w:rFonts w:ascii="Times New Roman" w:hAnsi="Times New Roman" w:cs="Times New Roman"/>
                </w:rPr>
              </w:sdtEndPr>
              <w:sdtContent>
                <w:tc>
                  <w:tcPr>
                    <w:tcW w:w="1875" w:type="pct"/>
                    <w:shd w:val="clear" w:color="auto" w:fill="auto"/>
                    <w:vAlign w:val="center"/>
                  </w:tcPr>
                  <w:p>
                    <w:pPr>
                      <w:rPr>
                        <w:rFonts w:ascii="Times New Roman" w:hAnsi="Times New Roman" w:cs="Times New Roman"/>
                        <w:szCs w:val="21"/>
                      </w:rPr>
                    </w:pPr>
                    <w:r>
                      <w:rPr>
                        <w:rFonts w:ascii="Times New Roman" w:cs="Times New Roman"/>
                        <w:szCs w:val="21"/>
                      </w:rPr>
                      <w:t>三、期末现金及现金等价物余额</w:t>
                    </w:r>
                  </w:p>
                </w:tc>
              </w:sdtContent>
            </w:sdt>
            <w:tc>
              <w:tcPr>
                <w:tcW w:w="1614" w:type="pct"/>
                <w:shd w:val="clear" w:color="auto" w:fill="auto"/>
                <w:vAlign w:val="center"/>
              </w:tcPr>
              <w:p>
                <w:pPr>
                  <w:jc w:val="right"/>
                  <w:rPr>
                    <w:rFonts w:ascii="Times New Roman" w:hAnsi="Times New Roman" w:cs="Times New Roman"/>
                    <w:sz w:val="24"/>
                  </w:rPr>
                </w:pPr>
                <w:r>
                  <w:rPr>
                    <w:rFonts w:ascii="Times New Roman" w:hAnsi="Times New Roman" w:cs="Times New Roman"/>
                  </w:rPr>
                  <w:t>1,225,515,670.06</w:t>
                </w:r>
              </w:p>
            </w:tc>
            <w:tc>
              <w:tcPr>
                <w:tcW w:w="1511" w:type="pct"/>
                <w:shd w:val="clear" w:color="auto" w:fill="auto"/>
                <w:vAlign w:val="center"/>
              </w:tcPr>
              <w:p>
                <w:pPr>
                  <w:jc w:val="right"/>
                  <w:rPr>
                    <w:rFonts w:ascii="Times New Roman" w:hAnsi="Times New Roman" w:cs="Times New Roman"/>
                    <w:sz w:val="24"/>
                  </w:rPr>
                </w:pPr>
                <w:r>
                  <w:rPr>
                    <w:rFonts w:ascii="Times New Roman" w:hAnsi="Times New Roman" w:cs="Times New Roman"/>
                  </w:rPr>
                  <w:t>612,520,539.26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cs="Times New Roman"/>
                </w:rPr>
                <w:tag w:val="_PLD_106c165f11654e62a63b02963df9683a"/>
                <w:id w:val="865726561"/>
                <w:lock w:val="sdtLocked"/>
              </w:sdtPr>
              <w:sdtEndPr>
                <w:rPr>
                  <w:rFonts w:ascii="Times New Roman" w:hAnsi="Times New Roman" w:cs="Times New Roman"/>
                </w:rPr>
              </w:sdtEndPr>
              <w:sdtContent>
                <w:tc>
                  <w:tcPr>
                    <w:tcW w:w="1875" w:type="pct"/>
                    <w:shd w:val="clear" w:color="auto" w:fill="auto"/>
                    <w:vAlign w:val="center"/>
                  </w:tcPr>
                  <w:p>
                    <w:pPr>
                      <w:rPr>
                        <w:rFonts w:ascii="Times New Roman" w:hAnsi="Times New Roman" w:cs="Times New Roman"/>
                        <w:szCs w:val="21"/>
                      </w:rPr>
                    </w:pPr>
                    <w:r>
                      <w:rPr>
                        <w:rFonts w:ascii="Times New Roman" w:cs="Times New Roman"/>
                        <w:szCs w:val="21"/>
                      </w:rPr>
                      <w:t>其中：母公司或集团内子公司使用受限制的现金和现金等价物</w:t>
                    </w:r>
                  </w:p>
                </w:tc>
              </w:sdtContent>
            </w:sdt>
            <w:tc>
              <w:tcPr>
                <w:tcW w:w="1614" w:type="pct"/>
                <w:shd w:val="clear" w:color="auto" w:fill="auto"/>
                <w:vAlign w:val="center"/>
              </w:tcPr>
              <w:p>
                <w:pPr>
                  <w:jc w:val="right"/>
                  <w:rPr>
                    <w:rFonts w:ascii="Times New Roman" w:hAnsi="Times New Roman" w:cs="Times New Roman"/>
                    <w:szCs w:val="21"/>
                  </w:rPr>
                </w:pPr>
              </w:p>
            </w:tc>
            <w:tc>
              <w:tcPr>
                <w:tcW w:w="1511" w:type="pct"/>
                <w:shd w:val="clear" w:color="auto" w:fill="auto"/>
                <w:vAlign w:val="center"/>
              </w:tcPr>
              <w:p>
                <w:pPr>
                  <w:jc w:val="right"/>
                  <w:rPr>
                    <w:rFonts w:ascii="Times New Roman" w:hAnsi="Times New Roman" w:cs="Times New Roman"/>
                    <w:szCs w:val="21"/>
                  </w:rPr>
                </w:pPr>
              </w:p>
            </w:tc>
          </w:tr>
        </w:tbl>
        <w:p>
          <w:pPr>
            <w:spacing w:before="60" w:after="60"/>
            <w:rPr>
              <w:szCs w:val="21"/>
            </w:rPr>
          </w:pPr>
        </w:p>
        <w:p>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865726562"/>
            <w:lock w:val="sdtLocked"/>
            <w:placeholder>
              <w:docPart w:val="GBC22222222222222222222222222222"/>
            </w:placeholder>
          </w:sdtPr>
          <w:sdtEndPr>
            <w:rPr>
              <w:szCs w:val="21"/>
            </w:rPr>
          </w:sdtEndPr>
          <w:sdtContent>
            <w:p>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宋体" w:hAnsi="宋体" w:cs="宋体"/>
          <w:b w:val="0"/>
          <w:bCs w:val="0"/>
          <w:kern w:val="0"/>
          <w:szCs w:val="21"/>
        </w:rPr>
        <w:alias w:val="模块:所有者权益变动表项目注释"/>
        <w:tag w:val="_SEC_cbb5e6d5041b434cbee55fb14e7590da"/>
        <w:id w:val="865726566"/>
        <w:lock w:val="sdtLocked"/>
        <w:placeholder>
          <w:docPart w:val="GBC22222222222222222222222222222"/>
        </w:placeholder>
      </w:sdtPr>
      <w:sdtEndPr>
        <w:rPr>
          <w:rFonts w:hint="default" w:ascii="宋体" w:hAnsi="宋体" w:cstheme="minorBidi"/>
          <w:b w:val="0"/>
          <w:bCs w:val="0"/>
          <w:color w:val="FF00FF"/>
          <w:kern w:val="0"/>
          <w:szCs w:val="21"/>
        </w:rPr>
      </w:sdtEndPr>
      <w:sdtContent>
        <w:p>
          <w:pPr>
            <w:pStyle w:val="4"/>
            <w:numPr>
              <w:ilvl w:val="0"/>
              <w:numId w:val="79"/>
            </w:numPr>
            <w:tabs>
              <w:tab w:val="left" w:pos="504"/>
            </w:tabs>
            <w:rPr>
              <w:rFonts w:ascii="宋体" w:hAnsi="宋体"/>
              <w:szCs w:val="21"/>
            </w:rPr>
          </w:pPr>
          <w:r>
            <w:rPr>
              <w:rFonts w:hint="eastAsia" w:ascii="宋体" w:hAnsi="宋体"/>
              <w:szCs w:val="21"/>
            </w:rPr>
            <w:t>所有者权益变动表项目注释</w:t>
          </w:r>
        </w:p>
        <w:p>
          <w:r>
            <w:rPr>
              <w:rFonts w:hint="eastAsia"/>
            </w:rPr>
            <w:t>说明对上年期末余额进行调整的“其他”项目名称及调整金额等事项：</w:t>
          </w:r>
        </w:p>
        <w:sdt>
          <w:sdtPr>
            <w:alias w:val="是否适用：所有者权益变动表项目注释[双击切换]"/>
            <w:tag w:val="_GBC_fca039532a374a3e9daa81c75d491b1f"/>
            <w:id w:val="865726565"/>
            <w:lock w:val="sdtLocked"/>
            <w:placeholder>
              <w:docPart w:val="GBC22222222222222222222222222222"/>
            </w:placeholder>
          </w:sdtPr>
          <w:sdtContent>
            <w:p>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所有权或使用权受到限制的资产"/>
        <w:tag w:val="_SEC_a24445b9d34342ec921f5b1164f97e32"/>
        <w:id w:val="86572657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79"/>
            </w:numPr>
            <w:tabs>
              <w:tab w:val="left" w:pos="504"/>
            </w:tabs>
            <w:rPr>
              <w:rFonts w:ascii="宋体" w:hAnsi="宋体"/>
              <w:szCs w:val="21"/>
            </w:rPr>
          </w:pPr>
          <w:r>
            <w:rPr>
              <w:rFonts w:hint="eastAsia" w:ascii="宋体" w:hAnsi="宋体"/>
              <w:szCs w:val="21"/>
            </w:rPr>
            <w:t>所有权或使用权受到限制的资产</w:t>
          </w:r>
        </w:p>
        <w:sdt>
          <w:sdtPr>
            <w:alias w:val="是否适用：所有权或使用权受到限制的资产[双击切换]"/>
            <w:tag w:val="_GBC_26afe690476a4ece916b86b9b0b7a553"/>
            <w:id w:val="86572656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所有权或使用权受到限制的资产"/>
              <w:tag w:val="_GBC_f85c8a9066d7492f92dd69fd15879505"/>
              <w:id w:val="865726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所有权或使用权受到限制的资产"/>
              <w:tag w:val="_GBC_800db9e7b18c47a3878baf2b0e8cca41"/>
              <w:id w:val="865726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2381"/>
            <w:gridCol w:w="2127"/>
            <w:gridCol w:w="45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sdt>
              <w:sdtPr>
                <w:rPr>
                  <w:rFonts w:ascii="Times New Roman" w:hAnsi="Times New Roman" w:cs="Times New Roman"/>
                </w:rPr>
                <w:tag w:val="_PLD_8e15d7f2fa2e40b09c519ace5a37eb45"/>
                <w:id w:val="865726570"/>
                <w:lock w:val="sdtLocked"/>
              </w:sdtPr>
              <w:sdtEndPr>
                <w:rPr>
                  <w:rFonts w:ascii="Times New Roman" w:hAnsi="Times New Roman" w:cs="Times New Roman"/>
                </w:rPr>
              </w:sdtEndPr>
              <w:sdtContent>
                <w:tc>
                  <w:tcPr>
                    <w:tcW w:w="131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39406572745d477dace6b9315235612b"/>
                <w:id w:val="865726571"/>
                <w:lock w:val="sdtLocked"/>
              </w:sdtPr>
              <w:sdtEndPr>
                <w:rPr>
                  <w:rFonts w:ascii="Times New Roman" w:hAnsi="Times New Roman" w:cs="Times New Roman"/>
                </w:rPr>
              </w:sdtEndPr>
              <w:sdtContent>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szCs w:val="21"/>
                      </w:rPr>
                    </w:pPr>
                    <w:r>
                      <w:rPr>
                        <w:rFonts w:ascii="Times New Roman" w:cs="Times New Roman"/>
                        <w:szCs w:val="21"/>
                      </w:rPr>
                      <w:t>期末账面价值</w:t>
                    </w:r>
                  </w:p>
                </w:tc>
              </w:sdtContent>
            </w:sdt>
            <w:sdt>
              <w:sdtPr>
                <w:rPr>
                  <w:rFonts w:ascii="Times New Roman" w:hAnsi="Times New Roman" w:cs="Times New Roman"/>
                </w:rPr>
                <w:tag w:val="_PLD_b1c34a0e07914de782ce840363400809"/>
                <w:id w:val="865726572"/>
                <w:lock w:val="sdtLocked"/>
              </w:sdtPr>
              <w:sdtEndPr>
                <w:rPr>
                  <w:rFonts w:ascii="Times New Roman" w:hAnsi="Times New Roman" w:cs="Times New Roman"/>
                </w:rPr>
              </w:sdtEndPr>
              <w:sdtContent>
                <w:tc>
                  <w:tcPr>
                    <w:tcW w:w="2512"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szCs w:val="21"/>
                      </w:rPr>
                    </w:pPr>
                    <w:r>
                      <w:rPr>
                        <w:rFonts w:ascii="Times New Roman" w:cs="Times New Roman"/>
                        <w:szCs w:val="21"/>
                      </w:rPr>
                      <w:t>受限原因</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314"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Times New Roman" w:hAnsi="Times New Roman" w:cs="Times New Roman"/>
                    <w:szCs w:val="21"/>
                  </w:rPr>
                </w:pPr>
                <w:r>
                  <w:rPr>
                    <w:rFonts w:ascii="Times New Roman" w:cs="Times New Roman"/>
                    <w:szCs w:val="21"/>
                  </w:rPr>
                  <w:t>货币资金</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rPr>
                </w:pPr>
                <w:r>
                  <w:rPr>
                    <w:rFonts w:ascii="Times New Roman" w:hAnsi="Times New Roman" w:cs="Times New Roman"/>
                  </w:rPr>
                  <w:t>1,612,963.94</w:t>
                </w:r>
              </w:p>
            </w:tc>
            <w:tc>
              <w:tcPr>
                <w:tcW w:w="251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hint="eastAsia" w:ascii="Times New Roman" w:hAnsi="Times New Roman" w:cs="Times New Roman"/>
                    <w:szCs w:val="21"/>
                  </w:rPr>
                  <w:t>银行承兑汇票保证金“七、合并财务报表注释</w:t>
                </w:r>
                <w:r>
                  <w:rPr>
                    <w:rFonts w:ascii="Times New Roman" w:hAnsi="Times New Roman" w:cs="Times New Roman"/>
                    <w:szCs w:val="21"/>
                  </w:rPr>
                  <w:t>1、货币资金”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314"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Times New Roman" w:hAnsi="Times New Roman" w:cs="Times New Roman"/>
                    <w:szCs w:val="21"/>
                  </w:rPr>
                </w:pPr>
                <w:r>
                  <w:rPr>
                    <w:rFonts w:ascii="Times New Roman" w:cs="Times New Roman"/>
                    <w:szCs w:val="21"/>
                  </w:rPr>
                  <w:t>应收票据</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251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314"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Times New Roman" w:hAnsi="Times New Roman" w:cs="Times New Roman"/>
                    <w:szCs w:val="21"/>
                  </w:rPr>
                </w:pPr>
                <w:r>
                  <w:rPr>
                    <w:rFonts w:ascii="Times New Roman" w:cs="Times New Roman"/>
                    <w:szCs w:val="21"/>
                  </w:rPr>
                  <w:t>存货</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251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314"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Times New Roman" w:hAnsi="Times New Roman" w:cs="Times New Roman"/>
                    <w:szCs w:val="21"/>
                  </w:rPr>
                </w:pPr>
                <w:r>
                  <w:rPr>
                    <w:rFonts w:ascii="Times New Roman" w:cs="Times New Roman"/>
                    <w:szCs w:val="21"/>
                  </w:rPr>
                  <w:t>固定资产</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95,407,117.61</w:t>
                </w:r>
              </w:p>
            </w:tc>
            <w:tc>
              <w:tcPr>
                <w:tcW w:w="2512"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Times New Roman" w:hAnsi="Times New Roman" w:cs="Times New Roman"/>
                    <w:sz w:val="24"/>
                  </w:rPr>
                </w:pPr>
                <w:r>
                  <w:rPr>
                    <w:rFonts w:ascii="Times New Roman" w:cs="Times New Roman"/>
                  </w:rPr>
                  <w:t>银行借款抵押详见</w:t>
                </w:r>
                <w:r>
                  <w:rPr>
                    <w:rFonts w:ascii="Times New Roman" w:hAnsi="Times New Roman" w:cs="Times New Roman"/>
                  </w:rPr>
                  <w:t>“</w:t>
                </w:r>
                <w:r>
                  <w:rPr>
                    <w:rFonts w:ascii="Times New Roman" w:cs="Times New Roman"/>
                  </w:rPr>
                  <w:t>七、合并财务报表注释</w:t>
                </w:r>
                <w:r>
                  <w:rPr>
                    <w:rFonts w:ascii="Times New Roman" w:hAnsi="Times New Roman" w:cs="Times New Roman"/>
                  </w:rPr>
                  <w:t>32</w:t>
                </w:r>
                <w:r>
                  <w:rPr>
                    <w:rFonts w:ascii="Times New Roman" w:cs="Times New Roman"/>
                  </w:rPr>
                  <w:t>、</w:t>
                </w:r>
                <w:r>
                  <w:rPr>
                    <w:rFonts w:ascii="Times New Roman" w:hAnsi="Times New Roman" w:cs="Times New Roman"/>
                  </w:rPr>
                  <w:t>“</w:t>
                </w:r>
                <w:r>
                  <w:rPr>
                    <w:rFonts w:ascii="Times New Roman" w:cs="Times New Roman"/>
                  </w:rPr>
                  <w:t>短期借款</w:t>
                </w:r>
                <w:r>
                  <w:rPr>
                    <w:rFonts w:ascii="Times New Roman" w:hAnsi="Times New Roman" w:cs="Times New Roma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314"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Times New Roman" w:hAnsi="Times New Roman" w:cs="Times New Roman"/>
                    <w:szCs w:val="21"/>
                  </w:rPr>
                </w:pPr>
                <w:r>
                  <w:rPr>
                    <w:rFonts w:ascii="Times New Roman" w:cs="Times New Roman"/>
                    <w:szCs w:val="21"/>
                  </w:rPr>
                  <w:t>无形资产</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22,968,766.23</w:t>
                </w:r>
              </w:p>
            </w:tc>
            <w:tc>
              <w:tcPr>
                <w:tcW w:w="2512"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Times New Roman" w:hAnsi="Times New Roman" w:cs="Times New Roman"/>
                    <w:sz w:val="24"/>
                  </w:rPr>
                </w:pPr>
                <w:r>
                  <w:rPr>
                    <w:rFonts w:ascii="Times New Roman" w:cs="Times New Roman"/>
                  </w:rPr>
                  <w:t>银行借款抵押详见</w:t>
                </w:r>
                <w:r>
                  <w:rPr>
                    <w:rFonts w:ascii="Times New Roman" w:hAnsi="Times New Roman" w:cs="Times New Roman"/>
                  </w:rPr>
                  <w:t>“</w:t>
                </w:r>
                <w:r>
                  <w:rPr>
                    <w:rFonts w:ascii="Times New Roman" w:cs="Times New Roman"/>
                  </w:rPr>
                  <w:t>七、合并财务报表注释</w:t>
                </w:r>
                <w:r>
                  <w:rPr>
                    <w:rFonts w:ascii="Times New Roman" w:hAnsi="Times New Roman" w:cs="Times New Roman"/>
                  </w:rPr>
                  <w:t>32</w:t>
                </w:r>
                <w:r>
                  <w:rPr>
                    <w:rFonts w:ascii="Times New Roman" w:cs="Times New Roman"/>
                  </w:rPr>
                  <w:t>、</w:t>
                </w:r>
                <w:r>
                  <w:rPr>
                    <w:rFonts w:ascii="Times New Roman" w:hAnsi="Times New Roman" w:cs="Times New Roman"/>
                  </w:rPr>
                  <w:t>“</w:t>
                </w:r>
                <w:r>
                  <w:rPr>
                    <w:rFonts w:ascii="Times New Roman" w:cs="Times New Roman"/>
                  </w:rPr>
                  <w:t>短期借款</w:t>
                </w:r>
                <w:r>
                  <w:rPr>
                    <w:rFonts w:ascii="Times New Roman" w:hAnsi="Times New Roman" w:cs="Times New Roma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314" w:type="pct"/>
                <w:tcBorders>
                  <w:top w:val="single" w:color="auto" w:sz="6" w:space="0"/>
                  <w:left w:val="single" w:color="auto" w:sz="6" w:space="0"/>
                  <w:bottom w:val="single" w:color="auto" w:sz="4" w:space="0"/>
                  <w:right w:val="single" w:color="auto" w:sz="6" w:space="0"/>
                </w:tcBorders>
                <w:shd w:val="clear" w:color="auto" w:fill="auto"/>
                <w:vAlign w:val="center"/>
              </w:tcPr>
              <w:p>
                <w:pPr>
                  <w:jc w:val="both"/>
                  <w:rPr>
                    <w:rFonts w:ascii="Times New Roman" w:hAnsi="Times New Roman" w:cs="Times New Roman"/>
                    <w:szCs w:val="21"/>
                  </w:rPr>
                </w:pPr>
                <w:r>
                  <w:rPr>
                    <w:rFonts w:ascii="Times New Roman" w:cs="Times New Roman"/>
                  </w:rPr>
                  <w:t>固定资产（江苏公司）</w:t>
                </w:r>
              </w:p>
            </w:tc>
            <w:tc>
              <w:tcPr>
                <w:tcW w:w="1174"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12,452,401.36</w:t>
                </w:r>
              </w:p>
            </w:tc>
            <w:tc>
              <w:tcPr>
                <w:tcW w:w="2512" w:type="pct"/>
                <w:tcBorders>
                  <w:top w:val="single" w:color="auto" w:sz="6" w:space="0"/>
                  <w:left w:val="single" w:color="auto" w:sz="6" w:space="0"/>
                  <w:bottom w:val="single" w:color="auto" w:sz="6" w:space="0"/>
                  <w:right w:val="single" w:color="auto" w:sz="6" w:space="0"/>
                </w:tcBorders>
                <w:shd w:val="clear" w:color="auto" w:fill="auto"/>
                <w:vAlign w:val="center"/>
              </w:tcPr>
              <w:p>
                <w:pPr>
                  <w:jc w:val="both"/>
                  <w:rPr>
                    <w:rFonts w:ascii="Times New Roman" w:hAnsi="Times New Roman" w:cs="Times New Roman"/>
                    <w:szCs w:val="21"/>
                  </w:rPr>
                </w:pPr>
                <w:r>
                  <w:rPr>
                    <w:rFonts w:ascii="Times New Roman" w:cs="Times New Roman"/>
                  </w:rPr>
                  <w:t>子公司两面针（江苏）实业有限公司在中信银行扬州分行</w:t>
                </w:r>
                <w:r>
                  <w:rPr>
                    <w:rFonts w:ascii="Times New Roman" w:hAnsi="Times New Roman" w:cs="Times New Roman"/>
                  </w:rPr>
                  <w:t>2,500</w:t>
                </w:r>
                <w:r>
                  <w:rPr>
                    <w:rFonts w:ascii="Times New Roman" w:cs="Times New Roman"/>
                  </w:rPr>
                  <w:t>万元云信凭据保理额度抵押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314" w:type="pct"/>
                <w:tcBorders>
                  <w:top w:val="single" w:color="auto" w:sz="6" w:space="0"/>
                  <w:left w:val="single" w:color="auto" w:sz="6" w:space="0"/>
                  <w:bottom w:val="single" w:color="auto" w:sz="4" w:space="0"/>
                  <w:right w:val="single" w:color="auto" w:sz="6" w:space="0"/>
                </w:tcBorders>
                <w:shd w:val="clear" w:color="auto" w:fill="auto"/>
                <w:vAlign w:val="center"/>
              </w:tcPr>
              <w:p>
                <w:pPr>
                  <w:jc w:val="both"/>
                  <w:rPr>
                    <w:rFonts w:ascii="Times New Roman" w:hAnsi="Times New Roman" w:cs="Times New Roman"/>
                    <w:szCs w:val="21"/>
                  </w:rPr>
                </w:pPr>
                <w:r>
                  <w:rPr>
                    <w:rFonts w:ascii="Times New Roman" w:cs="Times New Roman"/>
                  </w:rPr>
                  <w:t>无形资产</w:t>
                </w:r>
                <w:r>
                  <w:rPr>
                    <w:rFonts w:hint="eastAsia" w:ascii="Times New Roman" w:cs="Times New Roman"/>
                  </w:rPr>
                  <w:t>（江苏公司）</w:t>
                </w:r>
              </w:p>
            </w:tc>
            <w:tc>
              <w:tcPr>
                <w:tcW w:w="1174"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9,161,443.58</w:t>
                </w:r>
              </w:p>
            </w:tc>
            <w:tc>
              <w:tcPr>
                <w:tcW w:w="2512" w:type="pct"/>
                <w:tcBorders>
                  <w:top w:val="single" w:color="auto" w:sz="6" w:space="0"/>
                  <w:left w:val="single" w:color="auto" w:sz="6" w:space="0"/>
                  <w:bottom w:val="single" w:color="auto" w:sz="6" w:space="0"/>
                  <w:right w:val="single" w:color="auto" w:sz="6" w:space="0"/>
                </w:tcBorders>
                <w:shd w:val="clear" w:color="auto" w:fill="auto"/>
                <w:vAlign w:val="center"/>
              </w:tcPr>
              <w:p>
                <w:pPr>
                  <w:jc w:val="both"/>
                  <w:rPr>
                    <w:rFonts w:ascii="Times New Roman" w:hAnsi="Times New Roman" w:cs="Times New Roman"/>
                    <w:szCs w:val="21"/>
                  </w:rPr>
                </w:pPr>
                <w:r>
                  <w:rPr>
                    <w:rFonts w:ascii="Times New Roman" w:cs="Times New Roman"/>
                  </w:rPr>
                  <w:t>子公司两面针（江苏）实业有限公司在中信银行扬州分行</w:t>
                </w:r>
                <w:r>
                  <w:rPr>
                    <w:rFonts w:ascii="Times New Roman" w:hAnsi="Times New Roman" w:cs="Times New Roman"/>
                  </w:rPr>
                  <w:t>2,500</w:t>
                </w:r>
                <w:r>
                  <w:rPr>
                    <w:rFonts w:ascii="Times New Roman" w:cs="Times New Roman"/>
                  </w:rPr>
                  <w:t>万元云信凭据保理额度抵押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31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tc>
              <w:tcPr>
                <w:tcW w:w="1174" w:type="pct"/>
                <w:tcBorders>
                  <w:top w:val="single" w:color="auto" w:sz="6" w:space="0"/>
                  <w:left w:val="single" w:color="auto" w:sz="4" w:space="0"/>
                  <w:bottom w:val="single" w:color="auto" w:sz="6"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141,602,692.72</w:t>
                </w:r>
              </w:p>
            </w:tc>
            <w:tc>
              <w:tcPr>
                <w:tcW w:w="2512" w:type="pct"/>
                <w:tcBorders>
                  <w:top w:val="single" w:color="auto" w:sz="6" w:space="0"/>
                  <w:left w:val="single" w:color="auto" w:sz="4" w:space="0"/>
                  <w:bottom w:val="single" w:color="auto" w:sz="6"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w:t>
                </w:r>
              </w:p>
            </w:tc>
          </w:tr>
        </w:tbl>
        <w:p/>
        <w:p>
          <w:pPr>
            <w:rPr>
              <w:szCs w:val="21"/>
            </w:rPr>
          </w:pPr>
        </w:p>
      </w:sdtContent>
    </w:sdt>
    <w:p>
      <w:pPr>
        <w:rPr>
          <w:szCs w:val="21"/>
        </w:rPr>
      </w:pPr>
    </w:p>
    <w:sdt>
      <w:sdtPr>
        <w:rPr>
          <w:rFonts w:hint="eastAsia" w:ascii="宋体" w:hAnsi="宋体" w:cs="宋体"/>
          <w:b w:val="0"/>
          <w:bCs w:val="0"/>
          <w:kern w:val="0"/>
          <w:szCs w:val="21"/>
        </w:rPr>
        <w:alias w:val="模块:外币货币性项目"/>
        <w:tag w:val="_SEC_d0d3f1cb74c546a2a03e13993b313207"/>
        <w:id w:val="865726595"/>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79"/>
            </w:numPr>
            <w:tabs>
              <w:tab w:val="left" w:pos="504"/>
            </w:tabs>
            <w:rPr>
              <w:rFonts w:ascii="宋体" w:hAnsi="宋体"/>
              <w:szCs w:val="21"/>
            </w:rPr>
          </w:pPr>
          <w:r>
            <w:rPr>
              <w:rFonts w:hint="eastAsia" w:ascii="宋体" w:hAnsi="宋体"/>
              <w:szCs w:val="21"/>
            </w:rPr>
            <w:t>外币货币性项目</w:t>
          </w:r>
        </w:p>
        <w:p>
          <w:pPr>
            <w:pStyle w:val="5"/>
            <w:numPr>
              <w:ilvl w:val="0"/>
              <w:numId w:val="114"/>
            </w:numPr>
            <w:ind w:left="426" w:hanging="426"/>
            <w:rPr>
              <w:rFonts w:ascii="宋体" w:hAnsi="宋体"/>
              <w:b w:val="0"/>
              <w:szCs w:val="21"/>
            </w:rPr>
          </w:pPr>
          <w:r>
            <w:rPr>
              <w:rStyle w:val="47"/>
              <w:rFonts w:hint="eastAsia" w:ascii="宋体" w:hAnsi="宋体"/>
              <w:b/>
              <w:bCs w:val="0"/>
              <w:szCs w:val="21"/>
            </w:rPr>
            <w:t>外币货币性项目</w:t>
          </w:r>
        </w:p>
        <w:sdt>
          <w:sdtPr>
            <w:alias w:val="是否适用：外币货币性项目[双击切换]"/>
            <w:tag w:val="_GBC_6b0f646811a94c228ba6be3453047191"/>
            <w:id w:val="86572657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外币货币性项目"/>
              <w:tag w:val="_GBC_43871b6586c8428c8da522abb267c528"/>
              <w:id w:val="8657265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2049"/>
            <w:gridCol w:w="2058"/>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5c3516dfa974dea983fcf6d3a5e4272"/>
                <w:id w:val="865726577"/>
                <w:lock w:val="sdtLocked"/>
              </w:sdtPr>
              <w:sdtEndPr>
                <w:rPr>
                  <w:rFonts w:ascii="Times New Roman" w:hAnsi="Times New Roman" w:cs="Times New Roman"/>
                </w:rPr>
              </w:sdtEndPr>
              <w:sdtContent>
                <w:tc>
                  <w:tcPr>
                    <w:tcW w:w="16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c677b8fd217342e7b28e98a1c8e497e9"/>
                <w:id w:val="865726578"/>
                <w:lock w:val="sdtLocked"/>
              </w:sdtPr>
              <w:sdtEndPr>
                <w:rPr>
                  <w:rFonts w:ascii="Times New Roman" w:hAnsi="Times New Roman" w:cs="Times New Roman"/>
                </w:rPr>
              </w:sdtEndPr>
              <w:sdtContent>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期末外币余额</w:t>
                    </w:r>
                  </w:p>
                </w:tc>
              </w:sdtContent>
            </w:sdt>
            <w:sdt>
              <w:sdtPr>
                <w:rPr>
                  <w:rFonts w:ascii="Times New Roman" w:hAnsi="Times New Roman" w:cs="Times New Roman"/>
                </w:rPr>
                <w:tag w:val="_PLD_e0e88022a2754ae991eb4bb1a9caae4f"/>
                <w:id w:val="865726579"/>
                <w:lock w:val="sdtLocked"/>
              </w:sdtPr>
              <w:sdtEndPr>
                <w:rPr>
                  <w:rFonts w:ascii="Times New Roman" w:hAnsi="Times New Roman" w:cs="Times New Roman"/>
                </w:rPr>
              </w:sdtEndPr>
              <w:sdtContent>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折算汇率</w:t>
                    </w:r>
                  </w:p>
                </w:tc>
              </w:sdtContent>
            </w:sdt>
            <w:sdt>
              <w:sdtPr>
                <w:rPr>
                  <w:rFonts w:ascii="Times New Roman" w:hAnsi="Times New Roman" w:cs="Times New Roman"/>
                </w:rPr>
                <w:tag w:val="_PLD_a1542d7b69a444ef9e91ceaf4a96f49d"/>
                <w:id w:val="865726580"/>
                <w:lock w:val="sdtLocked"/>
              </w:sdtPr>
              <w:sdtEndPr>
                <w:rPr>
                  <w:rFonts w:ascii="Times New Roman" w:hAnsi="Times New Roman" w:cs="Times New Roman"/>
                </w:rPr>
              </w:sdtEndPr>
              <w:sdtContent>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期末折算人民币</w:t>
                    </w:r>
                  </w:p>
                  <w:p>
                    <w:pPr>
                      <w:jc w:val="center"/>
                      <w:rPr>
                        <w:rFonts w:ascii="Times New Roman" w:hAnsi="Times New Roman" w:cs="Times New Roman"/>
                        <w:szCs w:val="21"/>
                      </w:rPr>
                    </w:pPr>
                    <w:r>
                      <w:rPr>
                        <w:rFonts w:ascii="Times New Roman" w:cs="Times New Roman"/>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货币资金</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r>
                  <w:rPr>
                    <w:rFonts w:ascii="Times New Roman" w:hAnsi="Times New Roman" w:cs="Times New Roman"/>
                    <w:szCs w:val="21"/>
                  </w:rPr>
                  <w:t>-</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r>
                  <w:rPr>
                    <w:rFonts w:ascii="Times New Roman" w:hAnsi="Times New Roman" w:cs="Times New Roman"/>
                    <w:szCs w:val="21"/>
                  </w:rPr>
                  <w:t>-</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86572658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1,722,637.98</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6.3757</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10,983,022.97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　　　</w:t>
                </w:r>
                <w:sdt>
                  <w:sdtPr>
                    <w:rPr>
                      <w:rFonts w:ascii="Times New Roman" w:hAnsi="Times New Roman" w:cs="Times New Roman"/>
                      <w:szCs w:val="21"/>
                    </w:rPr>
                    <w:alias w:val="以外币核算的币种明细-币种名称"/>
                    <w:tag w:val="_GBC_b9ad493c07994625bf872e807197c998"/>
                    <w:id w:val="86572658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欧元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699.73</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7.2197</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5,051.84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　　　</w:t>
                </w:r>
                <w:sdt>
                  <w:sdtPr>
                    <w:rPr>
                      <w:rFonts w:ascii="Times New Roman" w:hAnsi="Times New Roman" w:cs="Times New Roman"/>
                      <w:szCs w:val="21"/>
                    </w:rPr>
                    <w:alias w:val="以外币核算的币种明细-币种名称"/>
                    <w:tag w:val="_GBC_b9ad493c07994625bf872e807197c998"/>
                    <w:id w:val="86572658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港币</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463,345.18</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0.8176</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378,831.02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应收账款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86572658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978,221.83</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6.3757</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6,236,848.92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　　　</w:t>
                </w:r>
                <w:sdt>
                  <w:sdtPr>
                    <w:rPr>
                      <w:rFonts w:ascii="Times New Roman" w:hAnsi="Times New Roman" w:cs="Times New Roman"/>
                      <w:szCs w:val="21"/>
                    </w:rPr>
                    <w:alias w:val="以外币核算的币种明细-币种名称"/>
                    <w:tag w:val="_GBC_b9ad493c07994625bf872e807197c998"/>
                    <w:id w:val="86572658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欧元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　　　</w:t>
                </w:r>
                <w:sdt>
                  <w:sdtPr>
                    <w:rPr>
                      <w:rFonts w:ascii="Times New Roman" w:hAnsi="Times New Roman" w:cs="Times New Roman"/>
                      <w:szCs w:val="21"/>
                    </w:rPr>
                    <w:alias w:val="以外币核算的币种明细-币种名称"/>
                    <w:tag w:val="_GBC_b9ad493c07994625bf872e807197c998"/>
                    <w:id w:val="86572658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港币</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长期借款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86572658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　　　</w:t>
                </w:r>
                <w:sdt>
                  <w:sdtPr>
                    <w:rPr>
                      <w:rFonts w:ascii="Times New Roman" w:hAnsi="Times New Roman" w:cs="Times New Roman"/>
                      <w:szCs w:val="21"/>
                    </w:rPr>
                    <w:alias w:val="以外币核算的币种明细-币种名称"/>
                    <w:tag w:val="_GBC_b9ad493c07994625bf872e807197c998"/>
                    <w:id w:val="86572658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欧元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　　　</w:t>
                </w:r>
                <w:sdt>
                  <w:sdtPr>
                    <w:rPr>
                      <w:rFonts w:ascii="Times New Roman" w:hAnsi="Times New Roman" w:cs="Times New Roman"/>
                      <w:szCs w:val="21"/>
                    </w:rPr>
                    <w:alias w:val="以外币核算的币种明细-币种名称"/>
                    <w:tag w:val="_GBC_b9ad493c07994625bf872e807197c998"/>
                    <w:id w:val="86572658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港币</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vAlign w:val="bottom"/>
              </w:tcPr>
              <w:p>
                <w:pPr>
                  <w:spacing w:line="480" w:lineRule="exact"/>
                  <w:rPr>
                    <w:rFonts w:ascii="Times New Roman" w:hAnsi="Times New Roman" w:cs="Times New Roman" w:eastAsiaTheme="minorEastAsia"/>
                    <w:color w:val="000000"/>
                    <w:sz w:val="18"/>
                    <w:szCs w:val="18"/>
                  </w:rPr>
                </w:pPr>
                <w:r>
                  <w:rPr>
                    <w:rFonts w:ascii="Times New Roman" w:cs="Times New Roman" w:hAnsiTheme="minorEastAsia" w:eastAsiaTheme="minorEastAsia"/>
                    <w:color w:val="000000"/>
                    <w:sz w:val="18"/>
                    <w:szCs w:val="18"/>
                  </w:rPr>
                  <w:t>预收款项</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86572659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118,111.95</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6.3757</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753,046.36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　　　</w:t>
                </w:r>
                <w:sdt>
                  <w:sdtPr>
                    <w:rPr>
                      <w:rFonts w:ascii="Times New Roman" w:hAnsi="Times New Roman" w:cs="Times New Roman"/>
                      <w:szCs w:val="21"/>
                    </w:rPr>
                    <w:alias w:val="以外币核算的币种明细-币种名称"/>
                    <w:tag w:val="_GBC_b9ad493c07994625bf872e807197c998"/>
                    <w:id w:val="86572659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欧元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16,314.08</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7.2197</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117,782.76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　　　</w:t>
                </w:r>
                <w:sdt>
                  <w:sdtPr>
                    <w:rPr>
                      <w:rFonts w:ascii="Times New Roman" w:hAnsi="Times New Roman" w:cs="Times New Roman"/>
                      <w:szCs w:val="21"/>
                    </w:rPr>
                    <w:alias w:val="以外币核算的币种明细-币种名称"/>
                    <w:tag w:val="_GBC_b9ad493c07994625bf872e807197c998"/>
                    <w:id w:val="86572659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imes New Roman" w:hAnsi="Times New Roman" w:cs="Times New Roman"/>
                      <w:szCs w:val="21"/>
                    </w:rPr>
                  </w:sdtEndPr>
                  <w:sdtContent>
                    <w:r>
                      <w:rPr>
                        <w:rFonts w:ascii="Times New Roman" w:cs="Times New Roman"/>
                        <w:szCs w:val="21"/>
                      </w:rPr>
                      <w:t>港币</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523,503.38</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0.8176</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428,016.36</w:t>
                </w:r>
              </w:p>
            </w:tc>
          </w:tr>
        </w:tbl>
        <w:p/>
        <w:p>
          <w:pPr>
            <w:rPr>
              <w:szCs w:val="21"/>
            </w:rPr>
          </w:pPr>
        </w:p>
        <w:p>
          <w:pPr>
            <w:rPr>
              <w:szCs w:val="21"/>
            </w:rPr>
          </w:pPr>
        </w:p>
        <w:p>
          <w:pPr>
            <w:pStyle w:val="5"/>
            <w:numPr>
              <w:ilvl w:val="0"/>
              <w:numId w:val="114"/>
            </w:numPr>
            <w:ind w:left="426" w:hanging="426"/>
            <w:rPr>
              <w:szCs w:val="21"/>
            </w:rPr>
          </w:pPr>
          <w:r>
            <w:rPr>
              <w:rStyle w:val="47"/>
              <w:rFonts w:hint="eastAsia" w:ascii="宋体" w:hAnsi="宋体"/>
              <w:b/>
              <w:bCs w:val="0"/>
              <w:szCs w:val="21"/>
            </w:rPr>
            <w:t>境外</w:t>
          </w:r>
          <w:r>
            <w:rPr>
              <w:rFonts w:hint="eastAsia"/>
              <w:szCs w:val="21"/>
            </w:rPr>
            <w:t>经营实体说明，包括对于重要的境外经营实体，应披露其境外主要经营地、记账本位币及选择依据，记账本位币发生变化的还应披露原因</w:t>
          </w:r>
        </w:p>
        <w:p>
          <w:pPr>
            <w:rPr>
              <w:szCs w:val="21"/>
            </w:rPr>
          </w:pPr>
          <w:sdt>
            <w:sdtPr>
              <w:rPr>
                <w:szCs w:val="21"/>
              </w:rPr>
              <w:alias w:val="是否适用：境外经营实体主要报表项目的折算汇率[双击切换]"/>
              <w:tag w:val="_GBC_c433d39e245c4fb79cd5170717bb5b9c"/>
              <w:id w:val="865726594"/>
              <w:lock w:val="sdtLocked"/>
              <w:placeholder>
                <w:docPart w:val="GBC22222222222222222222222222222"/>
              </w:placeholder>
            </w:sdtPr>
            <w:sdtEndPr>
              <w:rPr>
                <w:szCs w:val="21"/>
              </w:rPr>
            </w:sdtEnd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p/>
    <w:sdt>
      <w:sdtPr>
        <w:rPr>
          <w:rFonts w:hint="eastAsia" w:ascii="宋体" w:hAnsi="宋体" w:cs="宋体"/>
          <w:b w:val="0"/>
          <w:bCs w:val="0"/>
          <w:kern w:val="0"/>
          <w:szCs w:val="24"/>
        </w:rPr>
        <w:alias w:val="模块:按照套期类别披露套期及相关套期工具、被套期风险的相关的定性定"/>
        <w:tag w:val="_SEC_72e212d6db4945c88ff1963281a9b51a"/>
        <w:id w:val="865726597"/>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79"/>
            </w:numPr>
            <w:tabs>
              <w:tab w:val="left" w:pos="504"/>
            </w:tabs>
            <w:rPr>
              <w:rFonts w:ascii="宋体" w:hAnsi="宋体" w:cs="宋体"/>
              <w:bCs w:val="0"/>
              <w:kern w:val="0"/>
              <w:szCs w:val="24"/>
            </w:rPr>
          </w:pPr>
          <w:r>
            <w:rPr>
              <w:rFonts w:hint="eastAsia" w:ascii="宋体" w:hAnsi="宋体" w:cs="宋体"/>
              <w:bCs w:val="0"/>
              <w:kern w:val="0"/>
              <w:szCs w:val="24"/>
            </w:rPr>
            <w:t>套期</w:t>
          </w:r>
        </w:p>
        <w:sdt>
          <w:sdtPr>
            <w:alias w:val="是否适用：套期[双击切换]"/>
            <w:tag w:val="_GBC_aa9bb623100a43a8a9b0ae0e8ec54c45"/>
            <w:id w:val="86572659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sdtContent>
    </w:sdt>
    <w:p/>
    <w:sdt>
      <w:sdtPr>
        <w:rPr>
          <w:rFonts w:hint="eastAsia" w:ascii="宋体" w:hAnsi="宋体" w:cs="宋体"/>
          <w:b w:val="0"/>
          <w:bCs w:val="0"/>
          <w:kern w:val="0"/>
          <w:szCs w:val="24"/>
        </w:rPr>
        <w:alias w:val="模块:政府补助"/>
        <w:tag w:val="_SEC_669a56494e84421f926c6125ba0e65ac"/>
        <w:id w:val="865726619"/>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79"/>
            </w:numPr>
            <w:tabs>
              <w:tab w:val="left" w:pos="504"/>
            </w:tabs>
          </w:pPr>
          <w:r>
            <w:rPr>
              <w:rFonts w:hint="eastAsia"/>
            </w:rPr>
            <w:t>政府</w:t>
          </w:r>
          <w:r>
            <w:rPr>
              <w:rFonts w:hint="eastAsia" w:ascii="宋体" w:hAnsi="宋体" w:cs="宋体"/>
              <w:bCs w:val="0"/>
              <w:kern w:val="0"/>
              <w:szCs w:val="24"/>
            </w:rPr>
            <w:t>补助</w:t>
          </w:r>
        </w:p>
        <w:p>
          <w:pPr>
            <w:pStyle w:val="5"/>
            <w:numPr>
              <w:ilvl w:val="0"/>
              <w:numId w:val="115"/>
            </w:numPr>
            <w:ind w:left="426" w:hanging="426"/>
          </w:pPr>
          <w:r>
            <w:rPr>
              <w:rFonts w:hint="eastAsia"/>
            </w:rPr>
            <w:t>政府补助基本情况</w:t>
          </w:r>
        </w:p>
        <w:sdt>
          <w:sdtPr>
            <w:rPr>
              <w:rFonts w:hint="eastAsia"/>
            </w:rPr>
            <w:alias w:val="是否适用：政府补助基本情况[双击切换]"/>
            <w:tag w:val="_GBC_0af23294955343baa3cf9e74bb5fbc5f"/>
            <w:id w:val="865726598"/>
            <w:lock w:val="sdtLocked"/>
          </w:sdtPr>
          <w:sdtEndPr>
            <w:rPr>
              <w:rFonts w:hint="eastAsia"/>
            </w:rPr>
          </w:sdtEndPr>
          <w:sdtContent>
            <w:p>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pPr>
          <w:r>
            <w:rPr>
              <w:rFonts w:hint="eastAsia"/>
            </w:rPr>
            <w:t>单位：</w:t>
          </w:r>
          <w:sdt>
            <w:sdtPr>
              <w:rPr>
                <w:rFonts w:hint="eastAsia"/>
              </w:rPr>
              <w:alias w:val="单位：政府补助基本情况"/>
              <w:tag w:val="_GBC_e31b6dbc6f104b2ba8abf9998c29695d"/>
              <w:id w:val="865726599"/>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8657266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262"/>
            <w:gridCol w:w="2262"/>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8115dbe9c9b4fd7abdfac509feb0a93"/>
                <w:id w:val="865726601"/>
                <w:lock w:val="sdtLocked"/>
              </w:sdtPr>
              <w:sdtContent>
                <w:tc>
                  <w:tcPr>
                    <w:tcW w:w="1250" w:type="pct"/>
                    <w:vAlign w:val="center"/>
                  </w:tcPr>
                  <w:p>
                    <w:pPr>
                      <w:widowControl w:val="0"/>
                      <w:jc w:val="center"/>
                    </w:pPr>
                    <w:r>
                      <w:rPr>
                        <w:rFonts w:hint="eastAsia"/>
                      </w:rPr>
                      <w:t>种类</w:t>
                    </w:r>
                  </w:p>
                </w:tc>
              </w:sdtContent>
            </w:sdt>
            <w:sdt>
              <w:sdtPr>
                <w:tag w:val="_PLD_003bb4a7406e4ebcbcd1bda75515fa03"/>
                <w:id w:val="865726602"/>
                <w:lock w:val="sdtLocked"/>
              </w:sdtPr>
              <w:sdtContent>
                <w:tc>
                  <w:tcPr>
                    <w:tcW w:w="1250" w:type="pct"/>
                    <w:vAlign w:val="center"/>
                  </w:tcPr>
                  <w:p>
                    <w:pPr>
                      <w:widowControl w:val="0"/>
                      <w:jc w:val="center"/>
                    </w:pPr>
                    <w:r>
                      <w:rPr>
                        <w:rFonts w:hint="eastAsia"/>
                      </w:rPr>
                      <w:t>金额</w:t>
                    </w:r>
                  </w:p>
                </w:tc>
              </w:sdtContent>
            </w:sdt>
            <w:sdt>
              <w:sdtPr>
                <w:tag w:val="_PLD_d93dc6881e554c3f98366bc61145c084"/>
                <w:id w:val="865726603"/>
                <w:lock w:val="sdtLocked"/>
              </w:sdtPr>
              <w:sdtContent>
                <w:tc>
                  <w:tcPr>
                    <w:tcW w:w="1250" w:type="pct"/>
                    <w:vAlign w:val="center"/>
                  </w:tcPr>
                  <w:p>
                    <w:pPr>
                      <w:widowControl w:val="0"/>
                      <w:jc w:val="center"/>
                    </w:pPr>
                    <w:r>
                      <w:rPr>
                        <w:rFonts w:hint="eastAsia"/>
                      </w:rPr>
                      <w:t>列报项目</w:t>
                    </w:r>
                  </w:p>
                </w:tc>
              </w:sdtContent>
            </w:sdt>
            <w:sdt>
              <w:sdtPr>
                <w:tag w:val="_PLD_7c352bbb98334663a844a1fb2c591efb"/>
                <w:id w:val="865726604"/>
                <w:lock w:val="sdtLocked"/>
              </w:sdtPr>
              <w:sdtContent>
                <w:tc>
                  <w:tcPr>
                    <w:tcW w:w="1250" w:type="pct"/>
                    <w:vAlign w:val="center"/>
                  </w:tcPr>
                  <w:p>
                    <w:pPr>
                      <w:widowControl w:val="0"/>
                      <w:jc w:val="center"/>
                    </w:pPr>
                    <w:r>
                      <w:rPr>
                        <w:rFonts w:hint="eastAsia"/>
                      </w:rPr>
                      <w:t>计入当期损益的金额</w:t>
                    </w:r>
                  </w:p>
                </w:tc>
              </w:sdtContent>
            </w:sdt>
          </w:tr>
          <w:sdt>
            <w:sdtPr>
              <w:rPr>
                <w:rFonts w:hint="eastAsia"/>
              </w:rPr>
              <w:alias w:val="政府补助基本情况明细"/>
              <w:tag w:val="_TUP_eb738049c01c47fb8763dfc6db35b318"/>
              <w:id w:val="865726605"/>
              <w:lock w:val="sdtLocked"/>
            </w:sdtPr>
            <w:sdtEndPr>
              <w:rPr>
                <w:rFonts w:hint="default"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widowControl w:val="0"/>
                      <w:jc w:val="left"/>
                    </w:pPr>
                    <w:r>
                      <w:rPr>
                        <w:rFonts w:hint="eastAsia"/>
                      </w:rPr>
                      <w:t>计入递延收益的政府补助</w:t>
                    </w:r>
                  </w:p>
                </w:tc>
                <w:tc>
                  <w:tcPr>
                    <w:tcW w:w="1250" w:type="pct"/>
                    <w:vAlign w:val="center"/>
                  </w:tcPr>
                  <w:p>
                    <w:pPr>
                      <w:widowControl w:val="0"/>
                      <w:jc w:val="right"/>
                      <w:rPr>
                        <w:rFonts w:ascii="Times New Roman" w:hAnsi="Times New Roman" w:cs="Times New Roman"/>
                      </w:rPr>
                    </w:pPr>
                    <w:r>
                      <w:rPr>
                        <w:rFonts w:ascii="Times New Roman" w:hAnsi="Times New Roman" w:cs="Times New Roman"/>
                      </w:rPr>
                      <w:t>130,000.00</w:t>
                    </w:r>
                  </w:p>
                </w:tc>
                <w:tc>
                  <w:tcPr>
                    <w:tcW w:w="1250" w:type="pct"/>
                    <w:vAlign w:val="center"/>
                  </w:tcPr>
                  <w:p>
                    <w:pPr>
                      <w:widowControl w:val="0"/>
                      <w:jc w:val="center"/>
                      <w:rPr>
                        <w:rFonts w:ascii="Times New Roman" w:hAnsi="Times New Roman" w:cs="Times New Roman"/>
                      </w:rPr>
                    </w:pPr>
                    <w:r>
                      <w:rPr>
                        <w:rFonts w:ascii="Times New Roman" w:cs="Times New Roman"/>
                      </w:rPr>
                      <w:t>详见</w:t>
                    </w:r>
                    <w:r>
                      <w:rPr>
                        <w:rFonts w:ascii="Times New Roman" w:hAnsi="Times New Roman" w:cs="Times New Roman"/>
                      </w:rPr>
                      <w:t>51</w:t>
                    </w:r>
                    <w:r>
                      <w:rPr>
                        <w:rFonts w:ascii="Times New Roman" w:cs="Times New Roman"/>
                      </w:rPr>
                      <w:t>、递延收益</w:t>
                    </w:r>
                  </w:p>
                </w:tc>
                <w:tc>
                  <w:tcPr>
                    <w:tcW w:w="1250" w:type="pct"/>
                    <w:vAlign w:val="center"/>
                  </w:tcPr>
                  <w:p>
                    <w:pPr>
                      <w:widowControl w:val="0"/>
                      <w:jc w:val="right"/>
                      <w:rPr>
                        <w:rFonts w:ascii="Times New Roman" w:hAnsi="Times New Roman" w:cs="Times New Roman"/>
                      </w:rPr>
                    </w:pPr>
                    <w:r>
                      <w:rPr>
                        <w:rFonts w:ascii="Times New Roman" w:hAnsi="Times New Roman" w:cs="Times New Roman"/>
                      </w:rPr>
                      <w:t>397,978.42</w:t>
                    </w:r>
                  </w:p>
                </w:tc>
              </w:tr>
            </w:sdtContent>
          </w:sdt>
          <w:sdt>
            <w:sdtPr>
              <w:rPr>
                <w:rFonts w:hint="eastAsia"/>
              </w:rPr>
              <w:alias w:val="政府补助基本情况明细"/>
              <w:tag w:val="_TUP_eb738049c01c47fb8763dfc6db35b318"/>
              <w:id w:val="865726606"/>
              <w:lock w:val="sdtLocked"/>
            </w:sdtPr>
            <w:sdtEndPr>
              <w:rPr>
                <w:rFonts w:hint="default"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widowControl w:val="0"/>
                      <w:jc w:val="left"/>
                    </w:pPr>
                    <w:r>
                      <w:rPr>
                        <w:rFonts w:hint="eastAsia"/>
                      </w:rPr>
                      <w:t>计入其他收益的政府补助</w:t>
                    </w:r>
                  </w:p>
                </w:tc>
                <w:tc>
                  <w:tcPr>
                    <w:tcW w:w="1250" w:type="pct"/>
                    <w:vAlign w:val="center"/>
                  </w:tcPr>
                  <w:p>
                    <w:pPr>
                      <w:widowControl w:val="0"/>
                      <w:jc w:val="right"/>
                      <w:rPr>
                        <w:rFonts w:ascii="Times New Roman" w:hAnsi="Times New Roman" w:cs="Times New Roman"/>
                      </w:rPr>
                    </w:pPr>
                    <w:r>
                      <w:rPr>
                        <w:rFonts w:ascii="Times New Roman" w:hAnsi="Times New Roman" w:cs="Times New Roman"/>
                      </w:rPr>
                      <w:t>5,233,689.93</w:t>
                    </w:r>
                  </w:p>
                </w:tc>
                <w:tc>
                  <w:tcPr>
                    <w:tcW w:w="1250" w:type="pct"/>
                    <w:vAlign w:val="center"/>
                  </w:tcPr>
                  <w:p>
                    <w:pPr>
                      <w:widowControl w:val="0"/>
                      <w:jc w:val="center"/>
                      <w:rPr>
                        <w:rFonts w:ascii="Times New Roman" w:hAnsi="Times New Roman" w:cs="Times New Roman"/>
                      </w:rPr>
                    </w:pPr>
                    <w:r>
                      <w:rPr>
                        <w:rFonts w:ascii="Times New Roman" w:cs="Times New Roman"/>
                      </w:rPr>
                      <w:t>详见</w:t>
                    </w:r>
                    <w:r>
                      <w:rPr>
                        <w:rFonts w:ascii="Times New Roman" w:hAnsi="Times New Roman" w:cs="Times New Roman"/>
                      </w:rPr>
                      <w:t>67</w:t>
                    </w:r>
                    <w:r>
                      <w:rPr>
                        <w:rFonts w:ascii="Times New Roman" w:cs="Times New Roman"/>
                      </w:rPr>
                      <w:t>、其他收益</w:t>
                    </w:r>
                  </w:p>
                </w:tc>
                <w:tc>
                  <w:tcPr>
                    <w:tcW w:w="1250" w:type="pct"/>
                    <w:vAlign w:val="center"/>
                  </w:tcPr>
                  <w:p>
                    <w:pPr>
                      <w:widowControl w:val="0"/>
                      <w:jc w:val="right"/>
                      <w:rPr>
                        <w:rFonts w:ascii="Times New Roman" w:hAnsi="Times New Roman" w:cs="Times New Roman"/>
                      </w:rPr>
                    </w:pPr>
                    <w:r>
                      <w:rPr>
                        <w:rFonts w:ascii="Times New Roman" w:hAnsi="Times New Roman" w:cs="Times New Roman"/>
                      </w:rPr>
                      <w:t>5,233,689.93</w:t>
                    </w:r>
                  </w:p>
                </w:tc>
              </w:tr>
            </w:sdtContent>
          </w:sdt>
          <w:sdt>
            <w:sdtPr>
              <w:rPr>
                <w:rFonts w:hint="eastAsia"/>
              </w:rPr>
              <w:alias w:val="政府补助基本情况明细"/>
              <w:tag w:val="_TUP_eb738049c01c47fb8763dfc6db35b318"/>
              <w:id w:val="865726607"/>
              <w:lock w:val="sdtLocked"/>
            </w:sdtPr>
            <w:sdtEndPr>
              <w:rPr>
                <w:rFonts w:hint="default"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widowControl w:val="0"/>
                      <w:jc w:val="left"/>
                    </w:pPr>
                    <w:r>
                      <w:rPr>
                        <w:rFonts w:hint="eastAsia"/>
                      </w:rPr>
                      <w:t>计入营业外收入的政府补助</w:t>
                    </w:r>
                  </w:p>
                </w:tc>
                <w:tc>
                  <w:tcPr>
                    <w:tcW w:w="1250" w:type="pct"/>
                    <w:vAlign w:val="center"/>
                  </w:tcPr>
                  <w:p>
                    <w:pPr>
                      <w:widowControl w:val="0"/>
                      <w:jc w:val="right"/>
                      <w:rPr>
                        <w:rFonts w:ascii="Times New Roman" w:hAnsi="Times New Roman" w:cs="Times New Roman"/>
                      </w:rPr>
                    </w:pPr>
                    <w:r>
                      <w:rPr>
                        <w:rFonts w:ascii="Times New Roman" w:hAnsi="Times New Roman" w:cs="Times New Roman"/>
                      </w:rPr>
                      <w:t>403,200.02</w:t>
                    </w:r>
                  </w:p>
                </w:tc>
                <w:tc>
                  <w:tcPr>
                    <w:tcW w:w="1250" w:type="pct"/>
                    <w:vAlign w:val="center"/>
                  </w:tcPr>
                  <w:p>
                    <w:pPr>
                      <w:widowControl w:val="0"/>
                      <w:jc w:val="center"/>
                      <w:rPr>
                        <w:rFonts w:ascii="Times New Roman" w:hAnsi="Times New Roman" w:cs="Times New Roman"/>
                      </w:rPr>
                    </w:pPr>
                    <w:r>
                      <w:rPr>
                        <w:rFonts w:ascii="Times New Roman" w:cs="Times New Roman"/>
                      </w:rPr>
                      <w:t>详见</w:t>
                    </w:r>
                    <w:r>
                      <w:rPr>
                        <w:rFonts w:ascii="Times New Roman" w:hAnsi="Times New Roman" w:cs="Times New Roman"/>
                      </w:rPr>
                      <w:t>74</w:t>
                    </w:r>
                    <w:r>
                      <w:rPr>
                        <w:rFonts w:ascii="Times New Roman" w:cs="Times New Roman"/>
                      </w:rPr>
                      <w:t>、营业外收入</w:t>
                    </w:r>
                  </w:p>
                </w:tc>
                <w:tc>
                  <w:tcPr>
                    <w:tcW w:w="1250" w:type="pct"/>
                    <w:vAlign w:val="center"/>
                  </w:tcPr>
                  <w:p>
                    <w:pPr>
                      <w:widowControl w:val="0"/>
                      <w:jc w:val="right"/>
                      <w:rPr>
                        <w:rFonts w:ascii="Times New Roman" w:hAnsi="Times New Roman" w:cs="Times New Roman"/>
                      </w:rPr>
                    </w:pPr>
                    <w:r>
                      <w:rPr>
                        <w:rFonts w:ascii="Times New Roman" w:hAnsi="Times New Roman" w:cs="Times New Roman"/>
                      </w:rPr>
                      <w:t>403,200.02</w:t>
                    </w:r>
                  </w:p>
                </w:tc>
              </w:tr>
            </w:sdtContent>
          </w:sdt>
          <w:sdt>
            <w:sdtPr>
              <w:rPr>
                <w:rFonts w:hint="eastAsia"/>
              </w:rPr>
              <w:alias w:val="政府补助基本情况明细"/>
              <w:tag w:val="_TUP_eb738049c01c47fb8763dfc6db35b318"/>
              <w:id w:val="865726608"/>
              <w:lock w:val="sdtLocked"/>
            </w:sdtPr>
            <w:sdtEndPr>
              <w:rPr>
                <w:rFonts w:hint="default"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widowControl w:val="0"/>
                      <w:jc w:val="left"/>
                    </w:pPr>
                    <w:r>
                      <w:rPr>
                        <w:rFonts w:hint="eastAsia"/>
                      </w:rPr>
                      <w:t>冲减成本费用的政府补助</w:t>
                    </w:r>
                  </w:p>
                </w:tc>
                <w:tc>
                  <w:tcPr>
                    <w:tcW w:w="1250" w:type="pct"/>
                    <w:vAlign w:val="center"/>
                  </w:tcPr>
                  <w:p>
                    <w:pPr>
                      <w:widowControl w:val="0"/>
                      <w:jc w:val="right"/>
                      <w:rPr>
                        <w:rFonts w:ascii="Times New Roman" w:hAnsi="Times New Roman" w:cs="Times New Roman"/>
                      </w:rPr>
                    </w:pPr>
                    <w:r>
                      <w:rPr>
                        <w:rFonts w:ascii="Times New Roman" w:hAnsi="Times New Roman" w:cs="Times New Roman"/>
                      </w:rPr>
                      <w:t>1,843,920.00</w:t>
                    </w:r>
                  </w:p>
                </w:tc>
                <w:tc>
                  <w:tcPr>
                    <w:tcW w:w="1250" w:type="pct"/>
                    <w:vAlign w:val="center"/>
                  </w:tcPr>
                  <w:p>
                    <w:pPr>
                      <w:widowControl w:val="0"/>
                      <w:jc w:val="center"/>
                      <w:rPr>
                        <w:rFonts w:ascii="Times New Roman" w:hAnsi="Times New Roman" w:cs="Times New Roman"/>
                      </w:rPr>
                    </w:pPr>
                    <w:r>
                      <w:rPr>
                        <w:rFonts w:ascii="Times New Roman" w:cs="Times New Roman"/>
                      </w:rPr>
                      <w:t>详见</w:t>
                    </w:r>
                    <w:r>
                      <w:rPr>
                        <w:rFonts w:ascii="Times New Roman" w:hAnsi="Times New Roman" w:cs="Times New Roman"/>
                      </w:rPr>
                      <w:t>66</w:t>
                    </w:r>
                    <w:r>
                      <w:rPr>
                        <w:rFonts w:ascii="Times New Roman" w:cs="Times New Roman"/>
                      </w:rPr>
                      <w:t>、财务费用</w:t>
                    </w:r>
                  </w:p>
                </w:tc>
                <w:tc>
                  <w:tcPr>
                    <w:tcW w:w="1250" w:type="pct"/>
                    <w:vAlign w:val="center"/>
                  </w:tcPr>
                  <w:p>
                    <w:pPr>
                      <w:widowControl w:val="0"/>
                      <w:jc w:val="right"/>
                      <w:rPr>
                        <w:rFonts w:ascii="Times New Roman" w:hAnsi="Times New Roman" w:cs="Times New Roman"/>
                      </w:rPr>
                    </w:pPr>
                    <w:r>
                      <w:rPr>
                        <w:rFonts w:ascii="Times New Roman" w:hAnsi="Times New Roman" w:cs="Times New Roman"/>
                      </w:rPr>
                      <w:t>1,843,920.00</w:t>
                    </w:r>
                  </w:p>
                </w:tc>
              </w:tr>
            </w:sdtContent>
          </w:sdt>
          <w:sdt>
            <w:sdtPr>
              <w:rPr>
                <w:rFonts w:hint="eastAsia"/>
              </w:rPr>
              <w:alias w:val="政府补助基本情况明细"/>
              <w:tag w:val="_TUP_eb738049c01c47fb8763dfc6db35b318"/>
              <w:id w:val="865726609"/>
              <w:lock w:val="sdtLocked"/>
            </w:sdtPr>
            <w:sdtEndPr>
              <w:rPr>
                <w:rFonts w:hint="default"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widowControl w:val="0"/>
                      <w:jc w:val="left"/>
                    </w:pPr>
                    <w:r>
                      <w:rPr>
                        <w:rFonts w:hint="eastAsia"/>
                      </w:rPr>
                      <w:t>合计</w:t>
                    </w:r>
                  </w:p>
                </w:tc>
                <w:tc>
                  <w:tcPr>
                    <w:tcW w:w="1250" w:type="pct"/>
                    <w:vAlign w:val="center"/>
                  </w:tcPr>
                  <w:p>
                    <w:pPr>
                      <w:widowControl w:val="0"/>
                      <w:jc w:val="right"/>
                      <w:rPr>
                        <w:rFonts w:ascii="Times New Roman" w:hAnsi="Times New Roman" w:cs="Times New Roman"/>
                      </w:rPr>
                    </w:pPr>
                    <w:r>
                      <w:rPr>
                        <w:rFonts w:ascii="Times New Roman" w:hAnsi="Times New Roman" w:cs="Times New Roman"/>
                      </w:rPr>
                      <w:t>7,610,809.95</w:t>
                    </w:r>
                  </w:p>
                </w:tc>
                <w:tc>
                  <w:tcPr>
                    <w:tcW w:w="1250" w:type="pct"/>
                    <w:vAlign w:val="center"/>
                  </w:tcPr>
                  <w:p>
                    <w:pPr>
                      <w:widowControl w:val="0"/>
                      <w:jc w:val="center"/>
                      <w:rPr>
                        <w:rFonts w:ascii="Times New Roman" w:hAnsi="Times New Roman" w:cs="Times New Roman"/>
                      </w:rPr>
                    </w:pPr>
                  </w:p>
                </w:tc>
                <w:tc>
                  <w:tcPr>
                    <w:tcW w:w="1250" w:type="pct"/>
                    <w:vAlign w:val="center"/>
                  </w:tcPr>
                  <w:p>
                    <w:pPr>
                      <w:widowControl w:val="0"/>
                      <w:jc w:val="right"/>
                      <w:rPr>
                        <w:rFonts w:ascii="Times New Roman" w:hAnsi="Times New Roman" w:cs="Times New Roman"/>
                      </w:rPr>
                    </w:pPr>
                    <w:r>
                      <w:rPr>
                        <w:rFonts w:ascii="Times New Roman" w:hAnsi="Times New Roman" w:cs="Times New Roman"/>
                      </w:rPr>
                      <w:t>7,878,788.37</w:t>
                    </w:r>
                  </w:p>
                </w:tc>
              </w:tr>
            </w:sdtContent>
          </w:sdt>
        </w:tbl>
        <w:p/>
        <w:p>
          <w:pPr>
            <w:pStyle w:val="5"/>
            <w:numPr>
              <w:ilvl w:val="0"/>
              <w:numId w:val="115"/>
            </w:numPr>
            <w:ind w:left="426" w:hanging="426"/>
          </w:pPr>
          <w:r>
            <w:rPr>
              <w:rFonts w:hint="eastAsia"/>
            </w:rPr>
            <w:t>政府补助退回情况</w:t>
          </w:r>
        </w:p>
        <w:sdt>
          <w:sdtPr>
            <w:alias w:val="是否适用：政府补助退回情况[双击切换]"/>
            <w:tag w:val="_GBC_7c3f98d411764656a5dc808f8f86a06f"/>
            <w:id w:val="865726610"/>
            <w:lock w:val="sdtLocked"/>
          </w:sdtPr>
          <w:sdtContent>
            <w:p>
              <w:r>
                <w:fldChar w:fldCharType="begin"/>
              </w:r>
              <w: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
      </w:sdtContent>
    </w:sdt>
    <w:p/>
    <w:sdt>
      <w:sdtPr>
        <w:rPr>
          <w:rFonts w:ascii="宋体" w:hAnsi="宋体" w:cs="宋体"/>
          <w:b w:val="0"/>
          <w:bCs w:val="0"/>
          <w:kern w:val="0"/>
          <w:szCs w:val="24"/>
        </w:rPr>
        <w:alias w:val="模块:合并财务报表项目注释其他需要说明的事项"/>
        <w:tag w:val="_SEC_c84db925a3024ae68b5f3a3d1775752e"/>
        <w:id w:val="865726621"/>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79"/>
            </w:numPr>
            <w:tabs>
              <w:tab w:val="left" w:pos="504"/>
            </w:tabs>
          </w:pPr>
          <w:r>
            <w:rPr>
              <w:rFonts w:hint="eastAsia"/>
            </w:rPr>
            <w:t>其他</w:t>
          </w:r>
        </w:p>
        <w:sdt>
          <w:sdtPr>
            <w:alias w:val="是否适用：合并财务报表项目注释其他需要说明的事项[双击切换]"/>
            <w:tag w:val="_GBC_67815da71293483fad0e823098235edb"/>
            <w:id w:val="86572662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3"/>
        <w:numPr>
          <w:ilvl w:val="0"/>
          <w:numId w:val="54"/>
        </w:numPr>
      </w:pPr>
      <w:r>
        <w:rPr>
          <w:rFonts w:hint="eastAsia"/>
        </w:rPr>
        <w:t>合并范围的变更</w:t>
      </w:r>
    </w:p>
    <w:p>
      <w:pPr>
        <w:pStyle w:val="4"/>
        <w:numPr>
          <w:ilvl w:val="0"/>
          <w:numId w:val="116"/>
        </w:numPr>
        <w:rPr>
          <w:rFonts w:ascii="宋体" w:hAnsi="宋体" w:cs="Arial"/>
          <w:szCs w:val="21"/>
        </w:rPr>
      </w:pPr>
      <w:r>
        <w:rPr>
          <w:rFonts w:hint="eastAsia" w:ascii="宋体" w:hAnsi="宋体" w:cs="Arial"/>
          <w:szCs w:val="21"/>
        </w:rPr>
        <w:t>非同一控制下企业合并</w:t>
      </w:r>
    </w:p>
    <w:sdt>
      <w:sdtPr>
        <w:alias w:val="是否适用：非同一控制下企业合并[双击切换]"/>
        <w:tag w:val="_GBC_f305adddf4654659bd28ceedc072aa05"/>
        <w:id w:val="865726622"/>
        <w:lock w:val="sdtLocked"/>
        <w:placeholder>
          <w:docPart w:val="GBC22222222222222222222222222222"/>
        </w:placeholder>
      </w:sdtPr>
      <w:sdtContent>
        <w:p>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szCs w:val="21"/>
        </w:rPr>
      </w:pPr>
    </w:p>
    <w:p>
      <w:pPr>
        <w:rPr>
          <w:szCs w:val="21"/>
        </w:rPr>
      </w:pPr>
    </w:p>
    <w:p>
      <w:pPr>
        <w:pStyle w:val="4"/>
        <w:numPr>
          <w:ilvl w:val="0"/>
          <w:numId w:val="116"/>
        </w:numPr>
        <w:rPr>
          <w:rFonts w:ascii="宋体" w:hAnsi="宋体" w:cs="Arial"/>
          <w:szCs w:val="21"/>
        </w:rPr>
      </w:pPr>
      <w:r>
        <w:rPr>
          <w:rFonts w:hint="eastAsia" w:ascii="宋体" w:hAnsi="宋体" w:cs="Arial"/>
          <w:szCs w:val="21"/>
        </w:rPr>
        <w:t>同一控制下企业合并</w:t>
      </w:r>
    </w:p>
    <w:sdt>
      <w:sdtPr>
        <w:alias w:val="是否适用：同一控制下企业合并[双击切换]"/>
        <w:tag w:val="_GBC_698d1a451f094ec0bf9c3a278d26a0d3"/>
        <w:id w:val="865726623"/>
        <w:lock w:val="sdtLocked"/>
        <w:placeholder>
          <w:docPart w:val="GBC22222222222222222222222222222"/>
        </w:placeholder>
      </w:sdtPr>
      <w:sdtContent>
        <w:p>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sdt>
      <w:sdtPr>
        <w:rPr>
          <w:rFonts w:hint="eastAsia" w:ascii="宋体" w:hAnsi="宋体" w:cs="Arial"/>
          <w:b w:val="0"/>
          <w:bCs w:val="0"/>
          <w:kern w:val="0"/>
          <w:szCs w:val="21"/>
        </w:rPr>
        <w:alias w:val="模块:反向购买"/>
        <w:tag w:val="_SEC_612fd89e631e4e869313fae62c4eb055"/>
        <w:id w:val="865726626"/>
        <w:lock w:val="sdtLocked"/>
        <w:placeholder>
          <w:docPart w:val="GBC22222222222222222222222222222"/>
        </w:placeholder>
      </w:sdtPr>
      <w:sdtEndPr>
        <w:rPr>
          <w:rFonts w:hint="eastAsia" w:ascii="宋体" w:hAnsi="宋体" w:cs="Arial"/>
          <w:b w:val="0"/>
          <w:bCs w:val="0"/>
          <w:kern w:val="0"/>
          <w:szCs w:val="21"/>
          <w:lang w:val="en-GB"/>
        </w:rPr>
      </w:sdtEndPr>
      <w:sdtContent>
        <w:p>
          <w:pPr>
            <w:pStyle w:val="4"/>
            <w:numPr>
              <w:ilvl w:val="0"/>
              <w:numId w:val="116"/>
            </w:numPr>
            <w:rPr>
              <w:rFonts w:ascii="宋体" w:hAnsi="宋体" w:cs="Arial"/>
              <w:szCs w:val="21"/>
            </w:rPr>
          </w:pPr>
          <w:r>
            <w:rPr>
              <w:rFonts w:hint="eastAsia" w:ascii="宋体" w:hAnsi="宋体" w:cs="Arial"/>
              <w:szCs w:val="21"/>
            </w:rPr>
            <w:t>反向购买</w:t>
          </w:r>
        </w:p>
        <w:sdt>
          <w:sdtPr>
            <w:alias w:val="是否适用：反向购买[双击切换]"/>
            <w:tag w:val="_GBC_717fa638fefe45c09c1f2627ba167ee4"/>
            <w:id w:val="86572662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lang w:val="en-GB"/>
            </w:rPr>
          </w:pPr>
        </w:p>
      </w:sdtContent>
    </w:sdt>
    <w:p>
      <w:pPr>
        <w:rPr>
          <w:rFonts w:cs="Arial"/>
          <w:szCs w:val="21"/>
        </w:rPr>
      </w:pPr>
    </w:p>
    <w:p>
      <w:pPr>
        <w:rPr>
          <w:rFonts w:cs="Arial"/>
          <w:szCs w:val="21"/>
        </w:rPr>
        <w:sectPr>
          <w:pgSz w:w="11906" w:h="16838"/>
          <w:pgMar w:top="1440" w:right="1797" w:bottom="1525" w:left="1276" w:header="856" w:footer="992" w:gutter="0"/>
          <w:cols w:space="425" w:num="1"/>
          <w:docGrid w:linePitch="312" w:charSpace="0"/>
        </w:sectPr>
      </w:pPr>
    </w:p>
    <w:sdt>
      <w:sdtPr>
        <w:rPr>
          <w:rFonts w:hint="eastAsia" w:ascii="宋体" w:hAnsi="宋体" w:cs="Arial"/>
          <w:b w:val="0"/>
          <w:bCs w:val="0"/>
          <w:kern w:val="0"/>
          <w:szCs w:val="21"/>
        </w:rPr>
        <w:alias w:val="模块:处置子公司"/>
        <w:tag w:val="_SEC_2a4ee8d8c08040448e991803ec2047d5"/>
        <w:id w:val="865726629"/>
        <w:lock w:val="sdtLocked"/>
        <w:placeholder>
          <w:docPart w:val="GBC22222222222222222222222222222"/>
        </w:placeholder>
      </w:sdtPr>
      <w:sdtEndPr>
        <w:rPr>
          <w:rFonts w:hint="eastAsia" w:ascii="宋体" w:hAnsi="宋体" w:cs="宋体"/>
          <w:b w:val="0"/>
          <w:bCs w:val="0"/>
          <w:color w:val="000000"/>
          <w:kern w:val="0"/>
          <w:szCs w:val="21"/>
        </w:rPr>
      </w:sdtEndPr>
      <w:sdtContent>
        <w:p>
          <w:pPr>
            <w:pStyle w:val="4"/>
            <w:numPr>
              <w:ilvl w:val="0"/>
              <w:numId w:val="116"/>
            </w:numPr>
            <w:rPr>
              <w:rFonts w:ascii="宋体" w:hAnsi="宋体" w:cs="Arial"/>
              <w:szCs w:val="21"/>
            </w:rPr>
          </w:pPr>
          <w:r>
            <w:rPr>
              <w:rFonts w:hint="eastAsia" w:ascii="宋体" w:hAnsi="宋体" w:cs="Arial"/>
              <w:szCs w:val="21"/>
            </w:rPr>
            <w:t>处置子公司</w:t>
          </w:r>
        </w:p>
        <w:p>
          <w:r>
            <w:rPr>
              <w:rFonts w:hint="eastAsia"/>
            </w:rPr>
            <w:t>是否存在单次处置</w:t>
          </w:r>
          <w:r>
            <w:t>对子公司投资即丧失控制权的情形</w:t>
          </w:r>
        </w:p>
        <w:sdt>
          <w:sdtPr>
            <w:rPr>
              <w:rFonts w:hint="eastAsia" w:cs="Arial"/>
              <w:szCs w:val="21"/>
            </w:rPr>
            <w:alias w:val="是否存在单次交易处置对子公司投资即丧失控制权的情形[双击切换]"/>
            <w:tag w:val="_GBC_34b271ee01844be4a0580269d95adcf3"/>
            <w:id w:val="865726627"/>
            <w:lock w:val="sdtLocked"/>
            <w:placeholder>
              <w:docPart w:val="GBC22222222222222222222222222222"/>
            </w:placeholder>
          </w:sdtPr>
          <w:sdtEndPr>
            <w:rPr>
              <w:rFonts w:hint="eastAsia" w:cs="Arial"/>
              <w:szCs w:val="21"/>
            </w:rPr>
          </w:sdtEndPr>
          <w:sdtContent>
            <w:p>
              <w:pPr>
                <w:rPr>
                  <w:rFonts w:cs="Arial"/>
                  <w:color w:val="000000"/>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color w:val="000000"/>
              <w:szCs w:val="21"/>
            </w:rPr>
          </w:pPr>
          <w:r>
            <w:rPr>
              <w:rFonts w:hint="eastAsia" w:cs="Arial"/>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865726628"/>
            <w:lock w:val="sdtLocked"/>
            <w:placeholder>
              <w:docPart w:val="GBC22222222222222222222222222222"/>
            </w:placeholder>
          </w:sdtPr>
          <w:sdtEndPr>
            <w:rPr>
              <w:rFonts w:cs="Arial"/>
              <w:color w:val="000000"/>
              <w:szCs w:val="21"/>
            </w:rPr>
          </w:sdtEndPr>
          <w:sdtContent>
            <w:p>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pPr>
        <w:rPr>
          <w:rFonts w:cs="Arial"/>
          <w:color w:val="000000"/>
          <w:szCs w:val="21"/>
        </w:rPr>
      </w:pPr>
    </w:p>
    <w:p>
      <w:pPr>
        <w:rPr>
          <w:rFonts w:cs="Arial" w:asciiTheme="minorHAnsi" w:hAnsiTheme="minorHAnsi" w:eastAsiaTheme="minorEastAsia"/>
          <w:color w:val="000000"/>
        </w:rPr>
      </w:pPr>
    </w:p>
    <w:sdt>
      <w:sdtPr>
        <w:rPr>
          <w:rFonts w:hint="eastAsia" w:cs="Arial" w:asciiTheme="minorHAnsi" w:hAnsiTheme="minorHAnsi" w:eastAsiaTheme="minorEastAsia"/>
          <w:b w:val="0"/>
          <w:bCs w:val="0"/>
          <w:color w:val="000000"/>
          <w:kern w:val="0"/>
          <w:szCs w:val="24"/>
        </w:rPr>
        <w:alias w:val="模块:其他原因的合并范围变动"/>
        <w:tag w:val="_SEC_06f741a2d2b342998a5d1499d841b2b1"/>
        <w:id w:val="865726631"/>
        <w:lock w:val="sdtLocked"/>
        <w:placeholder>
          <w:docPart w:val="GBC22222222222222222222222222222"/>
        </w:placeholder>
      </w:sdtPr>
      <w:sdtEndPr>
        <w:rPr>
          <w:rFonts w:hint="eastAsia" w:cs="Arial" w:asciiTheme="minorHAnsi" w:hAnsiTheme="minorHAnsi" w:eastAsiaTheme="minorEastAsia"/>
          <w:b w:val="0"/>
          <w:bCs w:val="0"/>
          <w:color w:val="000000"/>
          <w:kern w:val="0"/>
          <w:szCs w:val="24"/>
        </w:rPr>
      </w:sdtEndPr>
      <w:sdtContent>
        <w:p>
          <w:pPr>
            <w:pStyle w:val="4"/>
            <w:numPr>
              <w:ilvl w:val="0"/>
              <w:numId w:val="116"/>
            </w:numPr>
            <w:rPr>
              <w:rFonts w:cs="Arial" w:asciiTheme="minorHAnsi" w:hAnsiTheme="minorHAnsi" w:eastAsiaTheme="minorEastAsia"/>
              <w:color w:val="000000"/>
            </w:rPr>
          </w:pPr>
          <w:r>
            <w:rPr>
              <w:rFonts w:hint="eastAsia" w:cs="Arial" w:asciiTheme="minorHAnsi" w:hAnsiTheme="minorHAnsi" w:eastAsiaTheme="minorEastAsia"/>
              <w:color w:val="000000"/>
            </w:rPr>
            <w:t>其他原因的合并范围变动</w:t>
          </w:r>
        </w:p>
        <w:p>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865726630"/>
            <w:lock w:val="sdtLocked"/>
            <w:placeholder>
              <w:docPart w:val="GBC22222222222222222222222222222"/>
            </w:placeholder>
          </w:sdtPr>
          <w:sdtContent>
            <w:p>
              <w:pPr>
                <w:rPr>
                  <w:rFonts w:cs="Arial" w:asciiTheme="minorHAnsi" w:hAnsiTheme="minorHAnsi" w:eastAsiaTheme="minorEastAsia"/>
                  <w:color w:val="000000"/>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Arial" w:asciiTheme="minorHAnsi" w:hAnsiTheme="minorHAnsi" w:eastAsiaTheme="minorEastAsia"/>
          <w:color w:val="000000"/>
        </w:rPr>
      </w:pPr>
    </w:p>
    <w:sdt>
      <w:sdtPr>
        <w:rPr>
          <w:rFonts w:hint="eastAsia" w:cs="Arial" w:asciiTheme="minorHAnsi" w:hAnsiTheme="minorHAnsi" w:eastAsiaTheme="minorEastAsia"/>
          <w:b w:val="0"/>
          <w:bCs w:val="0"/>
          <w:color w:val="000000"/>
          <w:kern w:val="0"/>
          <w:szCs w:val="24"/>
        </w:rPr>
        <w:alias w:val="模块:同一控制下企业合并其他"/>
        <w:tag w:val="_SEC_ca392f46fede4abc8729431a3728c4bb"/>
        <w:id w:val="865726633"/>
        <w:lock w:val="sdtLocked"/>
        <w:placeholder>
          <w:docPart w:val="GBC22222222222222222222222222222"/>
        </w:placeholder>
      </w:sdtPr>
      <w:sdtEndPr>
        <w:rPr>
          <w:rFonts w:hint="eastAsia" w:cs="Arial" w:asciiTheme="minorHAnsi" w:hAnsiTheme="minorHAnsi" w:eastAsiaTheme="minorEastAsia"/>
          <w:b w:val="0"/>
          <w:bCs w:val="0"/>
          <w:color w:val="000000"/>
          <w:kern w:val="0"/>
          <w:szCs w:val="24"/>
        </w:rPr>
      </w:sdtEndPr>
      <w:sdtContent>
        <w:p>
          <w:pPr>
            <w:pStyle w:val="4"/>
            <w:numPr>
              <w:ilvl w:val="0"/>
              <w:numId w:val="116"/>
            </w:numPr>
            <w:rPr>
              <w:rFonts w:ascii="宋体" w:hAnsi="宋体" w:cs="Arial"/>
              <w:color w:val="000000"/>
            </w:rPr>
          </w:pPr>
          <w:r>
            <w:rPr>
              <w:rFonts w:hint="eastAsia" w:ascii="宋体" w:hAnsi="宋体" w:cs="Arial"/>
              <w:color w:val="000000"/>
            </w:rPr>
            <w:t>其他</w:t>
          </w:r>
        </w:p>
        <w:sdt>
          <w:sdtPr>
            <w:rPr>
              <w:rFonts w:hint="eastAsia" w:cs="Arial"/>
              <w:color w:val="000000"/>
            </w:rPr>
            <w:alias w:val="是否适用：合并范围的变更-其他说明[双击切换]"/>
            <w:tag w:val="_GBC_f93907dc64cd43f0a9e4c85b200aec0c"/>
            <w:id w:val="865726632"/>
            <w:lock w:val="sdtLocked"/>
            <w:placeholder>
              <w:docPart w:val="GBC22222222222222222222222222222"/>
            </w:placeholder>
          </w:sdtPr>
          <w:sdtEndPr>
            <w:rPr>
              <w:rFonts w:hint="eastAsia" w:cs="Arial"/>
              <w:color w:val="000000"/>
            </w:rPr>
          </w:sdtEndPr>
          <w:sdtContent>
            <w:p>
              <w:pPr>
                <w:rPr>
                  <w:rFonts w:cs="Arial" w:asciiTheme="minorHAnsi" w:hAnsiTheme="minorHAnsi" w:eastAsiaTheme="minorEastAsia"/>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sdtContent>
    </w:sdt>
    <w:p>
      <w:pPr>
        <w:rPr>
          <w:rFonts w:cs="Arial"/>
          <w:color w:val="000000"/>
        </w:rPr>
      </w:pPr>
    </w:p>
    <w:p>
      <w:pPr>
        <w:rPr>
          <w:rFonts w:cs="Arial"/>
          <w:color w:val="000000"/>
        </w:rPr>
        <w:sectPr>
          <w:pgSz w:w="11906" w:h="16838"/>
          <w:pgMar w:top="1440" w:right="1797" w:bottom="1525" w:left="1276" w:header="856" w:footer="992" w:gutter="0"/>
          <w:cols w:space="425" w:num="1"/>
          <w:docGrid w:linePitch="312" w:charSpace="0"/>
        </w:sectPr>
      </w:pPr>
    </w:p>
    <w:p>
      <w:pPr>
        <w:pStyle w:val="3"/>
        <w:numPr>
          <w:ilvl w:val="0"/>
          <w:numId w:val="54"/>
        </w:numPr>
        <w:rPr>
          <w:rFonts w:ascii="宋体" w:hAnsi="宋体"/>
        </w:rPr>
      </w:pPr>
      <w:r>
        <w:rPr>
          <w:rFonts w:hint="eastAsia" w:ascii="宋体" w:hAnsi="宋体"/>
        </w:rPr>
        <w:t>在</w:t>
      </w:r>
      <w:r>
        <w:rPr>
          <w:rFonts w:hint="eastAsia"/>
        </w:rPr>
        <w:t>其他</w:t>
      </w:r>
      <w:r>
        <w:rPr>
          <w:rFonts w:hint="eastAsia" w:ascii="宋体" w:hAnsi="宋体"/>
        </w:rPr>
        <w:t>主体中的权益</w:t>
      </w:r>
    </w:p>
    <w:p>
      <w:pPr>
        <w:pStyle w:val="4"/>
        <w:numPr>
          <w:ilvl w:val="2"/>
          <w:numId w:val="117"/>
        </w:numPr>
      </w:pPr>
      <w:r>
        <w:rPr>
          <w:rFonts w:hint="eastAsia"/>
        </w:rPr>
        <w:t>在子公司中的权益</w:t>
      </w:r>
    </w:p>
    <w:sdt>
      <w:sdtPr>
        <w:rPr>
          <w:rFonts w:hint="eastAsia" w:ascii="宋体" w:hAnsi="宋体" w:eastAsia="宋体" w:cs="宋体"/>
          <w:b w:val="0"/>
          <w:bCs w:val="0"/>
          <w:kern w:val="0"/>
          <w:szCs w:val="24"/>
        </w:rPr>
        <w:alias w:val="模块:企业集团的构成"/>
        <w:tag w:val="_GBC_47f8b786d9024ebb977349f022d18c1c"/>
        <w:id w:val="865726653"/>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5"/>
            <w:numPr>
              <w:ilvl w:val="3"/>
              <w:numId w:val="118"/>
            </w:numPr>
            <w:ind w:left="424" w:hanging="424" w:hangingChars="202"/>
          </w:pPr>
          <w:r>
            <w:rPr>
              <w:rFonts w:hint="eastAsia"/>
            </w:rPr>
            <w:t>企业集团的构成</w:t>
          </w:r>
        </w:p>
        <w:sdt>
          <w:sdtPr>
            <w:alias w:val="是否适用：企业集团的构成[双击切换]"/>
            <w:tag w:val="_GBC_f4dcd24cd0a6465f817fe278addb6568"/>
            <w:id w:val="86572663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1288"/>
            <w:gridCol w:w="1272"/>
            <w:gridCol w:w="1301"/>
            <w:gridCol w:w="1286"/>
            <w:gridCol w:w="128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sdt>
              <w:sdtPr>
                <w:rPr>
                  <w:rFonts w:ascii="Times New Roman" w:hAnsi="Times New Roman" w:cs="Times New Roman"/>
                </w:rPr>
                <w:tag w:val="_PLD_d102f36c2e2645ad9579603ca28588c8"/>
                <w:id w:val="865726635"/>
                <w:lock w:val="sdtLocked"/>
              </w:sdtPr>
              <w:sdtEndPr>
                <w:rPr>
                  <w:rFonts w:ascii="Times New Roman" w:hAnsi="Times New Roman" w:cs="Times New Roman"/>
                </w:rPr>
              </w:sdtEndPr>
              <w:sdtContent>
                <w:tc>
                  <w:tcPr>
                    <w:tcW w:w="662" w:type="pct"/>
                    <w:vMerge w:val="restart"/>
                    <w:shd w:val="clear" w:color="auto" w:fill="auto"/>
                    <w:vAlign w:val="center"/>
                  </w:tcPr>
                  <w:p>
                    <w:pPr>
                      <w:jc w:val="center"/>
                      <w:rPr>
                        <w:rFonts w:ascii="Times New Roman" w:hAnsi="Times New Roman" w:cs="Times New Roman"/>
                        <w:szCs w:val="21"/>
                        <w:lang w:val="en-GB"/>
                      </w:rPr>
                    </w:pPr>
                    <w:r>
                      <w:rPr>
                        <w:rFonts w:ascii="Times New Roman" w:cs="Times New Roman"/>
                        <w:szCs w:val="21"/>
                        <w:lang w:val="en-GB"/>
                      </w:rPr>
                      <w:t>子公司</w:t>
                    </w:r>
                  </w:p>
                  <w:p>
                    <w:pPr>
                      <w:jc w:val="center"/>
                      <w:rPr>
                        <w:rFonts w:ascii="Times New Roman" w:hAnsi="Times New Roman" w:cs="Times New Roman"/>
                        <w:szCs w:val="21"/>
                      </w:rPr>
                    </w:pPr>
                    <w:r>
                      <w:rPr>
                        <w:rFonts w:ascii="Times New Roman" w:cs="Times New Roman"/>
                        <w:szCs w:val="21"/>
                        <w:lang w:val="en-GB"/>
                      </w:rPr>
                      <w:t>名称</w:t>
                    </w:r>
                  </w:p>
                </w:tc>
              </w:sdtContent>
            </w:sdt>
            <w:sdt>
              <w:sdtPr>
                <w:rPr>
                  <w:rFonts w:ascii="Times New Roman" w:hAnsi="Times New Roman" w:cs="Times New Roman"/>
                </w:rPr>
                <w:tag w:val="_PLD_f2f68356b5494ce8941038ba206c0e79"/>
                <w:id w:val="865726636"/>
                <w:lock w:val="sdtLocked"/>
              </w:sdtPr>
              <w:sdtEndPr>
                <w:rPr>
                  <w:rFonts w:ascii="Times New Roman" w:hAnsi="Times New Roman" w:cs="Times New Roman"/>
                </w:rPr>
              </w:sdtEndPr>
              <w:sdtContent>
                <w:tc>
                  <w:tcPr>
                    <w:tcW w:w="711"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lang w:val="en-GB"/>
                      </w:rPr>
                      <w:t>主要经营地</w:t>
                    </w:r>
                  </w:p>
                </w:tc>
              </w:sdtContent>
            </w:sdt>
            <w:sdt>
              <w:sdtPr>
                <w:rPr>
                  <w:rFonts w:ascii="Times New Roman" w:hAnsi="Times New Roman" w:cs="Times New Roman"/>
                </w:rPr>
                <w:tag w:val="_PLD_e9cbfd017bcc45b9be4599d5ee950f92"/>
                <w:id w:val="865726637"/>
                <w:lock w:val="sdtLocked"/>
              </w:sdtPr>
              <w:sdtEndPr>
                <w:rPr>
                  <w:rFonts w:ascii="Times New Roman" w:hAnsi="Times New Roman" w:cs="Times New Roman"/>
                </w:rPr>
              </w:sdtEndPr>
              <w:sdtContent>
                <w:tc>
                  <w:tcPr>
                    <w:tcW w:w="702"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lang w:val="en-GB"/>
                      </w:rPr>
                      <w:t>注册地</w:t>
                    </w:r>
                  </w:p>
                </w:tc>
              </w:sdtContent>
            </w:sdt>
            <w:sdt>
              <w:sdtPr>
                <w:rPr>
                  <w:rFonts w:ascii="Times New Roman" w:hAnsi="Times New Roman" w:cs="Times New Roman"/>
                </w:rPr>
                <w:tag w:val="_PLD_da5558f3e8f24c30b756f825b0ebca03"/>
                <w:id w:val="865726638"/>
                <w:lock w:val="sdtLocked"/>
              </w:sdtPr>
              <w:sdtEndPr>
                <w:rPr>
                  <w:rFonts w:ascii="Times New Roman" w:hAnsi="Times New Roman" w:cs="Times New Roman"/>
                </w:rPr>
              </w:sdtEndPr>
              <w:sdtContent>
                <w:tc>
                  <w:tcPr>
                    <w:tcW w:w="718"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lang w:val="en-GB"/>
                      </w:rPr>
                      <w:t>业务性质</w:t>
                    </w:r>
                  </w:p>
                </w:tc>
              </w:sdtContent>
            </w:sdt>
            <w:sdt>
              <w:sdtPr>
                <w:rPr>
                  <w:rFonts w:ascii="Times New Roman" w:hAnsi="Times New Roman" w:cs="Times New Roman"/>
                </w:rPr>
                <w:tag w:val="_PLD_817e427c8eff4fd1875d12860133e99e"/>
                <w:id w:val="865726639"/>
                <w:lock w:val="sdtLocked"/>
              </w:sdtPr>
              <w:sdtEndPr>
                <w:rPr>
                  <w:rFonts w:ascii="Times New Roman" w:hAnsi="Times New Roman" w:cs="Times New Roman"/>
                </w:rPr>
              </w:sdtEndPr>
              <w:sdtContent>
                <w:tc>
                  <w:tcPr>
                    <w:tcW w:w="1420" w:type="pct"/>
                    <w:gridSpan w:val="2"/>
                    <w:shd w:val="clear" w:color="auto" w:fill="auto"/>
                    <w:vAlign w:val="center"/>
                  </w:tcPr>
                  <w:p>
                    <w:pPr>
                      <w:jc w:val="center"/>
                      <w:rPr>
                        <w:rFonts w:ascii="Times New Roman" w:hAnsi="Times New Roman" w:cs="Times New Roman"/>
                        <w:szCs w:val="21"/>
                      </w:rPr>
                    </w:pPr>
                    <w:r>
                      <w:rPr>
                        <w:rFonts w:ascii="Times New Roman" w:cs="Times New Roman"/>
                        <w:szCs w:val="21"/>
                        <w:lang w:val="en-GB"/>
                      </w:rPr>
                      <w:t>持股比例</w:t>
                    </w:r>
                    <w:r>
                      <w:rPr>
                        <w:rFonts w:ascii="Times New Roman" w:hAnsi="Times New Roman" w:cs="Times New Roman"/>
                        <w:szCs w:val="21"/>
                      </w:rPr>
                      <w:t>(%)</w:t>
                    </w:r>
                  </w:p>
                </w:tc>
              </w:sdtContent>
            </w:sdt>
            <w:sdt>
              <w:sdtPr>
                <w:rPr>
                  <w:rFonts w:ascii="Times New Roman" w:hAnsi="Times New Roman" w:cs="Times New Roman"/>
                </w:rPr>
                <w:tag w:val="_PLD_0bb5e453efe4450ba0d853b98eb2c2b0"/>
                <w:id w:val="865726640"/>
                <w:lock w:val="sdtLocked"/>
              </w:sdtPr>
              <w:sdtEndPr>
                <w:rPr>
                  <w:rFonts w:ascii="Times New Roman" w:hAnsi="Times New Roman" w:cs="Times New Roman"/>
                </w:rPr>
              </w:sdtEndPr>
              <w:sdtContent>
                <w:tc>
                  <w:tcPr>
                    <w:tcW w:w="782" w:type="pct"/>
                    <w:vMerge w:val="restart"/>
                    <w:shd w:val="clear" w:color="auto" w:fill="auto"/>
                    <w:vAlign w:val="center"/>
                  </w:tcPr>
                  <w:p>
                    <w:pPr>
                      <w:jc w:val="center"/>
                      <w:rPr>
                        <w:rFonts w:ascii="Times New Roman" w:hAnsi="Times New Roman" w:cs="Times New Roman"/>
                        <w:szCs w:val="21"/>
                        <w:lang w:val="en-GB"/>
                      </w:rPr>
                    </w:pPr>
                    <w:r>
                      <w:rPr>
                        <w:rFonts w:ascii="Times New Roman" w:cs="Times New Roman"/>
                        <w:szCs w:val="21"/>
                        <w:lang w:val="en-GB"/>
                      </w:rPr>
                      <w:t>取得</w:t>
                    </w:r>
                  </w:p>
                  <w:p>
                    <w:pPr>
                      <w:jc w:val="center"/>
                      <w:rPr>
                        <w:rFonts w:ascii="Times New Roman" w:hAnsi="Times New Roman" w:cs="Times New Roman"/>
                        <w:szCs w:val="21"/>
                        <w:lang w:val="en-GB"/>
                      </w:rPr>
                    </w:pPr>
                    <w:r>
                      <w:rPr>
                        <w:rFonts w:ascii="Times New Roman" w:cs="Times New Roman"/>
                        <w:szCs w:val="21"/>
                        <w:lang w:val="en-GB"/>
                      </w:rPr>
                      <w:t>方式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62" w:type="pct"/>
                <w:vMerge w:val="continue"/>
                <w:shd w:val="clear" w:color="auto" w:fill="auto"/>
                <w:vAlign w:val="center"/>
              </w:tcPr>
              <w:p>
                <w:pPr>
                  <w:rPr>
                    <w:rFonts w:ascii="Times New Roman" w:hAnsi="Times New Roman" w:cs="Times New Roman"/>
                    <w:szCs w:val="21"/>
                  </w:rPr>
                </w:pPr>
              </w:p>
            </w:tc>
            <w:tc>
              <w:tcPr>
                <w:tcW w:w="711" w:type="pct"/>
                <w:vMerge w:val="continue"/>
                <w:shd w:val="clear" w:color="auto" w:fill="auto"/>
                <w:vAlign w:val="center"/>
              </w:tcPr>
              <w:p>
                <w:pPr>
                  <w:rPr>
                    <w:rFonts w:ascii="Times New Roman" w:hAnsi="Times New Roman" w:cs="Times New Roman"/>
                    <w:szCs w:val="21"/>
                  </w:rPr>
                </w:pPr>
              </w:p>
            </w:tc>
            <w:tc>
              <w:tcPr>
                <w:tcW w:w="702" w:type="pct"/>
                <w:vMerge w:val="continue"/>
                <w:shd w:val="clear" w:color="auto" w:fill="auto"/>
                <w:vAlign w:val="center"/>
              </w:tcPr>
              <w:p>
                <w:pPr>
                  <w:rPr>
                    <w:rFonts w:ascii="Times New Roman" w:hAnsi="Times New Roman" w:cs="Times New Roman"/>
                    <w:szCs w:val="21"/>
                  </w:rPr>
                </w:pPr>
              </w:p>
            </w:tc>
            <w:tc>
              <w:tcPr>
                <w:tcW w:w="718" w:type="pct"/>
                <w:vMerge w:val="continue"/>
                <w:shd w:val="clear" w:color="auto" w:fill="auto"/>
                <w:vAlign w:val="center"/>
              </w:tcPr>
              <w:p>
                <w:pPr>
                  <w:rPr>
                    <w:rFonts w:ascii="Times New Roman" w:hAnsi="Times New Roman" w:cs="Times New Roman"/>
                    <w:szCs w:val="21"/>
                  </w:rPr>
                </w:pPr>
              </w:p>
            </w:tc>
            <w:sdt>
              <w:sdtPr>
                <w:rPr>
                  <w:rFonts w:ascii="Times New Roman" w:hAnsi="Times New Roman" w:cs="Times New Roman"/>
                </w:rPr>
                <w:tag w:val="_PLD_3f641d83162f4ae3a8840b93258d7ced"/>
                <w:id w:val="865726641"/>
                <w:lock w:val="sdtLocked"/>
              </w:sdtPr>
              <w:sdtEndPr>
                <w:rPr>
                  <w:rFonts w:ascii="Times New Roman" w:hAnsi="Times New Roman" w:cs="Times New Roman"/>
                </w:rPr>
              </w:sdtEndPr>
              <w:sdtContent>
                <w:tc>
                  <w:tcPr>
                    <w:tcW w:w="710" w:type="pct"/>
                    <w:shd w:val="clear" w:color="auto" w:fill="auto"/>
                    <w:vAlign w:val="center"/>
                  </w:tcPr>
                  <w:p>
                    <w:pPr>
                      <w:jc w:val="center"/>
                      <w:rPr>
                        <w:rFonts w:ascii="Times New Roman" w:hAnsi="Times New Roman" w:cs="Times New Roman"/>
                        <w:szCs w:val="21"/>
                      </w:rPr>
                    </w:pPr>
                    <w:r>
                      <w:rPr>
                        <w:rFonts w:ascii="Times New Roman" w:cs="Times New Roman"/>
                        <w:szCs w:val="21"/>
                        <w:lang w:val="en-GB"/>
                      </w:rPr>
                      <w:t>直接</w:t>
                    </w:r>
                  </w:p>
                </w:tc>
              </w:sdtContent>
            </w:sdt>
            <w:sdt>
              <w:sdtPr>
                <w:rPr>
                  <w:rFonts w:ascii="Times New Roman" w:hAnsi="Times New Roman" w:cs="Times New Roman"/>
                </w:rPr>
                <w:tag w:val="_PLD_ebc96648c2794ae08bfb57e63f0a34c5"/>
                <w:id w:val="865726642"/>
                <w:lock w:val="sdtLocked"/>
              </w:sdtPr>
              <w:sdtEndPr>
                <w:rPr>
                  <w:rFonts w:ascii="Times New Roman" w:hAnsi="Times New Roman" w:cs="Times New Roman"/>
                </w:rPr>
              </w:sdtEndPr>
              <w:sdtContent>
                <w:tc>
                  <w:tcPr>
                    <w:tcW w:w="710" w:type="pct"/>
                    <w:shd w:val="clear" w:color="auto" w:fill="auto"/>
                    <w:vAlign w:val="center"/>
                  </w:tcPr>
                  <w:p>
                    <w:pPr>
                      <w:jc w:val="center"/>
                      <w:rPr>
                        <w:rFonts w:ascii="Times New Roman" w:hAnsi="Times New Roman" w:cs="Times New Roman"/>
                        <w:szCs w:val="21"/>
                      </w:rPr>
                    </w:pPr>
                    <w:r>
                      <w:rPr>
                        <w:rFonts w:ascii="Times New Roman" w:cs="Times New Roman"/>
                        <w:szCs w:val="21"/>
                        <w:lang w:val="en-GB"/>
                      </w:rPr>
                      <w:t>间接</w:t>
                    </w:r>
                  </w:p>
                </w:tc>
              </w:sdtContent>
            </w:sdt>
            <w:tc>
              <w:tcPr>
                <w:tcW w:w="782" w:type="pct"/>
                <w:vMerge w:val="continue"/>
              </w:tcPr>
              <w:p>
                <w:pPr>
                  <w:rPr>
                    <w:rFonts w:ascii="Times New Roman" w:hAnsi="Times New Roman" w:cs="Times New Roman"/>
                    <w:szCs w:val="21"/>
                  </w:rPr>
                </w:pPr>
              </w:p>
            </w:tc>
          </w:tr>
          <w:sdt>
            <w:sdtPr>
              <w:rPr>
                <w:rFonts w:ascii="Times New Roman" w:hAnsi="Times New Roman" w:cs="Times New Roman"/>
                <w:szCs w:val="21"/>
              </w:rPr>
              <w:alias w:val="企业合并及合并财务报表明细"/>
              <w:tag w:val="_GBC_986bfe326d834fea9d2920637e286f21"/>
              <w:id w:val="86572664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tcPr>
                  <w:p>
                    <w:pPr>
                      <w:rPr>
                        <w:rFonts w:ascii="Times New Roman" w:hAnsi="Times New Roman" w:cs="Times New Roman"/>
                        <w:szCs w:val="21"/>
                      </w:rPr>
                    </w:pPr>
                    <w:r>
                      <w:rPr>
                        <w:rFonts w:ascii="Times New Roman" w:cs="Times New Roman"/>
                      </w:rPr>
                      <w:t>柳州惠好卫生用品有限公司</w:t>
                    </w:r>
                  </w:p>
                </w:tc>
                <w:tc>
                  <w:tcPr>
                    <w:tcW w:w="711" w:type="pct"/>
                    <w:vAlign w:val="center"/>
                  </w:tcPr>
                  <w:p>
                    <w:pPr>
                      <w:jc w:val="both"/>
                      <w:rPr>
                        <w:rFonts w:ascii="Times New Roman" w:hAnsi="Times New Roman" w:cs="Times New Roman"/>
                        <w:szCs w:val="21"/>
                      </w:rPr>
                    </w:pPr>
                    <w:r>
                      <w:rPr>
                        <w:rFonts w:ascii="Times New Roman" w:cs="Times New Roman"/>
                      </w:rPr>
                      <w:t>广西柳州市</w:t>
                    </w:r>
                  </w:p>
                </w:tc>
                <w:tc>
                  <w:tcPr>
                    <w:tcW w:w="702" w:type="pct"/>
                    <w:vAlign w:val="center"/>
                  </w:tcPr>
                  <w:p>
                    <w:pPr>
                      <w:jc w:val="both"/>
                      <w:rPr>
                        <w:rFonts w:ascii="Times New Roman" w:hAnsi="Times New Roman" w:cs="Times New Roman"/>
                        <w:szCs w:val="21"/>
                      </w:rPr>
                    </w:pPr>
                    <w:r>
                      <w:rPr>
                        <w:rFonts w:ascii="Times New Roman" w:cs="Times New Roman"/>
                      </w:rPr>
                      <w:t>广西柳州市</w:t>
                    </w:r>
                  </w:p>
                </w:tc>
                <w:tc>
                  <w:tcPr>
                    <w:tcW w:w="718" w:type="pct"/>
                    <w:vAlign w:val="center"/>
                  </w:tcPr>
                  <w:p>
                    <w:pPr>
                      <w:jc w:val="center"/>
                      <w:rPr>
                        <w:rFonts w:ascii="Times New Roman" w:hAnsi="Times New Roman" w:cs="Times New Roman"/>
                        <w:szCs w:val="21"/>
                      </w:rPr>
                    </w:pPr>
                    <w:r>
                      <w:rPr>
                        <w:rFonts w:ascii="Times New Roman" w:cs="Times New Roman"/>
                      </w:rPr>
                      <w:t>制造业</w:t>
                    </w:r>
                  </w:p>
                </w:tc>
                <w:tc>
                  <w:tcPr>
                    <w:tcW w:w="710" w:type="pct"/>
                    <w:vAlign w:val="center"/>
                  </w:tcPr>
                  <w:p>
                    <w:pPr>
                      <w:jc w:val="center"/>
                      <w:rPr>
                        <w:rFonts w:ascii="Times New Roman" w:hAnsi="Times New Roman" w:cs="Times New Roman"/>
                        <w:szCs w:val="21"/>
                      </w:rPr>
                    </w:pPr>
                    <w:r>
                      <w:rPr>
                        <w:rFonts w:ascii="Times New Roman" w:hAnsi="Times New Roman" w:cs="Times New Roman"/>
                      </w:rPr>
                      <w:t>75</w:t>
                    </w:r>
                  </w:p>
                </w:tc>
                <w:tc>
                  <w:tcPr>
                    <w:tcW w:w="710" w:type="pct"/>
                    <w:vAlign w:val="center"/>
                  </w:tcPr>
                  <w:p>
                    <w:pPr>
                      <w:jc w:val="center"/>
                      <w:rPr>
                        <w:rFonts w:ascii="Times New Roman" w:hAnsi="Times New Roman" w:cs="Times New Roman"/>
                        <w:szCs w:val="21"/>
                      </w:rPr>
                    </w:pPr>
                  </w:p>
                </w:tc>
                <w:tc>
                  <w:tcPr>
                    <w:tcW w:w="782" w:type="pct"/>
                    <w:vAlign w:val="center"/>
                  </w:tcPr>
                  <w:p>
                    <w:pPr>
                      <w:jc w:val="both"/>
                      <w:rPr>
                        <w:rFonts w:ascii="Times New Roman" w:hAnsi="Times New Roman" w:cs="Times New Roman"/>
                        <w:szCs w:val="21"/>
                      </w:rPr>
                    </w:pPr>
                    <w:r>
                      <w:rPr>
                        <w:rFonts w:ascii="Times New Roman" w:cs="Times New Roman"/>
                      </w:rPr>
                      <w:t>投资</w:t>
                    </w:r>
                  </w:p>
                </w:tc>
              </w:tr>
            </w:sdtContent>
          </w:sdt>
          <w:sdt>
            <w:sdtPr>
              <w:rPr>
                <w:rFonts w:ascii="Times New Roman" w:hAnsi="Times New Roman" w:cs="Times New Roman"/>
                <w:szCs w:val="21"/>
              </w:rPr>
              <w:alias w:val="企业合并及合并财务报表明细"/>
              <w:tag w:val="_GBC_986bfe326d834fea9d2920637e286f21"/>
              <w:id w:val="86572664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tcPr>
                  <w:p>
                    <w:pPr>
                      <w:rPr>
                        <w:rFonts w:ascii="Times New Roman" w:hAnsi="Times New Roman" w:cs="Times New Roman"/>
                        <w:szCs w:val="21"/>
                      </w:rPr>
                    </w:pPr>
                    <w:r>
                      <w:rPr>
                        <w:rFonts w:ascii="Times New Roman" w:cs="Times New Roman"/>
                      </w:rPr>
                      <w:t>柳州两面针进出口贸易有限公司</w:t>
                    </w:r>
                  </w:p>
                </w:tc>
                <w:tc>
                  <w:tcPr>
                    <w:tcW w:w="711" w:type="pct"/>
                    <w:vAlign w:val="center"/>
                  </w:tcPr>
                  <w:p>
                    <w:pPr>
                      <w:jc w:val="both"/>
                      <w:rPr>
                        <w:rFonts w:ascii="Times New Roman" w:hAnsi="Times New Roman" w:cs="Times New Roman"/>
                        <w:szCs w:val="21"/>
                      </w:rPr>
                    </w:pPr>
                    <w:r>
                      <w:rPr>
                        <w:rFonts w:ascii="Times New Roman" w:cs="Times New Roman"/>
                      </w:rPr>
                      <w:t>广西柳州市</w:t>
                    </w:r>
                  </w:p>
                </w:tc>
                <w:tc>
                  <w:tcPr>
                    <w:tcW w:w="702" w:type="pct"/>
                    <w:vAlign w:val="center"/>
                  </w:tcPr>
                  <w:p>
                    <w:pPr>
                      <w:jc w:val="both"/>
                      <w:rPr>
                        <w:rFonts w:ascii="Times New Roman" w:hAnsi="Times New Roman" w:cs="Times New Roman"/>
                        <w:szCs w:val="21"/>
                      </w:rPr>
                    </w:pPr>
                    <w:r>
                      <w:rPr>
                        <w:rFonts w:ascii="Times New Roman" w:cs="Times New Roman"/>
                      </w:rPr>
                      <w:t>广西柳州市</w:t>
                    </w:r>
                  </w:p>
                </w:tc>
                <w:tc>
                  <w:tcPr>
                    <w:tcW w:w="718" w:type="pct"/>
                    <w:vAlign w:val="center"/>
                  </w:tcPr>
                  <w:p>
                    <w:pPr>
                      <w:jc w:val="center"/>
                      <w:rPr>
                        <w:rFonts w:ascii="Times New Roman" w:hAnsi="Times New Roman" w:cs="Times New Roman"/>
                        <w:szCs w:val="21"/>
                      </w:rPr>
                    </w:pPr>
                    <w:r>
                      <w:rPr>
                        <w:rFonts w:ascii="Times New Roman" w:cs="Times New Roman"/>
                      </w:rPr>
                      <w:t>进出口贸易</w:t>
                    </w:r>
                  </w:p>
                </w:tc>
                <w:tc>
                  <w:tcPr>
                    <w:tcW w:w="710" w:type="pct"/>
                    <w:vAlign w:val="center"/>
                  </w:tcPr>
                  <w:p>
                    <w:pPr>
                      <w:jc w:val="center"/>
                      <w:rPr>
                        <w:rFonts w:ascii="Times New Roman" w:hAnsi="Times New Roman" w:cs="Times New Roman"/>
                        <w:szCs w:val="21"/>
                      </w:rPr>
                    </w:pPr>
                    <w:r>
                      <w:rPr>
                        <w:rFonts w:ascii="Times New Roman" w:hAnsi="Times New Roman" w:cs="Times New Roman"/>
                      </w:rPr>
                      <w:t>51</w:t>
                    </w:r>
                  </w:p>
                </w:tc>
                <w:tc>
                  <w:tcPr>
                    <w:tcW w:w="710" w:type="pct"/>
                    <w:vAlign w:val="center"/>
                  </w:tcPr>
                  <w:p>
                    <w:pPr>
                      <w:jc w:val="center"/>
                      <w:rPr>
                        <w:rFonts w:ascii="Times New Roman" w:hAnsi="Times New Roman" w:cs="Times New Roman"/>
                        <w:szCs w:val="21"/>
                      </w:rPr>
                    </w:pPr>
                  </w:p>
                </w:tc>
                <w:tc>
                  <w:tcPr>
                    <w:tcW w:w="782" w:type="pct"/>
                    <w:vAlign w:val="center"/>
                  </w:tcPr>
                  <w:p>
                    <w:pPr>
                      <w:jc w:val="both"/>
                      <w:rPr>
                        <w:rFonts w:ascii="Times New Roman" w:hAnsi="Times New Roman" w:cs="Times New Roman"/>
                        <w:szCs w:val="21"/>
                      </w:rPr>
                    </w:pPr>
                    <w:r>
                      <w:rPr>
                        <w:rFonts w:ascii="Times New Roman" w:cs="Times New Roman"/>
                      </w:rPr>
                      <w:t>投资</w:t>
                    </w:r>
                  </w:p>
                </w:tc>
              </w:tr>
            </w:sdtContent>
          </w:sdt>
          <w:sdt>
            <w:sdtPr>
              <w:rPr>
                <w:rFonts w:ascii="Times New Roman" w:hAnsi="Times New Roman" w:cs="Times New Roman"/>
                <w:szCs w:val="21"/>
              </w:rPr>
              <w:alias w:val="企业合并及合并财务报表明细"/>
              <w:tag w:val="_GBC_986bfe326d834fea9d2920637e286f21"/>
              <w:id w:val="86572664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tcPr>
                  <w:p>
                    <w:pPr>
                      <w:rPr>
                        <w:rFonts w:ascii="Times New Roman" w:hAnsi="Times New Roman" w:cs="Times New Roman"/>
                        <w:szCs w:val="21"/>
                      </w:rPr>
                    </w:pPr>
                    <w:r>
                      <w:rPr>
                        <w:rFonts w:ascii="Times New Roman" w:cs="Times New Roman"/>
                      </w:rPr>
                      <w:t>广西两面针亿康药业股份有限公司</w:t>
                    </w:r>
                  </w:p>
                </w:tc>
                <w:tc>
                  <w:tcPr>
                    <w:tcW w:w="711" w:type="pct"/>
                    <w:vAlign w:val="center"/>
                  </w:tcPr>
                  <w:p>
                    <w:pPr>
                      <w:jc w:val="both"/>
                      <w:rPr>
                        <w:rFonts w:ascii="Times New Roman" w:hAnsi="Times New Roman" w:cs="Times New Roman"/>
                        <w:szCs w:val="21"/>
                      </w:rPr>
                    </w:pPr>
                    <w:r>
                      <w:rPr>
                        <w:rFonts w:ascii="Times New Roman" w:cs="Times New Roman"/>
                      </w:rPr>
                      <w:t>广西柳州市</w:t>
                    </w:r>
                  </w:p>
                </w:tc>
                <w:tc>
                  <w:tcPr>
                    <w:tcW w:w="702" w:type="pct"/>
                    <w:vAlign w:val="center"/>
                  </w:tcPr>
                  <w:p>
                    <w:pPr>
                      <w:jc w:val="both"/>
                      <w:rPr>
                        <w:rFonts w:ascii="Times New Roman" w:hAnsi="Times New Roman" w:cs="Times New Roman"/>
                        <w:szCs w:val="21"/>
                      </w:rPr>
                    </w:pPr>
                    <w:r>
                      <w:rPr>
                        <w:rFonts w:ascii="Times New Roman" w:cs="Times New Roman"/>
                      </w:rPr>
                      <w:t>广西柳州市</w:t>
                    </w:r>
                  </w:p>
                </w:tc>
                <w:tc>
                  <w:tcPr>
                    <w:tcW w:w="718" w:type="pct"/>
                    <w:vAlign w:val="center"/>
                  </w:tcPr>
                  <w:p>
                    <w:pPr>
                      <w:jc w:val="center"/>
                      <w:rPr>
                        <w:rFonts w:ascii="Times New Roman" w:hAnsi="Times New Roman" w:cs="Times New Roman"/>
                        <w:szCs w:val="21"/>
                      </w:rPr>
                    </w:pPr>
                    <w:r>
                      <w:rPr>
                        <w:rFonts w:ascii="Times New Roman" w:cs="Times New Roman"/>
                      </w:rPr>
                      <w:t>制造业</w:t>
                    </w:r>
                  </w:p>
                </w:tc>
                <w:tc>
                  <w:tcPr>
                    <w:tcW w:w="710" w:type="pct"/>
                    <w:vAlign w:val="center"/>
                  </w:tcPr>
                  <w:p>
                    <w:pPr>
                      <w:jc w:val="center"/>
                      <w:rPr>
                        <w:rFonts w:ascii="Times New Roman" w:hAnsi="Times New Roman" w:cs="Times New Roman"/>
                        <w:szCs w:val="21"/>
                      </w:rPr>
                    </w:pPr>
                    <w:r>
                      <w:rPr>
                        <w:rFonts w:ascii="Times New Roman" w:hAnsi="Times New Roman" w:cs="Times New Roman"/>
                      </w:rPr>
                      <w:t>90.10</w:t>
                    </w:r>
                  </w:p>
                </w:tc>
                <w:tc>
                  <w:tcPr>
                    <w:tcW w:w="710" w:type="pct"/>
                    <w:vAlign w:val="center"/>
                  </w:tcPr>
                  <w:p>
                    <w:pPr>
                      <w:jc w:val="center"/>
                      <w:rPr>
                        <w:rFonts w:ascii="Times New Roman" w:hAnsi="Times New Roman" w:cs="Times New Roman"/>
                        <w:szCs w:val="21"/>
                      </w:rPr>
                    </w:pPr>
                  </w:p>
                </w:tc>
                <w:tc>
                  <w:tcPr>
                    <w:tcW w:w="782" w:type="pct"/>
                    <w:vAlign w:val="center"/>
                  </w:tcPr>
                  <w:p>
                    <w:pPr>
                      <w:jc w:val="both"/>
                      <w:rPr>
                        <w:rFonts w:ascii="Times New Roman" w:hAnsi="Times New Roman" w:cs="Times New Roman"/>
                        <w:szCs w:val="21"/>
                      </w:rPr>
                    </w:pPr>
                    <w:r>
                      <w:rPr>
                        <w:rFonts w:ascii="Times New Roman" w:cs="Times New Roman"/>
                      </w:rPr>
                      <w:t>收购合并</w:t>
                    </w:r>
                  </w:p>
                </w:tc>
              </w:tr>
            </w:sdtContent>
          </w:sdt>
          <w:sdt>
            <w:sdtPr>
              <w:rPr>
                <w:rFonts w:ascii="Times New Roman" w:hAnsi="Times New Roman" w:cs="Times New Roman"/>
                <w:szCs w:val="21"/>
              </w:rPr>
              <w:alias w:val="企业合并及合并财务报表明细"/>
              <w:tag w:val="_GBC_986bfe326d834fea9d2920637e286f21"/>
              <w:id w:val="86572664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tcPr>
                  <w:p>
                    <w:pPr>
                      <w:rPr>
                        <w:rFonts w:ascii="Times New Roman" w:hAnsi="Times New Roman" w:cs="Times New Roman"/>
                        <w:szCs w:val="21"/>
                      </w:rPr>
                    </w:pPr>
                    <w:r>
                      <w:rPr>
                        <w:rFonts w:ascii="Times New Roman" w:cs="Times New Roman"/>
                      </w:rPr>
                      <w:t>安徽两面针</w:t>
                    </w:r>
                    <w:r>
                      <w:rPr>
                        <w:rFonts w:ascii="Times New Roman" w:hAnsi="Times New Roman" w:cs="Times New Roman"/>
                      </w:rPr>
                      <w:t>•</w:t>
                    </w:r>
                    <w:r>
                      <w:rPr>
                        <w:rFonts w:ascii="Times New Roman" w:cs="Times New Roman"/>
                      </w:rPr>
                      <w:t>芳草日化有限公司</w:t>
                    </w:r>
                  </w:p>
                </w:tc>
                <w:tc>
                  <w:tcPr>
                    <w:tcW w:w="711" w:type="pct"/>
                    <w:vAlign w:val="center"/>
                  </w:tcPr>
                  <w:p>
                    <w:pPr>
                      <w:jc w:val="both"/>
                      <w:rPr>
                        <w:rFonts w:ascii="Times New Roman" w:hAnsi="Times New Roman" w:cs="Times New Roman"/>
                        <w:szCs w:val="21"/>
                      </w:rPr>
                    </w:pPr>
                    <w:r>
                      <w:rPr>
                        <w:rFonts w:ascii="Times New Roman" w:cs="Times New Roman"/>
                      </w:rPr>
                      <w:t>安徽合肥市</w:t>
                    </w:r>
                  </w:p>
                </w:tc>
                <w:tc>
                  <w:tcPr>
                    <w:tcW w:w="702" w:type="pct"/>
                    <w:vAlign w:val="center"/>
                  </w:tcPr>
                  <w:p>
                    <w:pPr>
                      <w:jc w:val="both"/>
                      <w:rPr>
                        <w:rFonts w:ascii="Times New Roman" w:hAnsi="Times New Roman" w:cs="Times New Roman"/>
                        <w:szCs w:val="21"/>
                      </w:rPr>
                    </w:pPr>
                    <w:r>
                      <w:rPr>
                        <w:rFonts w:ascii="Times New Roman" w:cs="Times New Roman"/>
                      </w:rPr>
                      <w:t>安徽合肥市</w:t>
                    </w:r>
                  </w:p>
                </w:tc>
                <w:tc>
                  <w:tcPr>
                    <w:tcW w:w="718" w:type="pct"/>
                    <w:vAlign w:val="center"/>
                  </w:tcPr>
                  <w:p>
                    <w:pPr>
                      <w:jc w:val="center"/>
                      <w:rPr>
                        <w:rFonts w:ascii="Times New Roman" w:hAnsi="Times New Roman" w:cs="Times New Roman"/>
                        <w:szCs w:val="21"/>
                      </w:rPr>
                    </w:pPr>
                    <w:r>
                      <w:rPr>
                        <w:rFonts w:ascii="Times New Roman" w:cs="Times New Roman"/>
                      </w:rPr>
                      <w:t>制造业</w:t>
                    </w:r>
                  </w:p>
                </w:tc>
                <w:tc>
                  <w:tcPr>
                    <w:tcW w:w="710" w:type="pct"/>
                    <w:vAlign w:val="center"/>
                  </w:tcPr>
                  <w:p>
                    <w:pPr>
                      <w:jc w:val="center"/>
                      <w:rPr>
                        <w:rFonts w:ascii="Times New Roman" w:hAnsi="Times New Roman" w:cs="Times New Roman"/>
                        <w:szCs w:val="21"/>
                      </w:rPr>
                    </w:pPr>
                    <w:r>
                      <w:rPr>
                        <w:rFonts w:ascii="Times New Roman" w:hAnsi="Times New Roman" w:cs="Times New Roman"/>
                      </w:rPr>
                      <w:t>70</w:t>
                    </w:r>
                  </w:p>
                </w:tc>
                <w:tc>
                  <w:tcPr>
                    <w:tcW w:w="710" w:type="pct"/>
                    <w:vAlign w:val="center"/>
                  </w:tcPr>
                  <w:p>
                    <w:pPr>
                      <w:jc w:val="center"/>
                      <w:rPr>
                        <w:rFonts w:ascii="Times New Roman" w:hAnsi="Times New Roman" w:cs="Times New Roman"/>
                        <w:szCs w:val="21"/>
                      </w:rPr>
                    </w:pPr>
                    <w:r>
                      <w:rPr>
                        <w:rFonts w:hint="eastAsia" w:ascii="Times New Roman" w:hAnsi="Times New Roman" w:cs="Times New Roman"/>
                      </w:rPr>
                      <w:t>14.07</w:t>
                    </w:r>
                  </w:p>
                </w:tc>
                <w:tc>
                  <w:tcPr>
                    <w:tcW w:w="782" w:type="pct"/>
                    <w:vAlign w:val="center"/>
                  </w:tcPr>
                  <w:p>
                    <w:pPr>
                      <w:jc w:val="both"/>
                      <w:rPr>
                        <w:rFonts w:ascii="Times New Roman" w:hAnsi="Times New Roman" w:cs="Times New Roman"/>
                        <w:szCs w:val="21"/>
                      </w:rPr>
                    </w:pPr>
                    <w:r>
                      <w:rPr>
                        <w:rFonts w:ascii="Times New Roman" w:cs="Times New Roman"/>
                      </w:rPr>
                      <w:t>收购合并</w:t>
                    </w:r>
                  </w:p>
                </w:tc>
              </w:tr>
            </w:sdtContent>
          </w:sdt>
          <w:sdt>
            <w:sdtPr>
              <w:rPr>
                <w:rFonts w:ascii="Times New Roman" w:hAnsi="Times New Roman" w:cs="Times New Roman"/>
                <w:szCs w:val="21"/>
              </w:rPr>
              <w:alias w:val="企业合并及合并财务报表明细"/>
              <w:tag w:val="_GBC_986bfe326d834fea9d2920637e286f21"/>
              <w:id w:val="86572664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tcPr>
                  <w:p>
                    <w:pPr>
                      <w:rPr>
                        <w:rFonts w:ascii="Times New Roman" w:hAnsi="Times New Roman" w:cs="Times New Roman"/>
                        <w:szCs w:val="21"/>
                      </w:rPr>
                    </w:pPr>
                    <w:r>
                      <w:rPr>
                        <w:rFonts w:ascii="Times New Roman" w:cs="Times New Roman"/>
                      </w:rPr>
                      <w:t>两面针（江苏）实业有限公司</w:t>
                    </w:r>
                  </w:p>
                </w:tc>
                <w:tc>
                  <w:tcPr>
                    <w:tcW w:w="711" w:type="pct"/>
                    <w:vAlign w:val="center"/>
                  </w:tcPr>
                  <w:p>
                    <w:pPr>
                      <w:jc w:val="both"/>
                      <w:rPr>
                        <w:rFonts w:ascii="Times New Roman" w:hAnsi="Times New Roman" w:cs="Times New Roman"/>
                        <w:szCs w:val="21"/>
                      </w:rPr>
                    </w:pPr>
                    <w:r>
                      <w:rPr>
                        <w:rFonts w:ascii="Times New Roman" w:cs="Times New Roman"/>
                      </w:rPr>
                      <w:t>江苏扬州市</w:t>
                    </w:r>
                  </w:p>
                </w:tc>
                <w:tc>
                  <w:tcPr>
                    <w:tcW w:w="702" w:type="pct"/>
                    <w:vAlign w:val="center"/>
                  </w:tcPr>
                  <w:p>
                    <w:pPr>
                      <w:jc w:val="both"/>
                      <w:rPr>
                        <w:rFonts w:ascii="Times New Roman" w:hAnsi="Times New Roman" w:cs="Times New Roman"/>
                        <w:szCs w:val="21"/>
                      </w:rPr>
                    </w:pPr>
                    <w:r>
                      <w:rPr>
                        <w:rFonts w:ascii="Times New Roman" w:cs="Times New Roman"/>
                      </w:rPr>
                      <w:t>江苏扬州市</w:t>
                    </w:r>
                  </w:p>
                </w:tc>
                <w:tc>
                  <w:tcPr>
                    <w:tcW w:w="718" w:type="pct"/>
                    <w:vAlign w:val="center"/>
                  </w:tcPr>
                  <w:p>
                    <w:pPr>
                      <w:jc w:val="center"/>
                      <w:rPr>
                        <w:rFonts w:ascii="Times New Roman" w:hAnsi="Times New Roman" w:cs="Times New Roman"/>
                        <w:szCs w:val="21"/>
                      </w:rPr>
                    </w:pPr>
                    <w:r>
                      <w:rPr>
                        <w:rFonts w:ascii="Times New Roman" w:cs="Times New Roman"/>
                      </w:rPr>
                      <w:t>制造业</w:t>
                    </w:r>
                  </w:p>
                </w:tc>
                <w:tc>
                  <w:tcPr>
                    <w:tcW w:w="710" w:type="pct"/>
                    <w:vAlign w:val="center"/>
                  </w:tcPr>
                  <w:p>
                    <w:pPr>
                      <w:jc w:val="center"/>
                      <w:rPr>
                        <w:rFonts w:ascii="Times New Roman" w:hAnsi="Times New Roman" w:cs="Times New Roman"/>
                        <w:szCs w:val="21"/>
                      </w:rPr>
                    </w:pPr>
                    <w:r>
                      <w:rPr>
                        <w:rFonts w:ascii="Times New Roman" w:hAnsi="Times New Roman" w:cs="Times New Roman"/>
                      </w:rPr>
                      <w:t>93.80</w:t>
                    </w:r>
                  </w:p>
                </w:tc>
                <w:tc>
                  <w:tcPr>
                    <w:tcW w:w="710" w:type="pct"/>
                    <w:vAlign w:val="center"/>
                  </w:tcPr>
                  <w:p>
                    <w:pPr>
                      <w:jc w:val="center"/>
                      <w:rPr>
                        <w:rFonts w:ascii="Times New Roman" w:hAnsi="Times New Roman" w:cs="Times New Roman"/>
                        <w:szCs w:val="21"/>
                      </w:rPr>
                    </w:pPr>
                  </w:p>
                </w:tc>
                <w:tc>
                  <w:tcPr>
                    <w:tcW w:w="782" w:type="pct"/>
                    <w:vAlign w:val="center"/>
                  </w:tcPr>
                  <w:p>
                    <w:pPr>
                      <w:jc w:val="both"/>
                      <w:rPr>
                        <w:rFonts w:ascii="Times New Roman" w:hAnsi="Times New Roman" w:cs="Times New Roman"/>
                        <w:szCs w:val="21"/>
                      </w:rPr>
                    </w:pPr>
                    <w:r>
                      <w:rPr>
                        <w:rFonts w:ascii="Times New Roman" w:cs="Times New Roman"/>
                      </w:rPr>
                      <w:t>收购合并</w:t>
                    </w:r>
                  </w:p>
                </w:tc>
              </w:tr>
            </w:sdtContent>
          </w:sdt>
        </w:tbl>
        <w:p>
          <w:pPr>
            <w:rPr>
              <w:rFonts w:cs="Arial"/>
              <w:szCs w:val="21"/>
            </w:rPr>
          </w:pPr>
        </w:p>
        <w:p>
          <w:pPr>
            <w:rPr>
              <w:rFonts w:cs="Arial"/>
              <w:szCs w:val="21"/>
            </w:rPr>
          </w:pPr>
          <w:r>
            <w:rPr>
              <w:rFonts w:hint="eastAsia" w:cs="Arial"/>
              <w:szCs w:val="21"/>
            </w:rPr>
            <w:t>其他说明：</w:t>
          </w:r>
        </w:p>
        <w:sdt>
          <w:sdtPr>
            <w:rPr>
              <w:rFonts w:hAnsi="宋体" w:cs="Arial"/>
              <w:kern w:val="0"/>
              <w:szCs w:val="21"/>
            </w:rPr>
            <w:alias w:val="企业集团的构成的其他需要说明的事项"/>
            <w:tag w:val="_GBC_7dc3099f920f4546b2a983c0eb4c2ce0"/>
            <w:id w:val="865726652"/>
            <w:lock w:val="sdtLocked"/>
            <w:placeholder>
              <w:docPart w:val="GBC22222222222222222222222222222"/>
            </w:placeholder>
          </w:sdtPr>
          <w:sdtEndPr>
            <w:rPr>
              <w:rFonts w:hAnsi="宋体" w:cs="Arial"/>
              <w:kern w:val="0"/>
              <w:szCs w:val="21"/>
            </w:rPr>
          </w:sdtEndPr>
          <w:sdtContent>
            <w:p>
              <w:pPr>
                <w:pStyle w:val="20"/>
                <w:adjustRightInd w:val="0"/>
                <w:snapToGrid w:val="0"/>
                <w:spacing w:line="480" w:lineRule="exact"/>
                <w:ind w:firstLine="420" w:firstLineChars="200"/>
                <w:rPr>
                  <w:rFonts w:hAnsi="宋体"/>
                  <w:szCs w:val="21"/>
                </w:rPr>
              </w:pPr>
              <w:r>
                <w:rPr>
                  <w:rFonts w:ascii="Times New Roman" w:hAnsi="宋体"/>
                  <w:szCs w:val="21"/>
                </w:rPr>
                <w:t>本公司直接持有安徽两面针</w:t>
              </w:r>
              <w:r>
                <w:rPr>
                  <w:rFonts w:ascii="Times New Roman" w:hAnsi="Times New Roman"/>
                  <w:szCs w:val="21"/>
                </w:rPr>
                <w:t>·</w:t>
              </w:r>
              <w:r>
                <w:rPr>
                  <w:rFonts w:ascii="Times New Roman" w:hAnsi="宋体"/>
                  <w:szCs w:val="21"/>
                </w:rPr>
                <w:t>芳草日化有限公司</w:t>
              </w:r>
              <w:r>
                <w:rPr>
                  <w:rFonts w:ascii="Times New Roman" w:hAnsi="Times New Roman"/>
                  <w:szCs w:val="21"/>
                </w:rPr>
                <w:t>70%</w:t>
              </w:r>
              <w:r>
                <w:rPr>
                  <w:rFonts w:ascii="Times New Roman" w:hAnsi="宋体"/>
                  <w:szCs w:val="21"/>
                </w:rPr>
                <w:t>的股权，通过控股子公司两面针（江苏）实业有限公司间接持股</w:t>
              </w:r>
              <w:r>
                <w:rPr>
                  <w:rFonts w:ascii="Times New Roman" w:hAnsi="Times New Roman"/>
                  <w:szCs w:val="21"/>
                </w:rPr>
                <w:t>15%</w:t>
              </w:r>
              <w:r>
                <w:rPr>
                  <w:rFonts w:ascii="Times New Roman" w:hAnsi="宋体"/>
                  <w:szCs w:val="21"/>
                </w:rPr>
                <w:t>。</w:t>
              </w:r>
            </w:p>
            <w:p>
              <w:pPr>
                <w:rPr>
                  <w:rFonts w:cstheme="minorBidi"/>
                  <w:szCs w:val="21"/>
                </w:rPr>
              </w:pPr>
            </w:p>
          </w:sdtContent>
        </w:sdt>
      </w:sdtContent>
    </w:sdt>
    <w:p>
      <w:pPr>
        <w:rPr>
          <w:rFonts w:cs="Arial"/>
          <w:szCs w:val="21"/>
        </w:rPr>
      </w:pPr>
    </w:p>
    <w:sdt>
      <w:sdtPr>
        <w:rPr>
          <w:rFonts w:hint="eastAsia" w:ascii="宋体" w:hAnsi="宋体" w:eastAsia="宋体" w:cs="宋体"/>
          <w:b w:val="0"/>
          <w:bCs w:val="0"/>
          <w:kern w:val="0"/>
          <w:szCs w:val="24"/>
        </w:rPr>
        <w:alias w:val="模块:重要的非全资子公司"/>
        <w:tag w:val="_GBC_a2ec6e05ebd34d2fa14b1ba6b3ba8eb1"/>
        <w:id w:val="865726666"/>
        <w:lock w:val="sdtLocked"/>
        <w:placeholder>
          <w:docPart w:val="GBC22222222222222222222222222222"/>
        </w:placeholder>
      </w:sdtPr>
      <w:sdtEndPr>
        <w:rPr>
          <w:rFonts w:hint="default" w:ascii="宋体" w:hAnsi="宋体" w:eastAsia="宋体" w:cs="Arial"/>
          <w:b w:val="0"/>
          <w:bCs w:val="0"/>
          <w:kern w:val="0"/>
          <w:szCs w:val="21"/>
        </w:rPr>
      </w:sdtEndPr>
      <w:sdtContent>
        <w:p>
          <w:pPr>
            <w:pStyle w:val="5"/>
            <w:numPr>
              <w:ilvl w:val="3"/>
              <w:numId w:val="118"/>
            </w:numPr>
            <w:ind w:left="424" w:hanging="424" w:hangingChars="202"/>
          </w:pPr>
          <w:r>
            <w:rPr>
              <w:rFonts w:hint="eastAsia"/>
            </w:rPr>
            <w:t>重要的非全资子公司</w:t>
          </w:r>
        </w:p>
        <w:sdt>
          <w:sdtPr>
            <w:alias w:val="是否适用：重要的非全资子公司[双击切换]"/>
            <w:tag w:val="_GBC_51a84bfe201248b8bd5edb53b6cd6283"/>
            <w:id w:val="86572665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非全资子公司"/>
              <w:tag w:val="_GBC_e5936e9952394755bacf71d437afcd44"/>
              <w:id w:val="8657266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8657266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814"/>
            <w:gridCol w:w="1937"/>
            <w:gridCol w:w="1943"/>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ascii="Times New Roman" w:hAnsi="Times New Roman" w:cs="Times New Roman"/>
                </w:rPr>
                <w:tag w:val="_PLD_5428bb469efb45b09d2152fb27b33f8a"/>
                <w:id w:val="865726657"/>
                <w:lock w:val="sdtLocked"/>
              </w:sdtPr>
              <w:sdtEndPr>
                <w:rPr>
                  <w:rFonts w:ascii="Times New Roman" w:hAnsi="Times New Roman" w:cs="Times New Roman"/>
                </w:rPr>
              </w:sdtEndPr>
              <w:sdtContent>
                <w:tc>
                  <w:tcPr>
                    <w:tcW w:w="890" w:type="pct"/>
                    <w:shd w:val="clear" w:color="auto" w:fill="auto"/>
                    <w:vAlign w:val="center"/>
                  </w:tcPr>
                  <w:p>
                    <w:pPr>
                      <w:jc w:val="center"/>
                      <w:rPr>
                        <w:rFonts w:ascii="Times New Roman" w:hAnsi="Times New Roman" w:cs="Times New Roman"/>
                        <w:szCs w:val="21"/>
                      </w:rPr>
                    </w:pPr>
                    <w:r>
                      <w:rPr>
                        <w:rFonts w:ascii="Times New Roman" w:cs="Times New Roman"/>
                        <w:szCs w:val="21"/>
                        <w:lang w:val="en-GB"/>
                      </w:rPr>
                      <w:t>子公司名称</w:t>
                    </w:r>
                  </w:p>
                </w:tc>
              </w:sdtContent>
            </w:sdt>
            <w:sdt>
              <w:sdtPr>
                <w:rPr>
                  <w:rFonts w:ascii="Times New Roman" w:hAnsi="Times New Roman" w:cs="Times New Roman"/>
                </w:rPr>
                <w:tag w:val="_PLD_6f42810edcef4f808238b34484325c1a"/>
                <w:id w:val="865726658"/>
                <w:lock w:val="sdtLocked"/>
              </w:sdtPr>
              <w:sdtEndPr>
                <w:rPr>
                  <w:rFonts w:ascii="Times New Roman" w:hAnsi="Times New Roman" w:cs="Times New Roman"/>
                </w:rPr>
              </w:sdtEndPr>
              <w:sdtContent>
                <w:tc>
                  <w:tcPr>
                    <w:tcW w:w="1002" w:type="pct"/>
                    <w:shd w:val="clear" w:color="auto" w:fill="auto"/>
                    <w:vAlign w:val="center"/>
                  </w:tcPr>
                  <w:p>
                    <w:pPr>
                      <w:jc w:val="center"/>
                      <w:rPr>
                        <w:rFonts w:ascii="Times New Roman" w:hAnsi="Times New Roman" w:cs="Times New Roman"/>
                        <w:bCs/>
                        <w:szCs w:val="21"/>
                        <w:lang w:val="en-GB"/>
                      </w:rPr>
                    </w:pPr>
                    <w:r>
                      <w:rPr>
                        <w:rFonts w:ascii="Times New Roman" w:cs="Times New Roman"/>
                        <w:bCs/>
                        <w:szCs w:val="21"/>
                        <w:lang w:val="en-GB"/>
                      </w:rPr>
                      <w:t>少数股东持股</w:t>
                    </w:r>
                  </w:p>
                  <w:p>
                    <w:pPr>
                      <w:jc w:val="center"/>
                      <w:rPr>
                        <w:rFonts w:ascii="Times New Roman" w:hAnsi="Times New Roman" w:cs="Times New Roman"/>
                        <w:szCs w:val="21"/>
                      </w:rPr>
                    </w:pPr>
                    <w:r>
                      <w:rPr>
                        <w:rFonts w:ascii="Times New Roman" w:cs="Times New Roman"/>
                        <w:bCs/>
                        <w:szCs w:val="21"/>
                        <w:lang w:val="en-GB"/>
                      </w:rPr>
                      <w:t>比例</w:t>
                    </w:r>
                  </w:p>
                </w:tc>
              </w:sdtContent>
            </w:sdt>
            <w:sdt>
              <w:sdtPr>
                <w:rPr>
                  <w:rFonts w:ascii="Times New Roman" w:hAnsi="Times New Roman" w:cs="Times New Roman"/>
                </w:rPr>
                <w:tag w:val="_PLD_5fe25832d2ec4782a2b0dd4183a7a18d"/>
                <w:id w:val="865726659"/>
                <w:lock w:val="sdtLocked"/>
              </w:sdtPr>
              <w:sdtEndPr>
                <w:rPr>
                  <w:rFonts w:ascii="Times New Roman" w:hAnsi="Times New Roman" w:cs="Times New Roman"/>
                </w:rPr>
              </w:sdtEndPr>
              <w:sdtContent>
                <w:tc>
                  <w:tcPr>
                    <w:tcW w:w="1070" w:type="pct"/>
                    <w:shd w:val="clear" w:color="auto" w:fill="auto"/>
                    <w:vAlign w:val="center"/>
                  </w:tcPr>
                  <w:p>
                    <w:pPr>
                      <w:jc w:val="center"/>
                      <w:rPr>
                        <w:rFonts w:ascii="Times New Roman" w:hAnsi="Times New Roman" w:cs="Times New Roman"/>
                        <w:szCs w:val="21"/>
                      </w:rPr>
                    </w:pPr>
                    <w:r>
                      <w:rPr>
                        <w:rFonts w:ascii="Times New Roman" w:cs="Times New Roman"/>
                        <w:bCs/>
                        <w:szCs w:val="21"/>
                        <w:lang w:val="en-GB"/>
                      </w:rPr>
                      <w:t>本期归属于少数股东的损益</w:t>
                    </w:r>
                  </w:p>
                </w:tc>
              </w:sdtContent>
            </w:sdt>
            <w:sdt>
              <w:sdtPr>
                <w:rPr>
                  <w:rFonts w:ascii="Times New Roman" w:hAnsi="Times New Roman" w:cs="Times New Roman"/>
                </w:rPr>
                <w:tag w:val="_PLD_2a49e43dba264aa2a5a6a65baca97c74"/>
                <w:id w:val="865726660"/>
                <w:lock w:val="sdtLocked"/>
              </w:sdtPr>
              <w:sdtEndPr>
                <w:rPr>
                  <w:rFonts w:ascii="Times New Roman" w:hAnsi="Times New Roman" w:cs="Times New Roman"/>
                </w:rPr>
              </w:sdtEndPr>
              <w:sdtContent>
                <w:tc>
                  <w:tcPr>
                    <w:tcW w:w="1073" w:type="pct"/>
                    <w:shd w:val="clear" w:color="auto" w:fill="auto"/>
                    <w:vAlign w:val="center"/>
                  </w:tcPr>
                  <w:p>
                    <w:pPr>
                      <w:jc w:val="center"/>
                      <w:rPr>
                        <w:rFonts w:ascii="Times New Roman" w:hAnsi="Times New Roman" w:cs="Times New Roman"/>
                        <w:szCs w:val="21"/>
                      </w:rPr>
                    </w:pPr>
                    <w:r>
                      <w:rPr>
                        <w:rFonts w:ascii="Times New Roman" w:cs="Times New Roman"/>
                        <w:bCs/>
                        <w:szCs w:val="21"/>
                        <w:lang w:val="en-GB"/>
                      </w:rPr>
                      <w:t>本期向少数股东宣告分派的股利</w:t>
                    </w:r>
                  </w:p>
                </w:tc>
              </w:sdtContent>
            </w:sdt>
            <w:sdt>
              <w:sdtPr>
                <w:rPr>
                  <w:rFonts w:ascii="Times New Roman" w:hAnsi="Times New Roman" w:cs="Times New Roman"/>
                </w:rPr>
                <w:tag w:val="_PLD_fb758b5ac95741fa930b476448e32371"/>
                <w:id w:val="865726661"/>
                <w:lock w:val="sdtLocked"/>
              </w:sdtPr>
              <w:sdtEndPr>
                <w:rPr>
                  <w:rFonts w:ascii="Times New Roman" w:hAnsi="Times New Roman" w:cs="Times New Roman"/>
                </w:rPr>
              </w:sdtEndPr>
              <w:sdtContent>
                <w:tc>
                  <w:tcPr>
                    <w:tcW w:w="963" w:type="pct"/>
                    <w:shd w:val="clear" w:color="auto" w:fill="auto"/>
                    <w:vAlign w:val="center"/>
                  </w:tcPr>
                  <w:p>
                    <w:pPr>
                      <w:ind w:right="-16"/>
                      <w:jc w:val="center"/>
                      <w:rPr>
                        <w:rFonts w:ascii="Times New Roman" w:hAnsi="Times New Roman" w:cs="Times New Roman"/>
                        <w:bCs/>
                        <w:szCs w:val="21"/>
                      </w:rPr>
                    </w:pPr>
                    <w:r>
                      <w:rPr>
                        <w:rFonts w:ascii="Times New Roman" w:cs="Times New Roman"/>
                        <w:bCs/>
                        <w:szCs w:val="21"/>
                        <w:lang w:val="en-GB"/>
                      </w:rPr>
                      <w:t>期末少数股东权益余额</w:t>
                    </w:r>
                  </w:p>
                </w:tc>
              </w:sdtContent>
            </w:sdt>
          </w:tr>
          <w:sdt>
            <w:sdtPr>
              <w:rPr>
                <w:rFonts w:ascii="Times New Roman" w:hAnsi="Times New Roman" w:cs="Times New Roman"/>
                <w:szCs w:val="21"/>
              </w:rPr>
              <w:alias w:val="重要的非全资子公司明细"/>
              <w:tag w:val="_GBC_786318b12f804986888adc0492796ebd"/>
              <w:id w:val="86572666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pPr>
                      <w:rPr>
                        <w:rFonts w:ascii="Times New Roman" w:hAnsi="Times New Roman" w:cs="Times New Roman"/>
                        <w:szCs w:val="21"/>
                      </w:rPr>
                    </w:pPr>
                    <w:r>
                      <w:rPr>
                        <w:rFonts w:ascii="Times New Roman" w:cs="Times New Roman"/>
                      </w:rPr>
                      <w:t>广西两面针亿康药业股份有限公司</w:t>
                    </w:r>
                  </w:p>
                </w:tc>
                <w:tc>
                  <w:tcPr>
                    <w:tcW w:w="1002" w:type="pct"/>
                    <w:vAlign w:val="center"/>
                  </w:tcPr>
                  <w:p>
                    <w:pPr>
                      <w:jc w:val="right"/>
                      <w:rPr>
                        <w:rFonts w:ascii="Times New Roman" w:hAnsi="Times New Roman" w:cs="Times New Roman"/>
                        <w:szCs w:val="21"/>
                      </w:rPr>
                    </w:pPr>
                    <w:r>
                      <w:rPr>
                        <w:rFonts w:ascii="Times New Roman" w:hAnsi="Times New Roman" w:cs="Times New Roman"/>
                      </w:rPr>
                      <w:t>9.90</w:t>
                    </w:r>
                  </w:p>
                </w:tc>
                <w:tc>
                  <w:tcPr>
                    <w:tcW w:w="1070" w:type="pct"/>
                    <w:vAlign w:val="center"/>
                  </w:tcPr>
                  <w:p>
                    <w:pPr>
                      <w:jc w:val="right"/>
                      <w:rPr>
                        <w:rFonts w:ascii="Times New Roman" w:hAnsi="Times New Roman" w:cs="Times New Roman"/>
                        <w:szCs w:val="21"/>
                      </w:rPr>
                    </w:pPr>
                    <w:r>
                      <w:rPr>
                        <w:rFonts w:ascii="Times New Roman" w:hAnsi="Times New Roman" w:cs="Times New Roman"/>
                      </w:rPr>
                      <w:t>-144,669.41</w:t>
                    </w:r>
                  </w:p>
                </w:tc>
                <w:tc>
                  <w:tcPr>
                    <w:tcW w:w="1073" w:type="pct"/>
                    <w:vAlign w:val="center"/>
                  </w:tcPr>
                  <w:p>
                    <w:pPr>
                      <w:jc w:val="right"/>
                      <w:rPr>
                        <w:rFonts w:ascii="Times New Roman" w:hAnsi="Times New Roman" w:cs="Times New Roman"/>
                        <w:szCs w:val="21"/>
                      </w:rPr>
                    </w:pPr>
                  </w:p>
                </w:tc>
                <w:tc>
                  <w:tcPr>
                    <w:tcW w:w="963" w:type="pct"/>
                    <w:vAlign w:val="center"/>
                  </w:tcPr>
                  <w:p>
                    <w:pPr>
                      <w:jc w:val="right"/>
                      <w:rPr>
                        <w:rFonts w:ascii="Times New Roman" w:hAnsi="Times New Roman" w:cs="Times New Roman"/>
                        <w:szCs w:val="21"/>
                      </w:rPr>
                    </w:pPr>
                    <w:r>
                      <w:rPr>
                        <w:rFonts w:ascii="Times New Roman" w:hAnsi="Times New Roman" w:cs="Times New Roman"/>
                      </w:rPr>
                      <w:t>8,377,144.00</w:t>
                    </w:r>
                  </w:p>
                </w:tc>
              </w:tr>
            </w:sdtContent>
          </w:sdt>
          <w:sdt>
            <w:sdtPr>
              <w:rPr>
                <w:rFonts w:ascii="Times New Roman" w:hAnsi="Times New Roman" w:cs="Times New Roman"/>
                <w:szCs w:val="21"/>
              </w:rPr>
              <w:alias w:val="重要的非全资子公司明细"/>
              <w:tag w:val="_GBC_786318b12f804986888adc0492796ebd"/>
              <w:id w:val="86572666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pPr>
                      <w:rPr>
                        <w:rFonts w:ascii="Times New Roman" w:hAnsi="Times New Roman" w:cs="Times New Roman"/>
                        <w:szCs w:val="21"/>
                      </w:rPr>
                    </w:pPr>
                    <w:r>
                      <w:rPr>
                        <w:rFonts w:ascii="Times New Roman" w:cs="Times New Roman"/>
                      </w:rPr>
                      <w:t>两面针（江苏）实业有限公司</w:t>
                    </w:r>
                  </w:p>
                </w:tc>
                <w:tc>
                  <w:tcPr>
                    <w:tcW w:w="1002" w:type="pct"/>
                    <w:vAlign w:val="center"/>
                  </w:tcPr>
                  <w:p>
                    <w:pPr>
                      <w:jc w:val="right"/>
                      <w:rPr>
                        <w:rFonts w:ascii="Times New Roman" w:hAnsi="Times New Roman" w:cs="Times New Roman"/>
                        <w:szCs w:val="21"/>
                      </w:rPr>
                    </w:pPr>
                    <w:r>
                      <w:rPr>
                        <w:rFonts w:ascii="Times New Roman" w:hAnsi="Times New Roman" w:cs="Times New Roman"/>
                      </w:rPr>
                      <w:t>6.20</w:t>
                    </w:r>
                  </w:p>
                </w:tc>
                <w:tc>
                  <w:tcPr>
                    <w:tcW w:w="1070" w:type="pct"/>
                    <w:vAlign w:val="center"/>
                  </w:tcPr>
                  <w:p>
                    <w:pPr>
                      <w:jc w:val="right"/>
                      <w:rPr>
                        <w:rFonts w:ascii="Times New Roman" w:hAnsi="Times New Roman" w:cs="Times New Roman"/>
                        <w:szCs w:val="21"/>
                      </w:rPr>
                    </w:pPr>
                    <w:r>
                      <w:rPr>
                        <w:rFonts w:ascii="Times New Roman" w:hAnsi="Times New Roman" w:cs="Times New Roman"/>
                      </w:rPr>
                      <w:t>722,437.19</w:t>
                    </w:r>
                  </w:p>
                </w:tc>
                <w:tc>
                  <w:tcPr>
                    <w:tcW w:w="1073" w:type="pct"/>
                    <w:vAlign w:val="center"/>
                  </w:tcPr>
                  <w:p>
                    <w:pPr>
                      <w:jc w:val="right"/>
                      <w:rPr>
                        <w:rFonts w:ascii="Times New Roman" w:hAnsi="Times New Roman" w:cs="Times New Roman"/>
                        <w:szCs w:val="21"/>
                      </w:rPr>
                    </w:pPr>
                  </w:p>
                </w:tc>
                <w:tc>
                  <w:tcPr>
                    <w:tcW w:w="963" w:type="pct"/>
                    <w:vAlign w:val="center"/>
                  </w:tcPr>
                  <w:p>
                    <w:pPr>
                      <w:jc w:val="right"/>
                      <w:rPr>
                        <w:rFonts w:ascii="Times New Roman" w:hAnsi="Times New Roman" w:cs="Times New Roman"/>
                        <w:szCs w:val="21"/>
                      </w:rPr>
                    </w:pPr>
                    <w:r>
                      <w:rPr>
                        <w:rFonts w:ascii="Times New Roman" w:hAnsi="Times New Roman" w:cs="Times New Roman"/>
                      </w:rPr>
                      <w:t>12,632,948.63</w:t>
                    </w:r>
                  </w:p>
                </w:tc>
              </w:tr>
            </w:sdtContent>
          </w:sdt>
        </w:tbl>
        <w:p/>
        <w:p>
          <w:pPr>
            <w:rPr>
              <w:rFonts w:cs="Arial"/>
              <w:szCs w:val="21"/>
            </w:rPr>
          </w:pPr>
          <w:r>
            <w:rPr>
              <w:rFonts w:hint="eastAsia" w:cs="Arial"/>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865726664"/>
            <w:lock w:val="sdtLocked"/>
            <w:placeholder>
              <w:docPart w:val="GBC22222222222222222222222222222"/>
            </w:placeholder>
          </w:sdtPr>
          <w:sdtEndPr>
            <w:rPr>
              <w:rFonts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p>
          <w:pPr>
            <w:rPr>
              <w:rFonts w:cs="Arial"/>
              <w:szCs w:val="21"/>
            </w:rPr>
          </w:pPr>
          <w:r>
            <w:rPr>
              <w:rFonts w:hint="eastAsia" w:cs="Arial"/>
              <w:szCs w:val="21"/>
            </w:rPr>
            <w:t>其他说明：</w:t>
          </w:r>
        </w:p>
        <w:sdt>
          <w:sdtPr>
            <w:rPr>
              <w:rFonts w:cs="Arial"/>
              <w:szCs w:val="21"/>
            </w:rPr>
            <w:alias w:val="是否适用：重要的非全资子公司其他说明[双击切换]"/>
            <w:tag w:val="_GBC_eb65403cb5164cc9a0cf4afea08b150d"/>
            <w:id w:val="865726665"/>
            <w:lock w:val="sdtLocked"/>
            <w:placeholder>
              <w:docPart w:val="GBC22222222222222222222222222222"/>
            </w:placeholder>
          </w:sdtPr>
          <w:sdtEndPr>
            <w:rPr>
              <w:rFonts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pPr>
        <w:rPr>
          <w:rFonts w:cs="Arial"/>
          <w:szCs w:val="21"/>
        </w:rPr>
        <w:sectPr>
          <w:pgSz w:w="11906" w:h="16838"/>
          <w:pgMar w:top="1440" w:right="1797" w:bottom="1525" w:left="1276" w:header="856" w:footer="992" w:gutter="0"/>
          <w:cols w:space="425" w:num="1"/>
          <w:docGrid w:linePitch="312" w:charSpace="0"/>
        </w:sectPr>
      </w:pPr>
    </w:p>
    <w:p>
      <w:pPr>
        <w:rPr>
          <w:rFonts w:cs="Arial"/>
          <w:szCs w:val="21"/>
        </w:rPr>
      </w:pPr>
    </w:p>
    <w:sdt>
      <w:sdtPr>
        <w:rPr>
          <w:rFonts w:hint="eastAsia" w:ascii="宋体" w:hAnsi="宋体" w:eastAsia="宋体" w:cs="宋体"/>
          <w:b w:val="0"/>
          <w:bCs w:val="0"/>
          <w:kern w:val="0"/>
          <w:szCs w:val="24"/>
        </w:rPr>
        <w:alias w:val="模块:重要非全资子公司的主要财务信息"/>
        <w:tag w:val="_GBC_501222dd8f884fabbdeaec6fe7e79709"/>
        <w:id w:val="865726701"/>
        <w:lock w:val="sdtLocked"/>
        <w:placeholder>
          <w:docPart w:val="GBC22222222222222222222222222222"/>
        </w:placeholder>
      </w:sdtPr>
      <w:sdtEndPr>
        <w:rPr>
          <w:rFonts w:hint="default" w:ascii="宋体" w:hAnsi="宋体" w:eastAsia="宋体" w:cs="Arial"/>
          <w:b w:val="0"/>
          <w:bCs w:val="0"/>
          <w:kern w:val="0"/>
          <w:szCs w:val="21"/>
        </w:rPr>
      </w:sdtEndPr>
      <w:sdtContent>
        <w:p>
          <w:pPr>
            <w:pStyle w:val="5"/>
            <w:numPr>
              <w:ilvl w:val="3"/>
              <w:numId w:val="118"/>
            </w:numPr>
            <w:ind w:left="424" w:hanging="424" w:hangingChars="202"/>
          </w:pPr>
          <w:r>
            <w:rPr>
              <w:rFonts w:hint="eastAsia"/>
            </w:rPr>
            <w:t>重要非全资子公司的主要财务信息</w:t>
          </w:r>
        </w:p>
        <w:sdt>
          <w:sdtPr>
            <w:alias w:val="是否适用：重要非全资子公司的主要财务信息[双击切换]"/>
            <w:tag w:val="_GBC_04ab753eff3c46fda94161ee757bd1fa"/>
            <w:id w:val="86572666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非全资子公司的主要财务信息"/>
              <w:tag w:val="_GBC_ba918360b15748859fb63cacad1f617d"/>
              <w:id w:val="8657266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865726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45"/>
            <w:gridCol w:w="1019"/>
            <w:gridCol w:w="1411"/>
            <w:gridCol w:w="1112"/>
            <w:gridCol w:w="974"/>
            <w:gridCol w:w="1126"/>
            <w:gridCol w:w="1112"/>
            <w:gridCol w:w="1100"/>
            <w:gridCol w:w="1126"/>
            <w:gridCol w:w="1123"/>
            <w:gridCol w:w="1235"/>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ascii="Times New Roman" w:hAnsi="Times New Roman" w:cs="Times New Roman"/>
                  <w:sz w:val="18"/>
                  <w:szCs w:val="18"/>
                </w:rPr>
                <w:tag w:val="_PLD_d5dae06c1d0c4fdea02e2f6e645a1e09"/>
                <w:id w:val="865726670"/>
                <w:lock w:val="sdtLocked"/>
              </w:sdtPr>
              <w:sdtEndPr>
                <w:rPr>
                  <w:rFonts w:ascii="Times New Roman" w:hAnsi="Times New Roman" w:cs="Times New Roman"/>
                  <w:sz w:val="18"/>
                  <w:szCs w:val="18"/>
                </w:rPr>
              </w:sdtEndPr>
              <w:sdtContent>
                <w:tc>
                  <w:tcPr>
                    <w:tcW w:w="188" w:type="pct"/>
                    <w:vMerge w:val="restart"/>
                    <w:shd w:val="clear" w:color="auto" w:fill="auto"/>
                    <w:vAlign w:val="center"/>
                  </w:tcPr>
                  <w:p>
                    <w:pPr>
                      <w:ind w:right="-16"/>
                      <w:jc w:val="center"/>
                      <w:rPr>
                        <w:rFonts w:ascii="Times New Roman" w:hAnsi="Times New Roman" w:cs="Times New Roman"/>
                        <w:bCs/>
                        <w:sz w:val="18"/>
                        <w:szCs w:val="18"/>
                      </w:rPr>
                    </w:pPr>
                    <w:r>
                      <w:rPr>
                        <w:rFonts w:ascii="Times New Roman" w:cs="Times New Roman"/>
                        <w:bCs/>
                        <w:sz w:val="18"/>
                        <w:szCs w:val="18"/>
                        <w:lang w:val="en-GB"/>
                      </w:rPr>
                      <w:t>子公司名称</w:t>
                    </w:r>
                  </w:p>
                </w:tc>
              </w:sdtContent>
            </w:sdt>
            <w:sdt>
              <w:sdtPr>
                <w:rPr>
                  <w:rFonts w:ascii="Times New Roman" w:hAnsi="Times New Roman" w:cs="Times New Roman"/>
                  <w:sz w:val="18"/>
                  <w:szCs w:val="18"/>
                </w:rPr>
                <w:tag w:val="_PLD_6cc7af9079654f428ee1cf0edd2c70b1"/>
                <w:id w:val="865726671"/>
                <w:lock w:val="sdtLocked"/>
              </w:sdtPr>
              <w:sdtEndPr>
                <w:rPr>
                  <w:rFonts w:ascii="Times New Roman" w:hAnsi="Times New Roman" w:cs="Times New Roman"/>
                  <w:sz w:val="18"/>
                  <w:szCs w:val="18"/>
                </w:rPr>
              </w:sdtEndPr>
              <w:sdtContent>
                <w:tc>
                  <w:tcPr>
                    <w:tcW w:w="2423" w:type="pct"/>
                    <w:gridSpan w:val="6"/>
                    <w:shd w:val="clear" w:color="auto" w:fill="auto"/>
                    <w:vAlign w:val="center"/>
                  </w:tcPr>
                  <w:p>
                    <w:pPr>
                      <w:ind w:right="-16"/>
                      <w:jc w:val="center"/>
                      <w:rPr>
                        <w:rFonts w:ascii="Times New Roman" w:hAnsi="Times New Roman" w:cs="Times New Roman"/>
                        <w:bCs/>
                        <w:sz w:val="18"/>
                        <w:szCs w:val="18"/>
                      </w:rPr>
                    </w:pPr>
                    <w:r>
                      <w:rPr>
                        <w:rFonts w:ascii="Times New Roman" w:cs="Times New Roman"/>
                        <w:bCs/>
                        <w:sz w:val="18"/>
                        <w:szCs w:val="18"/>
                        <w:lang w:val="en-GB"/>
                      </w:rPr>
                      <w:t>期末余额</w:t>
                    </w:r>
                  </w:p>
                </w:tc>
              </w:sdtContent>
            </w:sdt>
            <w:sdt>
              <w:sdtPr>
                <w:rPr>
                  <w:rFonts w:ascii="Times New Roman" w:hAnsi="Times New Roman" w:cs="Times New Roman"/>
                  <w:sz w:val="18"/>
                  <w:szCs w:val="18"/>
                </w:rPr>
                <w:tag w:val="_PLD_64749f66f68948bd92fb0a885f835f78"/>
                <w:id w:val="865726672"/>
                <w:lock w:val="sdtLocked"/>
              </w:sdtPr>
              <w:sdtEndPr>
                <w:rPr>
                  <w:rFonts w:ascii="Times New Roman" w:hAnsi="Times New Roman" w:cs="Times New Roman"/>
                  <w:sz w:val="18"/>
                  <w:szCs w:val="18"/>
                </w:rPr>
              </w:sdtEndPr>
              <w:sdtContent>
                <w:tc>
                  <w:tcPr>
                    <w:tcW w:w="2389" w:type="pct"/>
                    <w:gridSpan w:val="6"/>
                    <w:shd w:val="clear" w:color="auto" w:fill="auto"/>
                    <w:vAlign w:val="center"/>
                  </w:tcPr>
                  <w:p>
                    <w:pPr>
                      <w:ind w:right="-16"/>
                      <w:jc w:val="center"/>
                      <w:rPr>
                        <w:rFonts w:ascii="Times New Roman" w:hAnsi="Times New Roman" w:cs="Times New Roman"/>
                        <w:bCs/>
                        <w:sz w:val="18"/>
                        <w:szCs w:val="18"/>
                      </w:rPr>
                    </w:pPr>
                    <w:r>
                      <w:rPr>
                        <w:rFonts w:ascii="Times New Roman" w:cs="Times New Roman"/>
                        <w:bCs/>
                        <w:sz w:val="18"/>
                        <w:szCs w:val="18"/>
                        <w:lang w:val="en-GB"/>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88" w:type="pct"/>
                <w:vMerge w:val="continue"/>
                <w:shd w:val="clear" w:color="auto" w:fill="auto"/>
                <w:vAlign w:val="center"/>
              </w:tcPr>
              <w:p>
                <w:pPr>
                  <w:rPr>
                    <w:rFonts w:ascii="Times New Roman" w:hAnsi="Times New Roman" w:cs="Times New Roman"/>
                    <w:bCs/>
                    <w:sz w:val="18"/>
                    <w:szCs w:val="18"/>
                  </w:rPr>
                </w:pPr>
              </w:p>
            </w:tc>
            <w:sdt>
              <w:sdtPr>
                <w:rPr>
                  <w:rFonts w:ascii="Times New Roman" w:hAnsi="Times New Roman" w:cs="Times New Roman"/>
                  <w:sz w:val="18"/>
                  <w:szCs w:val="18"/>
                </w:rPr>
                <w:tag w:val="_PLD_bfcbeed8b46d4b8da13c03613130a3c9"/>
                <w:id w:val="865726673"/>
                <w:lock w:val="sdtLocked"/>
              </w:sdtPr>
              <w:sdtEndPr>
                <w:rPr>
                  <w:rFonts w:ascii="Times New Roman" w:hAnsi="Times New Roman" w:cs="Times New Roman"/>
                  <w:sz w:val="18"/>
                  <w:szCs w:val="18"/>
                </w:rPr>
              </w:sdtEndPr>
              <w:sdtContent>
                <w:tc>
                  <w:tcPr>
                    <w:tcW w:w="409"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lang w:val="en-GB"/>
                      </w:rPr>
                      <w:t>流动资产</w:t>
                    </w:r>
                  </w:p>
                </w:tc>
              </w:sdtContent>
            </w:sdt>
            <w:sdt>
              <w:sdtPr>
                <w:rPr>
                  <w:rFonts w:ascii="Times New Roman" w:hAnsi="Times New Roman" w:cs="Times New Roman"/>
                  <w:sz w:val="18"/>
                  <w:szCs w:val="18"/>
                </w:rPr>
                <w:tag w:val="_PLD_22bcaa48c51f400d9b2d6a387002778f"/>
                <w:id w:val="865726674"/>
                <w:lock w:val="sdtLocked"/>
              </w:sdtPr>
              <w:sdtEndPr>
                <w:rPr>
                  <w:rFonts w:ascii="Times New Roman" w:hAnsi="Times New Roman" w:cs="Times New Roman"/>
                  <w:sz w:val="18"/>
                  <w:szCs w:val="18"/>
                </w:rPr>
              </w:sdtEndPr>
              <w:sdtContent>
                <w:tc>
                  <w:tcPr>
                    <w:tcW w:w="364" w:type="pct"/>
                    <w:shd w:val="clear" w:color="auto" w:fill="auto"/>
                    <w:vAlign w:val="center"/>
                  </w:tcPr>
                  <w:p>
                    <w:pPr>
                      <w:ind w:left="-40" w:right="-97"/>
                      <w:jc w:val="center"/>
                      <w:rPr>
                        <w:rFonts w:ascii="Times New Roman" w:hAnsi="Times New Roman" w:cs="Times New Roman"/>
                        <w:sz w:val="18"/>
                        <w:szCs w:val="18"/>
                      </w:rPr>
                    </w:pPr>
                    <w:r>
                      <w:rPr>
                        <w:rFonts w:ascii="Times New Roman" w:cs="Times New Roman"/>
                        <w:sz w:val="18"/>
                        <w:szCs w:val="18"/>
                        <w:lang w:val="en-GB"/>
                      </w:rPr>
                      <w:t>非流动资产</w:t>
                    </w:r>
                  </w:p>
                </w:tc>
              </w:sdtContent>
            </w:sdt>
            <w:sdt>
              <w:sdtPr>
                <w:rPr>
                  <w:rFonts w:ascii="Times New Roman" w:hAnsi="Times New Roman" w:cs="Times New Roman"/>
                  <w:sz w:val="18"/>
                  <w:szCs w:val="18"/>
                </w:rPr>
                <w:tag w:val="_PLD_a7790df686914e0f8cc8668009824e9e"/>
                <w:id w:val="865726675"/>
                <w:lock w:val="sdtLocked"/>
              </w:sdtPr>
              <w:sdtEndPr>
                <w:rPr>
                  <w:rFonts w:ascii="Times New Roman" w:hAnsi="Times New Roman" w:cs="Times New Roman"/>
                  <w:sz w:val="18"/>
                  <w:szCs w:val="18"/>
                </w:rPr>
              </w:sdtEndPr>
              <w:sdtContent>
                <w:tc>
                  <w:tcPr>
                    <w:tcW w:w="504"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lang w:val="en-GB"/>
                      </w:rPr>
                      <w:t>资产合计</w:t>
                    </w:r>
                  </w:p>
                </w:tc>
              </w:sdtContent>
            </w:sdt>
            <w:sdt>
              <w:sdtPr>
                <w:rPr>
                  <w:rFonts w:ascii="Times New Roman" w:hAnsi="Times New Roman" w:cs="Times New Roman"/>
                  <w:sz w:val="18"/>
                  <w:szCs w:val="18"/>
                </w:rPr>
                <w:tag w:val="_PLD_a6a87cbf1eb046db9bbca57bcceaf08a"/>
                <w:id w:val="865726676"/>
                <w:lock w:val="sdtLocked"/>
              </w:sdtPr>
              <w:sdtEndPr>
                <w:rPr>
                  <w:rFonts w:ascii="Times New Roman" w:hAnsi="Times New Roman" w:cs="Times New Roman"/>
                  <w:sz w:val="18"/>
                  <w:szCs w:val="18"/>
                </w:rPr>
              </w:sdtEndPr>
              <w:sdtContent>
                <w:tc>
                  <w:tcPr>
                    <w:tcW w:w="397"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lang w:val="en-GB"/>
                      </w:rPr>
                      <w:t>流动负债</w:t>
                    </w:r>
                  </w:p>
                </w:tc>
              </w:sdtContent>
            </w:sdt>
            <w:sdt>
              <w:sdtPr>
                <w:rPr>
                  <w:rFonts w:ascii="Times New Roman" w:hAnsi="Times New Roman" w:cs="Times New Roman"/>
                  <w:sz w:val="18"/>
                  <w:szCs w:val="18"/>
                </w:rPr>
                <w:tag w:val="_PLD_bed2f2ec1880450a93ab1b045e836c87"/>
                <w:id w:val="865726677"/>
                <w:lock w:val="sdtLocked"/>
              </w:sdtPr>
              <w:sdtEndPr>
                <w:rPr>
                  <w:rFonts w:ascii="Times New Roman" w:hAnsi="Times New Roman" w:cs="Times New Roman"/>
                  <w:sz w:val="18"/>
                  <w:szCs w:val="18"/>
                </w:rPr>
              </w:sdtEndPr>
              <w:sdtContent>
                <w:tc>
                  <w:tcPr>
                    <w:tcW w:w="348" w:type="pct"/>
                    <w:shd w:val="clear" w:color="auto" w:fill="auto"/>
                    <w:vAlign w:val="center"/>
                  </w:tcPr>
                  <w:p>
                    <w:pPr>
                      <w:ind w:left="-40" w:right="-97"/>
                      <w:jc w:val="center"/>
                      <w:rPr>
                        <w:rFonts w:ascii="Times New Roman" w:hAnsi="Times New Roman" w:cs="Times New Roman"/>
                        <w:sz w:val="18"/>
                        <w:szCs w:val="18"/>
                      </w:rPr>
                    </w:pPr>
                    <w:r>
                      <w:rPr>
                        <w:rFonts w:ascii="Times New Roman" w:cs="Times New Roman"/>
                        <w:sz w:val="18"/>
                        <w:szCs w:val="18"/>
                        <w:lang w:val="en-GB"/>
                      </w:rPr>
                      <w:t>非流动负债</w:t>
                    </w:r>
                  </w:p>
                </w:tc>
              </w:sdtContent>
            </w:sdt>
            <w:sdt>
              <w:sdtPr>
                <w:rPr>
                  <w:rFonts w:ascii="Times New Roman" w:hAnsi="Times New Roman" w:cs="Times New Roman"/>
                  <w:sz w:val="18"/>
                  <w:szCs w:val="18"/>
                </w:rPr>
                <w:tag w:val="_PLD_3609f15b31554b67a5a1ff617bd5582d"/>
                <w:id w:val="865726678"/>
                <w:lock w:val="sdtLocked"/>
              </w:sdtPr>
              <w:sdtEndPr>
                <w:rPr>
                  <w:rFonts w:ascii="Times New Roman" w:hAnsi="Times New Roman" w:cs="Times New Roman"/>
                  <w:sz w:val="18"/>
                  <w:szCs w:val="18"/>
                </w:rPr>
              </w:sdtEndPr>
              <w:sdtContent>
                <w:tc>
                  <w:tcPr>
                    <w:tcW w:w="402"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lang w:val="en-GB"/>
                      </w:rPr>
                      <w:t>负债合计</w:t>
                    </w:r>
                  </w:p>
                </w:tc>
              </w:sdtContent>
            </w:sdt>
            <w:sdt>
              <w:sdtPr>
                <w:rPr>
                  <w:rFonts w:ascii="Times New Roman" w:hAnsi="Times New Roman" w:cs="Times New Roman"/>
                  <w:sz w:val="18"/>
                  <w:szCs w:val="18"/>
                </w:rPr>
                <w:tag w:val="_PLD_35c03e5c5e124d339d35180c4515f97a"/>
                <w:id w:val="865726679"/>
                <w:lock w:val="sdtLocked"/>
              </w:sdtPr>
              <w:sdtEndPr>
                <w:rPr>
                  <w:rFonts w:ascii="Times New Roman" w:hAnsi="Times New Roman" w:cs="Times New Roman"/>
                  <w:sz w:val="18"/>
                  <w:szCs w:val="18"/>
                </w:rPr>
              </w:sdtEndPr>
              <w:sdtContent>
                <w:tc>
                  <w:tcPr>
                    <w:tcW w:w="397"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lang w:val="en-GB"/>
                      </w:rPr>
                      <w:t>流动资产</w:t>
                    </w:r>
                  </w:p>
                </w:tc>
              </w:sdtContent>
            </w:sdt>
            <w:sdt>
              <w:sdtPr>
                <w:rPr>
                  <w:rFonts w:ascii="Times New Roman" w:hAnsi="Times New Roman" w:cs="Times New Roman"/>
                  <w:sz w:val="18"/>
                  <w:szCs w:val="18"/>
                </w:rPr>
                <w:tag w:val="_PLD_c9852fe654ce474bb582d7b8dab46c0a"/>
                <w:id w:val="865726680"/>
                <w:lock w:val="sdtLocked"/>
              </w:sdtPr>
              <w:sdtEndPr>
                <w:rPr>
                  <w:rFonts w:ascii="Times New Roman" w:hAnsi="Times New Roman" w:cs="Times New Roman"/>
                  <w:sz w:val="18"/>
                  <w:szCs w:val="18"/>
                </w:rPr>
              </w:sdtEndPr>
              <w:sdtContent>
                <w:tc>
                  <w:tcPr>
                    <w:tcW w:w="393" w:type="pct"/>
                    <w:shd w:val="clear" w:color="auto" w:fill="auto"/>
                    <w:vAlign w:val="center"/>
                  </w:tcPr>
                  <w:p>
                    <w:pPr>
                      <w:ind w:left="-40" w:right="-97"/>
                      <w:jc w:val="center"/>
                      <w:rPr>
                        <w:rFonts w:ascii="Times New Roman" w:hAnsi="Times New Roman" w:cs="Times New Roman"/>
                        <w:sz w:val="18"/>
                        <w:szCs w:val="18"/>
                      </w:rPr>
                    </w:pPr>
                    <w:r>
                      <w:rPr>
                        <w:rFonts w:ascii="Times New Roman" w:cs="Times New Roman"/>
                        <w:sz w:val="18"/>
                        <w:szCs w:val="18"/>
                        <w:lang w:val="en-GB"/>
                      </w:rPr>
                      <w:t>非流动资产</w:t>
                    </w:r>
                  </w:p>
                </w:tc>
              </w:sdtContent>
            </w:sdt>
            <w:sdt>
              <w:sdtPr>
                <w:rPr>
                  <w:rFonts w:ascii="Times New Roman" w:hAnsi="Times New Roman" w:cs="Times New Roman"/>
                  <w:sz w:val="18"/>
                  <w:szCs w:val="18"/>
                </w:rPr>
                <w:tag w:val="_PLD_e7455f798f7740fdafaf89940e8195c3"/>
                <w:id w:val="865726681"/>
                <w:lock w:val="sdtLocked"/>
              </w:sdtPr>
              <w:sdtEndPr>
                <w:rPr>
                  <w:rFonts w:ascii="Times New Roman" w:hAnsi="Times New Roman" w:cs="Times New Roman"/>
                  <w:sz w:val="18"/>
                  <w:szCs w:val="18"/>
                </w:rPr>
              </w:sdtEndPr>
              <w:sdtContent>
                <w:tc>
                  <w:tcPr>
                    <w:tcW w:w="402"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lang w:val="en-GB"/>
                      </w:rPr>
                      <w:t>资产合计</w:t>
                    </w:r>
                  </w:p>
                </w:tc>
              </w:sdtContent>
            </w:sdt>
            <w:sdt>
              <w:sdtPr>
                <w:rPr>
                  <w:rFonts w:ascii="Times New Roman" w:hAnsi="Times New Roman" w:cs="Times New Roman"/>
                  <w:sz w:val="18"/>
                  <w:szCs w:val="18"/>
                </w:rPr>
                <w:tag w:val="_PLD_b590bdfc5abd4f30a4b1c3cf13a2772b"/>
                <w:id w:val="865726682"/>
                <w:lock w:val="sdtLocked"/>
              </w:sdtPr>
              <w:sdtEndPr>
                <w:rPr>
                  <w:rFonts w:ascii="Times New Roman" w:hAnsi="Times New Roman" w:cs="Times New Roman"/>
                  <w:sz w:val="18"/>
                  <w:szCs w:val="18"/>
                </w:rPr>
              </w:sdtEndPr>
              <w:sdtContent>
                <w:tc>
                  <w:tcPr>
                    <w:tcW w:w="401" w:type="pct"/>
                    <w:shd w:val="clear" w:color="auto" w:fill="auto"/>
                    <w:vAlign w:val="center"/>
                  </w:tcPr>
                  <w:p>
                    <w:pPr>
                      <w:jc w:val="center"/>
                      <w:rPr>
                        <w:rFonts w:ascii="Times New Roman" w:hAnsi="Times New Roman" w:cs="Times New Roman"/>
                        <w:sz w:val="18"/>
                        <w:szCs w:val="18"/>
                      </w:rPr>
                    </w:pPr>
                    <w:r>
                      <w:rPr>
                        <w:rFonts w:ascii="Times New Roman" w:cs="Times New Roman"/>
                        <w:sz w:val="18"/>
                        <w:szCs w:val="18"/>
                        <w:lang w:val="en-GB"/>
                      </w:rPr>
                      <w:t>流动负债</w:t>
                    </w:r>
                  </w:p>
                </w:tc>
              </w:sdtContent>
            </w:sdt>
            <w:sdt>
              <w:sdtPr>
                <w:rPr>
                  <w:rFonts w:ascii="Times New Roman" w:hAnsi="Times New Roman" w:cs="Times New Roman"/>
                </w:rPr>
                <w:tag w:val="_PLD_acc4c516f1954954b9ffdd4ee0900cfe"/>
                <w:id w:val="865726683"/>
                <w:lock w:val="sdtLocked"/>
              </w:sdtPr>
              <w:sdtEndPr>
                <w:rPr>
                  <w:rFonts w:ascii="Times New Roman" w:hAnsi="Times New Roman" w:cs="Times New Roman"/>
                </w:rPr>
              </w:sdtEndPr>
              <w:sdtContent>
                <w:tc>
                  <w:tcPr>
                    <w:tcW w:w="441" w:type="pct"/>
                    <w:shd w:val="clear" w:color="auto" w:fill="auto"/>
                    <w:vAlign w:val="center"/>
                  </w:tcPr>
                  <w:p>
                    <w:pPr>
                      <w:ind w:left="-40" w:right="-97"/>
                      <w:jc w:val="center"/>
                      <w:rPr>
                        <w:rFonts w:ascii="Times New Roman" w:hAnsi="Times New Roman" w:cs="Times New Roman"/>
                        <w:szCs w:val="21"/>
                      </w:rPr>
                    </w:pPr>
                    <w:r>
                      <w:rPr>
                        <w:rFonts w:ascii="Times New Roman" w:cs="Times New Roman"/>
                        <w:szCs w:val="21"/>
                        <w:lang w:val="en-GB"/>
                      </w:rPr>
                      <w:t>非流动负债</w:t>
                    </w:r>
                  </w:p>
                </w:tc>
              </w:sdtContent>
            </w:sdt>
            <w:sdt>
              <w:sdtPr>
                <w:rPr>
                  <w:rFonts w:ascii="Times New Roman" w:hAnsi="Times New Roman" w:cs="Times New Roman"/>
                </w:rPr>
                <w:tag w:val="_PLD_397eebedf0c14a0e8060aa378e6e579d"/>
                <w:id w:val="865726684"/>
                <w:lock w:val="sdtLocked"/>
              </w:sdtPr>
              <w:sdtEndPr>
                <w:rPr>
                  <w:rFonts w:ascii="Times New Roman" w:hAnsi="Times New Roman" w:cs="Times New Roman"/>
                </w:rPr>
              </w:sdtEndPr>
              <w:sdtContent>
                <w:tc>
                  <w:tcPr>
                    <w:tcW w:w="354" w:type="pct"/>
                    <w:shd w:val="clear" w:color="auto" w:fill="auto"/>
                    <w:vAlign w:val="center"/>
                  </w:tcPr>
                  <w:p>
                    <w:pPr>
                      <w:jc w:val="center"/>
                      <w:rPr>
                        <w:rFonts w:ascii="Times New Roman" w:hAnsi="Times New Roman" w:cs="Times New Roman"/>
                        <w:szCs w:val="21"/>
                      </w:rPr>
                    </w:pPr>
                    <w:r>
                      <w:rPr>
                        <w:rFonts w:ascii="Times New Roman" w:cs="Times New Roman"/>
                        <w:szCs w:val="21"/>
                        <w:lang w:val="en-GB"/>
                      </w:rPr>
                      <w:t>负债合计</w:t>
                    </w:r>
                  </w:p>
                </w:tc>
              </w:sdtContent>
            </w:sdt>
          </w:tr>
          <w:sdt>
            <w:sdtPr>
              <w:rPr>
                <w:rFonts w:ascii="Times New Roman" w:hAnsi="Times New Roman" w:cs="Times New Roman"/>
                <w:sz w:val="18"/>
                <w:szCs w:val="18"/>
              </w:rPr>
              <w:alias w:val="重要非全资子公司的主要财务信息明细"/>
              <w:tag w:val="_GBC_feef0d2d67a84217a9099e634bb2d3df"/>
              <w:id w:val="865726685"/>
              <w:lock w:val="sdtLocked"/>
              <w:placeholder>
                <w:docPart w:val="GBC11111111111111111111111111111"/>
              </w:placeholder>
            </w:sdtPr>
            <w:sdtEndPr>
              <w:rPr>
                <w:rFonts w:ascii="Times New Roman" w:hAnsi="Times New Roman" w:cs="Times New Roman"/>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 w:type="pct"/>
                  </w:tcPr>
                  <w:p>
                    <w:pPr>
                      <w:rPr>
                        <w:rFonts w:ascii="Times New Roman" w:hAnsi="Times New Roman" w:cs="Times New Roman"/>
                        <w:sz w:val="18"/>
                        <w:szCs w:val="18"/>
                      </w:rPr>
                    </w:pPr>
                    <w:r>
                      <w:rPr>
                        <w:rFonts w:ascii="Times New Roman" w:cs="Times New Roman"/>
                        <w:sz w:val="18"/>
                        <w:szCs w:val="18"/>
                      </w:rPr>
                      <w:t>广西两面针亿康药业股份有限公司</w:t>
                    </w:r>
                  </w:p>
                </w:tc>
                <w:tc>
                  <w:tcPr>
                    <w:tcW w:w="409" w:type="pct"/>
                    <w:vAlign w:val="center"/>
                  </w:tcPr>
                  <w:p>
                    <w:pPr>
                      <w:ind w:left="-13" w:leftChars="-44" w:hanging="79" w:hangingChars="44"/>
                      <w:jc w:val="right"/>
                      <w:rPr>
                        <w:rFonts w:ascii="Times New Roman" w:hAnsi="Times New Roman" w:cs="Times New Roman"/>
                        <w:sz w:val="18"/>
                        <w:szCs w:val="18"/>
                      </w:rPr>
                    </w:pPr>
                    <w:r>
                      <w:rPr>
                        <w:rFonts w:ascii="Times New Roman" w:hAnsi="Times New Roman" w:cs="Times New Roman"/>
                        <w:sz w:val="18"/>
                        <w:szCs w:val="18"/>
                      </w:rPr>
                      <w:t>100,755,382.28</w:t>
                    </w:r>
                  </w:p>
                </w:tc>
                <w:tc>
                  <w:tcPr>
                    <w:tcW w:w="364" w:type="pct"/>
                    <w:vAlign w:val="center"/>
                  </w:tcPr>
                  <w:p>
                    <w:pPr>
                      <w:jc w:val="right"/>
                      <w:rPr>
                        <w:rFonts w:ascii="Times New Roman" w:hAnsi="Times New Roman" w:cs="Times New Roman"/>
                        <w:sz w:val="18"/>
                        <w:szCs w:val="18"/>
                      </w:rPr>
                    </w:pPr>
                    <w:r>
                      <w:rPr>
                        <w:rFonts w:ascii="Times New Roman" w:hAnsi="Times New Roman" w:cs="Times New Roman"/>
                        <w:sz w:val="18"/>
                        <w:szCs w:val="18"/>
                      </w:rPr>
                      <w:t>36,422,278.79</w:t>
                    </w:r>
                  </w:p>
                </w:tc>
                <w:tc>
                  <w:tcPr>
                    <w:tcW w:w="504" w:type="pct"/>
                    <w:vAlign w:val="center"/>
                  </w:tcPr>
                  <w:p>
                    <w:pPr>
                      <w:jc w:val="right"/>
                      <w:rPr>
                        <w:rFonts w:ascii="Times New Roman" w:hAnsi="Times New Roman" w:cs="Times New Roman"/>
                        <w:sz w:val="18"/>
                        <w:szCs w:val="18"/>
                      </w:rPr>
                    </w:pPr>
                    <w:r>
                      <w:rPr>
                        <w:rFonts w:ascii="Times New Roman" w:hAnsi="Times New Roman" w:cs="Times New Roman"/>
                        <w:sz w:val="18"/>
                        <w:szCs w:val="18"/>
                      </w:rPr>
                      <w:t>137,177,661.07</w:t>
                    </w:r>
                  </w:p>
                </w:tc>
                <w:tc>
                  <w:tcPr>
                    <w:tcW w:w="397" w:type="pct"/>
                    <w:vAlign w:val="center"/>
                  </w:tcPr>
                  <w:p>
                    <w:pPr>
                      <w:jc w:val="right"/>
                      <w:rPr>
                        <w:rFonts w:ascii="Times New Roman" w:hAnsi="Times New Roman" w:cs="Times New Roman"/>
                        <w:sz w:val="18"/>
                        <w:szCs w:val="18"/>
                      </w:rPr>
                    </w:pPr>
                    <w:r>
                      <w:rPr>
                        <w:rFonts w:ascii="Times New Roman" w:hAnsi="Times New Roman" w:cs="Times New Roman"/>
                        <w:sz w:val="18"/>
                        <w:szCs w:val="18"/>
                      </w:rPr>
                      <w:t>51,080,120.98</w:t>
                    </w:r>
                  </w:p>
                </w:tc>
                <w:tc>
                  <w:tcPr>
                    <w:tcW w:w="348" w:type="pct"/>
                    <w:vAlign w:val="center"/>
                  </w:tcPr>
                  <w:p>
                    <w:pPr>
                      <w:jc w:val="right"/>
                      <w:rPr>
                        <w:rFonts w:ascii="Times New Roman" w:hAnsi="Times New Roman" w:cs="Times New Roman"/>
                        <w:sz w:val="18"/>
                        <w:szCs w:val="18"/>
                      </w:rPr>
                    </w:pPr>
                    <w:r>
                      <w:rPr>
                        <w:rFonts w:ascii="Times New Roman" w:hAnsi="Times New Roman" w:cs="Times New Roman"/>
                        <w:sz w:val="18"/>
                        <w:szCs w:val="18"/>
                      </w:rPr>
                      <w:t>1,479,923.96</w:t>
                    </w:r>
                  </w:p>
                </w:tc>
                <w:tc>
                  <w:tcPr>
                    <w:tcW w:w="402" w:type="pct"/>
                    <w:vAlign w:val="center"/>
                  </w:tcPr>
                  <w:p>
                    <w:pPr>
                      <w:jc w:val="right"/>
                      <w:rPr>
                        <w:rFonts w:ascii="Times New Roman" w:hAnsi="Times New Roman" w:cs="Times New Roman"/>
                        <w:sz w:val="18"/>
                        <w:szCs w:val="18"/>
                      </w:rPr>
                    </w:pPr>
                    <w:r>
                      <w:rPr>
                        <w:rFonts w:ascii="Times New Roman" w:hAnsi="Times New Roman" w:cs="Times New Roman"/>
                        <w:sz w:val="18"/>
                        <w:szCs w:val="18"/>
                      </w:rPr>
                      <w:t>52,560,044.94</w:t>
                    </w:r>
                  </w:p>
                </w:tc>
                <w:tc>
                  <w:tcPr>
                    <w:tcW w:w="397" w:type="pct"/>
                    <w:vAlign w:val="center"/>
                  </w:tcPr>
                  <w:p>
                    <w:pPr>
                      <w:jc w:val="right"/>
                      <w:rPr>
                        <w:rFonts w:ascii="Times New Roman" w:hAnsi="Times New Roman" w:cs="Times New Roman"/>
                        <w:sz w:val="18"/>
                        <w:szCs w:val="18"/>
                      </w:rPr>
                    </w:pPr>
                    <w:r>
                      <w:rPr>
                        <w:rFonts w:ascii="Times New Roman" w:hAnsi="Times New Roman" w:cs="Times New Roman"/>
                        <w:sz w:val="18"/>
                        <w:szCs w:val="18"/>
                      </w:rPr>
                      <w:t>94,383,045.36</w:t>
                    </w:r>
                  </w:p>
                </w:tc>
                <w:tc>
                  <w:tcPr>
                    <w:tcW w:w="393" w:type="pct"/>
                    <w:vAlign w:val="center"/>
                  </w:tcPr>
                  <w:p>
                    <w:pPr>
                      <w:jc w:val="right"/>
                      <w:rPr>
                        <w:rFonts w:ascii="Times New Roman" w:hAnsi="Times New Roman" w:cs="Times New Roman"/>
                        <w:sz w:val="18"/>
                        <w:szCs w:val="18"/>
                      </w:rPr>
                    </w:pPr>
                    <w:r>
                      <w:rPr>
                        <w:rFonts w:ascii="Times New Roman" w:hAnsi="Times New Roman" w:cs="Times New Roman"/>
                        <w:sz w:val="18"/>
                        <w:szCs w:val="18"/>
                      </w:rPr>
                      <w:t>31,411,433.90</w:t>
                    </w:r>
                  </w:p>
                </w:tc>
                <w:tc>
                  <w:tcPr>
                    <w:tcW w:w="402" w:type="pct"/>
                    <w:vAlign w:val="center"/>
                  </w:tcPr>
                  <w:p>
                    <w:pPr>
                      <w:jc w:val="right"/>
                      <w:rPr>
                        <w:rFonts w:ascii="Times New Roman" w:hAnsi="Times New Roman" w:cs="Times New Roman"/>
                        <w:sz w:val="18"/>
                        <w:szCs w:val="18"/>
                      </w:rPr>
                    </w:pPr>
                    <w:r>
                      <w:rPr>
                        <w:rFonts w:ascii="Times New Roman" w:hAnsi="Times New Roman" w:cs="Times New Roman"/>
                        <w:sz w:val="18"/>
                        <w:szCs w:val="18"/>
                      </w:rPr>
                      <w:t>125,794,479.26</w:t>
                    </w:r>
                  </w:p>
                </w:tc>
                <w:tc>
                  <w:tcPr>
                    <w:tcW w:w="401" w:type="pct"/>
                    <w:vAlign w:val="center"/>
                  </w:tcPr>
                  <w:p>
                    <w:pPr>
                      <w:jc w:val="right"/>
                      <w:rPr>
                        <w:rFonts w:ascii="Times New Roman" w:hAnsi="Times New Roman" w:cs="Times New Roman"/>
                        <w:sz w:val="18"/>
                        <w:szCs w:val="18"/>
                      </w:rPr>
                    </w:pPr>
                    <w:r>
                      <w:rPr>
                        <w:rFonts w:ascii="Times New Roman" w:hAnsi="Times New Roman" w:cs="Times New Roman"/>
                        <w:sz w:val="18"/>
                        <w:szCs w:val="18"/>
                      </w:rPr>
                      <w:t>38,693,673.19</w:t>
                    </w:r>
                  </w:p>
                </w:tc>
                <w:tc>
                  <w:tcPr>
                    <w:tcW w:w="441" w:type="pct"/>
                    <w:vAlign w:val="center"/>
                  </w:tcPr>
                  <w:p>
                    <w:pPr>
                      <w:jc w:val="right"/>
                      <w:rPr>
                        <w:rFonts w:ascii="Times New Roman" w:hAnsi="Times New Roman" w:cs="Times New Roman"/>
                        <w:sz w:val="18"/>
                        <w:szCs w:val="18"/>
                      </w:rPr>
                    </w:pPr>
                    <w:r>
                      <w:rPr>
                        <w:rFonts w:ascii="Times New Roman" w:hAnsi="Times New Roman" w:cs="Times New Roman"/>
                        <w:sz w:val="18"/>
                        <w:szCs w:val="18"/>
                      </w:rPr>
                      <w:t>1,021,882.75</w:t>
                    </w:r>
                  </w:p>
                </w:tc>
                <w:tc>
                  <w:tcPr>
                    <w:tcW w:w="354" w:type="pct"/>
                    <w:vAlign w:val="center"/>
                  </w:tcPr>
                  <w:p>
                    <w:pPr>
                      <w:jc w:val="right"/>
                      <w:rPr>
                        <w:rFonts w:ascii="Times New Roman" w:hAnsi="Times New Roman" w:cs="Times New Roman"/>
                        <w:sz w:val="18"/>
                        <w:szCs w:val="18"/>
                      </w:rPr>
                    </w:pPr>
                    <w:r>
                      <w:rPr>
                        <w:rFonts w:ascii="Times New Roman" w:hAnsi="Times New Roman" w:cs="Times New Roman"/>
                        <w:sz w:val="18"/>
                        <w:szCs w:val="18"/>
                      </w:rPr>
                      <w:t>39,715,555.94</w:t>
                    </w:r>
                  </w:p>
                </w:tc>
              </w:tr>
            </w:sdtContent>
          </w:sdt>
          <w:sdt>
            <w:sdtPr>
              <w:rPr>
                <w:rFonts w:ascii="Times New Roman" w:hAnsi="Times New Roman" w:cs="Times New Roman"/>
                <w:sz w:val="18"/>
                <w:szCs w:val="18"/>
              </w:rPr>
              <w:alias w:val="重要非全资子公司的主要财务信息明细"/>
              <w:tag w:val="_GBC_feef0d2d67a84217a9099e634bb2d3df"/>
              <w:id w:val="865726686"/>
              <w:lock w:val="sdtLocked"/>
              <w:placeholder>
                <w:docPart w:val="GBC11111111111111111111111111111"/>
              </w:placeholder>
            </w:sdtPr>
            <w:sdtEndPr>
              <w:rPr>
                <w:rFonts w:ascii="Times New Roman" w:hAnsi="Times New Roman" w:cs="Times New Roman"/>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 w:type="pct"/>
                  </w:tcPr>
                  <w:p>
                    <w:pPr>
                      <w:rPr>
                        <w:rFonts w:ascii="Times New Roman" w:hAnsi="Times New Roman" w:cs="Times New Roman"/>
                        <w:sz w:val="18"/>
                        <w:szCs w:val="18"/>
                      </w:rPr>
                    </w:pPr>
                    <w:r>
                      <w:rPr>
                        <w:rFonts w:ascii="Times New Roman" w:cs="Times New Roman"/>
                        <w:sz w:val="18"/>
                        <w:szCs w:val="18"/>
                      </w:rPr>
                      <w:t>两面针（江苏）实业有限公司</w:t>
                    </w:r>
                  </w:p>
                </w:tc>
                <w:tc>
                  <w:tcPr>
                    <w:tcW w:w="409" w:type="pct"/>
                    <w:vAlign w:val="center"/>
                  </w:tcPr>
                  <w:p>
                    <w:pPr>
                      <w:jc w:val="right"/>
                      <w:rPr>
                        <w:rFonts w:ascii="Times New Roman" w:hAnsi="Times New Roman" w:cs="Times New Roman"/>
                        <w:sz w:val="18"/>
                        <w:szCs w:val="18"/>
                      </w:rPr>
                    </w:pPr>
                    <w:r>
                      <w:rPr>
                        <w:rFonts w:ascii="Times New Roman" w:hAnsi="Times New Roman" w:cs="Times New Roman"/>
                        <w:sz w:val="18"/>
                        <w:szCs w:val="18"/>
                      </w:rPr>
                      <w:t>228,707,749.35</w:t>
                    </w:r>
                  </w:p>
                </w:tc>
                <w:tc>
                  <w:tcPr>
                    <w:tcW w:w="364" w:type="pct"/>
                    <w:vAlign w:val="center"/>
                  </w:tcPr>
                  <w:p>
                    <w:pPr>
                      <w:jc w:val="right"/>
                      <w:rPr>
                        <w:rFonts w:ascii="Times New Roman" w:hAnsi="Times New Roman" w:cs="Times New Roman"/>
                        <w:sz w:val="18"/>
                        <w:szCs w:val="18"/>
                      </w:rPr>
                    </w:pPr>
                    <w:r>
                      <w:rPr>
                        <w:rFonts w:ascii="Times New Roman" w:hAnsi="Times New Roman" w:cs="Times New Roman"/>
                        <w:sz w:val="18"/>
                        <w:szCs w:val="18"/>
                      </w:rPr>
                      <w:t>134,897,191.03</w:t>
                    </w:r>
                  </w:p>
                </w:tc>
                <w:tc>
                  <w:tcPr>
                    <w:tcW w:w="504" w:type="pct"/>
                    <w:vAlign w:val="center"/>
                  </w:tcPr>
                  <w:p>
                    <w:pPr>
                      <w:jc w:val="right"/>
                      <w:rPr>
                        <w:rFonts w:ascii="Times New Roman" w:hAnsi="Times New Roman" w:cs="Times New Roman"/>
                        <w:sz w:val="18"/>
                        <w:szCs w:val="18"/>
                      </w:rPr>
                    </w:pPr>
                    <w:r>
                      <w:rPr>
                        <w:rFonts w:ascii="Times New Roman" w:hAnsi="Times New Roman" w:cs="Times New Roman"/>
                        <w:sz w:val="18"/>
                        <w:szCs w:val="18"/>
                      </w:rPr>
                      <w:t>363,604,940.38</w:t>
                    </w:r>
                  </w:p>
                </w:tc>
                <w:tc>
                  <w:tcPr>
                    <w:tcW w:w="397" w:type="pct"/>
                    <w:vAlign w:val="center"/>
                  </w:tcPr>
                  <w:p>
                    <w:pPr>
                      <w:jc w:val="right"/>
                      <w:rPr>
                        <w:rFonts w:ascii="Times New Roman" w:hAnsi="Times New Roman" w:cs="Times New Roman"/>
                        <w:sz w:val="18"/>
                        <w:szCs w:val="18"/>
                      </w:rPr>
                    </w:pPr>
                    <w:r>
                      <w:rPr>
                        <w:rFonts w:ascii="Times New Roman" w:hAnsi="Times New Roman" w:cs="Times New Roman"/>
                        <w:sz w:val="18"/>
                        <w:szCs w:val="18"/>
                      </w:rPr>
                      <w:t>158,</w:t>
                    </w:r>
                    <w:r>
                      <w:rPr>
                        <w:rFonts w:hint="eastAsia" w:ascii="Times New Roman" w:hAnsi="Times New Roman" w:cs="Times New Roman"/>
                        <w:sz w:val="18"/>
                        <w:szCs w:val="18"/>
                      </w:rPr>
                      <w:t>837</w:t>
                    </w:r>
                    <w:r>
                      <w:rPr>
                        <w:rFonts w:ascii="Times New Roman" w:hAnsi="Times New Roman" w:cs="Times New Roman"/>
                        <w:sz w:val="18"/>
                        <w:szCs w:val="18"/>
                      </w:rPr>
                      <w:t>,</w:t>
                    </w:r>
                    <w:r>
                      <w:rPr>
                        <w:rFonts w:hint="eastAsia" w:ascii="Times New Roman" w:hAnsi="Times New Roman" w:cs="Times New Roman"/>
                        <w:sz w:val="18"/>
                        <w:szCs w:val="18"/>
                      </w:rPr>
                      <w:t>934</w:t>
                    </w:r>
                    <w:r>
                      <w:rPr>
                        <w:rFonts w:ascii="Times New Roman" w:hAnsi="Times New Roman" w:cs="Times New Roman"/>
                        <w:sz w:val="18"/>
                        <w:szCs w:val="18"/>
                      </w:rPr>
                      <w:t>.</w:t>
                    </w:r>
                    <w:r>
                      <w:rPr>
                        <w:rFonts w:hint="eastAsia" w:ascii="Times New Roman" w:hAnsi="Times New Roman" w:cs="Times New Roman"/>
                        <w:sz w:val="18"/>
                        <w:szCs w:val="18"/>
                      </w:rPr>
                      <w:t>00</w:t>
                    </w:r>
                  </w:p>
                </w:tc>
                <w:tc>
                  <w:tcPr>
                    <w:tcW w:w="348" w:type="pct"/>
                    <w:vAlign w:val="center"/>
                  </w:tcPr>
                  <w:p>
                    <w:pPr>
                      <w:jc w:val="right"/>
                      <w:rPr>
                        <w:rFonts w:ascii="Times New Roman" w:hAnsi="Times New Roman" w:cs="Times New Roman"/>
                        <w:sz w:val="18"/>
                        <w:szCs w:val="18"/>
                      </w:rPr>
                    </w:pPr>
                    <w:r>
                      <w:rPr>
                        <w:rFonts w:ascii="Times New Roman" w:hAnsi="Times New Roman" w:cs="Times New Roman"/>
                        <w:sz w:val="18"/>
                        <w:szCs w:val="18"/>
                      </w:rPr>
                      <w:t>1,009,770.48</w:t>
                    </w:r>
                  </w:p>
                </w:tc>
                <w:tc>
                  <w:tcPr>
                    <w:tcW w:w="402" w:type="pct"/>
                    <w:vAlign w:val="center"/>
                  </w:tcPr>
                  <w:p>
                    <w:pPr>
                      <w:jc w:val="right"/>
                      <w:rPr>
                        <w:rFonts w:ascii="Times New Roman" w:hAnsi="Times New Roman" w:cs="Times New Roman"/>
                        <w:sz w:val="18"/>
                        <w:szCs w:val="18"/>
                      </w:rPr>
                    </w:pPr>
                    <w:r>
                      <w:rPr>
                        <w:rFonts w:ascii="Times New Roman" w:hAnsi="Times New Roman" w:cs="Times New Roman"/>
                        <w:sz w:val="18"/>
                        <w:szCs w:val="18"/>
                      </w:rPr>
                      <w:t>159,847,704.48</w:t>
                    </w:r>
                  </w:p>
                </w:tc>
                <w:tc>
                  <w:tcPr>
                    <w:tcW w:w="397" w:type="pct"/>
                    <w:vAlign w:val="center"/>
                  </w:tcPr>
                  <w:p>
                    <w:pPr>
                      <w:jc w:val="right"/>
                      <w:rPr>
                        <w:rFonts w:ascii="Times New Roman" w:hAnsi="Times New Roman" w:cs="Times New Roman"/>
                        <w:sz w:val="18"/>
                        <w:szCs w:val="18"/>
                      </w:rPr>
                    </w:pPr>
                    <w:r>
                      <w:rPr>
                        <w:rFonts w:ascii="Times New Roman" w:hAnsi="Times New Roman" w:cs="Times New Roman"/>
                        <w:sz w:val="18"/>
                        <w:szCs w:val="18"/>
                      </w:rPr>
                      <w:t>236,393,671.33</w:t>
                    </w:r>
                  </w:p>
                </w:tc>
                <w:tc>
                  <w:tcPr>
                    <w:tcW w:w="393" w:type="pct"/>
                    <w:vAlign w:val="center"/>
                  </w:tcPr>
                  <w:p>
                    <w:pPr>
                      <w:jc w:val="right"/>
                      <w:rPr>
                        <w:rFonts w:ascii="Times New Roman" w:hAnsi="Times New Roman" w:cs="Times New Roman"/>
                        <w:sz w:val="18"/>
                        <w:szCs w:val="18"/>
                      </w:rPr>
                    </w:pPr>
                    <w:r>
                      <w:rPr>
                        <w:rFonts w:ascii="Times New Roman" w:hAnsi="Times New Roman" w:cs="Times New Roman"/>
                        <w:sz w:val="18"/>
                        <w:szCs w:val="18"/>
                      </w:rPr>
                      <w:t>132,414,898.89</w:t>
                    </w:r>
                  </w:p>
                </w:tc>
                <w:tc>
                  <w:tcPr>
                    <w:tcW w:w="402" w:type="pct"/>
                    <w:vAlign w:val="center"/>
                  </w:tcPr>
                  <w:p>
                    <w:pPr>
                      <w:jc w:val="right"/>
                      <w:rPr>
                        <w:rFonts w:ascii="Times New Roman" w:hAnsi="Times New Roman" w:cs="Times New Roman"/>
                        <w:sz w:val="18"/>
                        <w:szCs w:val="18"/>
                      </w:rPr>
                    </w:pPr>
                    <w:r>
                      <w:rPr>
                        <w:rFonts w:ascii="Times New Roman" w:hAnsi="Times New Roman" w:cs="Times New Roman"/>
                        <w:sz w:val="18"/>
                        <w:szCs w:val="18"/>
                      </w:rPr>
                      <w:t>368,808,570.22</w:t>
                    </w:r>
                  </w:p>
                </w:tc>
                <w:tc>
                  <w:tcPr>
                    <w:tcW w:w="401" w:type="pct"/>
                    <w:vAlign w:val="center"/>
                  </w:tcPr>
                  <w:p>
                    <w:pPr>
                      <w:jc w:val="right"/>
                      <w:rPr>
                        <w:rFonts w:ascii="Times New Roman" w:hAnsi="Times New Roman" w:cs="Times New Roman"/>
                        <w:sz w:val="18"/>
                        <w:szCs w:val="18"/>
                      </w:rPr>
                    </w:pPr>
                    <w:r>
                      <w:rPr>
                        <w:rFonts w:ascii="Times New Roman" w:hAnsi="Times New Roman" w:cs="Times New Roman"/>
                        <w:sz w:val="18"/>
                        <w:szCs w:val="18"/>
                      </w:rPr>
                      <w:t>175,388,927.22</w:t>
                    </w:r>
                  </w:p>
                </w:tc>
                <w:tc>
                  <w:tcPr>
                    <w:tcW w:w="441" w:type="pct"/>
                    <w:vAlign w:val="center"/>
                  </w:tcPr>
                  <w:p>
                    <w:pPr>
                      <w:jc w:val="right"/>
                      <w:rPr>
                        <w:rFonts w:ascii="Times New Roman" w:hAnsi="Times New Roman" w:cs="Times New Roman"/>
                        <w:sz w:val="18"/>
                        <w:szCs w:val="18"/>
                      </w:rPr>
                    </w:pPr>
                    <w:r>
                      <w:rPr>
                        <w:rFonts w:ascii="Times New Roman" w:hAnsi="Times New Roman" w:cs="Times New Roman"/>
                        <w:sz w:val="18"/>
                        <w:szCs w:val="18"/>
                      </w:rPr>
                      <w:t>1,314,619.89</w:t>
                    </w:r>
                  </w:p>
                </w:tc>
                <w:tc>
                  <w:tcPr>
                    <w:tcW w:w="354" w:type="pct"/>
                    <w:vAlign w:val="center"/>
                  </w:tcPr>
                  <w:p>
                    <w:pPr>
                      <w:jc w:val="right"/>
                      <w:rPr>
                        <w:rFonts w:ascii="Times New Roman" w:hAnsi="Times New Roman" w:cs="Times New Roman"/>
                        <w:sz w:val="18"/>
                        <w:szCs w:val="18"/>
                      </w:rPr>
                    </w:pPr>
                    <w:r>
                      <w:rPr>
                        <w:rFonts w:ascii="Times New Roman" w:hAnsi="Times New Roman" w:cs="Times New Roman"/>
                        <w:sz w:val="18"/>
                        <w:szCs w:val="18"/>
                      </w:rPr>
                      <w:t>176,703,547.11</w:t>
                    </w:r>
                  </w:p>
                </w:tc>
              </w:tr>
            </w:sdtContent>
          </w:sdt>
        </w:tbl>
        <w:p>
          <w:pPr>
            <w:rPr>
              <w:rFonts w:cs="Arial"/>
              <w:sz w:val="18"/>
              <w:szCs w:val="18"/>
            </w:rPr>
          </w:pPr>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2232"/>
            <w:gridCol w:w="1477"/>
            <w:gridCol w:w="1420"/>
            <w:gridCol w:w="1578"/>
            <w:gridCol w:w="1477"/>
            <w:gridCol w:w="1386"/>
            <w:gridCol w:w="1420"/>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ascii="Times New Roman" w:hAnsi="Times New Roman" w:cs="Times New Roman"/>
                  <w:sz w:val="18"/>
                  <w:szCs w:val="18"/>
                </w:rPr>
                <w:tag w:val="_PLD_f862f5520ccd48d7b0fd3b875414eb44"/>
                <w:id w:val="865726687"/>
                <w:lock w:val="sdtLocked"/>
              </w:sdtPr>
              <w:sdtEndPr>
                <w:rPr>
                  <w:rFonts w:ascii="Times New Roman" w:hAnsi="Times New Roman" w:cs="Times New Roman"/>
                  <w:sz w:val="18"/>
                  <w:szCs w:val="18"/>
                </w:rPr>
              </w:sdtEndPr>
              <w:sdtContent>
                <w:tc>
                  <w:tcPr>
                    <w:tcW w:w="542" w:type="pct"/>
                    <w:vMerge w:val="restart"/>
                    <w:shd w:val="clear" w:color="auto" w:fill="auto"/>
                    <w:vAlign w:val="center"/>
                  </w:tcPr>
                  <w:p>
                    <w:pPr>
                      <w:spacing w:line="276" w:lineRule="auto"/>
                      <w:ind w:right="-16"/>
                      <w:jc w:val="center"/>
                      <w:rPr>
                        <w:rFonts w:ascii="Times New Roman" w:hAnsi="Times New Roman" w:cs="Times New Roman"/>
                        <w:bCs/>
                        <w:sz w:val="18"/>
                        <w:szCs w:val="18"/>
                      </w:rPr>
                    </w:pPr>
                    <w:r>
                      <w:rPr>
                        <w:rFonts w:ascii="Times New Roman" w:cs="Times New Roman"/>
                        <w:bCs/>
                        <w:sz w:val="18"/>
                        <w:szCs w:val="18"/>
                        <w:lang w:val="en-GB"/>
                      </w:rPr>
                      <w:t>子公司名称</w:t>
                    </w:r>
                  </w:p>
                </w:tc>
              </w:sdtContent>
            </w:sdt>
            <w:sdt>
              <w:sdtPr>
                <w:rPr>
                  <w:rFonts w:ascii="Times New Roman" w:hAnsi="Times New Roman" w:cs="Times New Roman"/>
                  <w:sz w:val="18"/>
                  <w:szCs w:val="18"/>
                </w:rPr>
                <w:tag w:val="_PLD_5506f9b7657a4249a69db52c93f94b62"/>
                <w:id w:val="865726688"/>
                <w:lock w:val="sdtLocked"/>
              </w:sdtPr>
              <w:sdtEndPr>
                <w:rPr>
                  <w:rFonts w:ascii="Times New Roman" w:hAnsi="Times New Roman" w:cs="Times New Roman"/>
                  <w:sz w:val="18"/>
                  <w:szCs w:val="18"/>
                </w:rPr>
              </w:sdtEndPr>
              <w:sdtContent>
                <w:tc>
                  <w:tcPr>
                    <w:tcW w:w="2380" w:type="pct"/>
                    <w:gridSpan w:val="4"/>
                    <w:shd w:val="clear" w:color="auto" w:fill="auto"/>
                    <w:vAlign w:val="center"/>
                  </w:tcPr>
                  <w:p>
                    <w:pPr>
                      <w:spacing w:line="276" w:lineRule="auto"/>
                      <w:ind w:right="-16"/>
                      <w:jc w:val="center"/>
                      <w:rPr>
                        <w:rFonts w:ascii="Times New Roman" w:hAnsi="Times New Roman" w:cs="Times New Roman"/>
                        <w:bCs/>
                        <w:sz w:val="18"/>
                        <w:szCs w:val="18"/>
                      </w:rPr>
                    </w:pPr>
                    <w:r>
                      <w:rPr>
                        <w:rFonts w:ascii="Times New Roman" w:cs="Times New Roman"/>
                        <w:bCs/>
                        <w:sz w:val="18"/>
                        <w:szCs w:val="18"/>
                        <w:lang w:val="en-GB"/>
                      </w:rPr>
                      <w:t>本期发生额</w:t>
                    </w:r>
                  </w:p>
                </w:tc>
              </w:sdtContent>
            </w:sdt>
            <w:sdt>
              <w:sdtPr>
                <w:rPr>
                  <w:rFonts w:ascii="Times New Roman" w:hAnsi="Times New Roman" w:cs="Times New Roman"/>
                  <w:sz w:val="18"/>
                  <w:szCs w:val="18"/>
                </w:rPr>
                <w:tag w:val="_PLD_063dddde33114bd0989718130d614207"/>
                <w:id w:val="865726689"/>
                <w:lock w:val="sdtLocked"/>
              </w:sdtPr>
              <w:sdtEndPr>
                <w:rPr>
                  <w:rFonts w:ascii="Times New Roman" w:hAnsi="Times New Roman" w:cs="Times New Roman"/>
                  <w:sz w:val="18"/>
                  <w:szCs w:val="18"/>
                </w:rPr>
              </w:sdtEndPr>
              <w:sdtContent>
                <w:tc>
                  <w:tcPr>
                    <w:tcW w:w="2079" w:type="pct"/>
                    <w:gridSpan w:val="4"/>
                    <w:shd w:val="clear" w:color="auto" w:fill="auto"/>
                    <w:vAlign w:val="center"/>
                  </w:tcPr>
                  <w:p>
                    <w:pPr>
                      <w:spacing w:line="276" w:lineRule="auto"/>
                      <w:ind w:right="-16"/>
                      <w:jc w:val="center"/>
                      <w:rPr>
                        <w:rFonts w:ascii="Times New Roman" w:hAnsi="Times New Roman" w:cs="Times New Roman"/>
                        <w:bCs/>
                        <w:sz w:val="18"/>
                        <w:szCs w:val="18"/>
                      </w:rPr>
                    </w:pPr>
                    <w:r>
                      <w:rPr>
                        <w:rFonts w:ascii="Times New Roman" w:cs="Times New Roman"/>
                        <w:bCs/>
                        <w:sz w:val="18"/>
                        <w:szCs w:val="18"/>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42" w:type="pct"/>
                <w:vMerge w:val="continue"/>
                <w:shd w:val="clear" w:color="auto" w:fill="auto"/>
                <w:vAlign w:val="center"/>
              </w:tcPr>
              <w:p>
                <w:pPr>
                  <w:jc w:val="center"/>
                  <w:rPr>
                    <w:rFonts w:ascii="Times New Roman" w:hAnsi="Times New Roman" w:cs="Times New Roman"/>
                    <w:bCs/>
                    <w:sz w:val="18"/>
                    <w:szCs w:val="18"/>
                  </w:rPr>
                </w:pPr>
              </w:p>
            </w:tc>
            <w:sdt>
              <w:sdtPr>
                <w:rPr>
                  <w:rFonts w:ascii="Times New Roman" w:hAnsi="Times New Roman" w:cs="Times New Roman"/>
                  <w:sz w:val="18"/>
                  <w:szCs w:val="18"/>
                </w:rPr>
                <w:tag w:val="_PLD_0ff6644b89fa49828839f84e0b320d2e"/>
                <w:id w:val="865726690"/>
                <w:lock w:val="sdtLocked"/>
              </w:sdtPr>
              <w:sdtEndPr>
                <w:rPr>
                  <w:rFonts w:ascii="Times New Roman" w:hAnsi="Times New Roman" w:cs="Times New Roman"/>
                  <w:sz w:val="18"/>
                  <w:szCs w:val="18"/>
                </w:rPr>
              </w:sdtEndPr>
              <w:sdtContent>
                <w:tc>
                  <w:tcPr>
                    <w:tcW w:w="792" w:type="pct"/>
                    <w:shd w:val="clear" w:color="auto" w:fill="auto"/>
                    <w:vAlign w:val="center"/>
                  </w:tcPr>
                  <w:p>
                    <w:pPr>
                      <w:spacing w:line="276" w:lineRule="auto"/>
                      <w:jc w:val="center"/>
                      <w:rPr>
                        <w:rFonts w:ascii="Times New Roman" w:hAnsi="Times New Roman" w:cs="Times New Roman"/>
                        <w:sz w:val="18"/>
                        <w:szCs w:val="18"/>
                      </w:rPr>
                    </w:pPr>
                    <w:r>
                      <w:rPr>
                        <w:rFonts w:ascii="Times New Roman" w:cs="Times New Roman"/>
                        <w:sz w:val="18"/>
                        <w:szCs w:val="18"/>
                        <w:lang w:val="en-GB"/>
                      </w:rPr>
                      <w:t>营业收入</w:t>
                    </w:r>
                  </w:p>
                </w:tc>
              </w:sdtContent>
            </w:sdt>
            <w:sdt>
              <w:sdtPr>
                <w:rPr>
                  <w:rFonts w:ascii="Times New Roman" w:hAnsi="Times New Roman" w:cs="Times New Roman"/>
                  <w:sz w:val="18"/>
                  <w:szCs w:val="18"/>
                </w:rPr>
                <w:tag w:val="_PLD_3ed6f54533ae4b35b5749cded650328b"/>
                <w:id w:val="865726691"/>
                <w:lock w:val="sdtLocked"/>
              </w:sdtPr>
              <w:sdtEndPr>
                <w:rPr>
                  <w:rFonts w:ascii="Times New Roman" w:hAnsi="Times New Roman" w:cs="Times New Roman"/>
                  <w:sz w:val="18"/>
                  <w:szCs w:val="18"/>
                </w:rPr>
              </w:sdtEndPr>
              <w:sdtContent>
                <w:tc>
                  <w:tcPr>
                    <w:tcW w:w="524" w:type="pct"/>
                    <w:shd w:val="clear" w:color="auto" w:fill="auto"/>
                    <w:vAlign w:val="center"/>
                  </w:tcPr>
                  <w:p>
                    <w:pPr>
                      <w:spacing w:line="276" w:lineRule="auto"/>
                      <w:jc w:val="center"/>
                      <w:rPr>
                        <w:rFonts w:ascii="Times New Roman" w:hAnsi="Times New Roman" w:cs="Times New Roman"/>
                        <w:sz w:val="18"/>
                        <w:szCs w:val="18"/>
                      </w:rPr>
                    </w:pPr>
                    <w:r>
                      <w:rPr>
                        <w:rFonts w:ascii="Times New Roman" w:cs="Times New Roman"/>
                        <w:sz w:val="18"/>
                        <w:szCs w:val="18"/>
                        <w:lang w:val="en-GB"/>
                      </w:rPr>
                      <w:t>净利润</w:t>
                    </w:r>
                  </w:p>
                </w:tc>
              </w:sdtContent>
            </w:sdt>
            <w:sdt>
              <w:sdtPr>
                <w:rPr>
                  <w:rFonts w:ascii="Times New Roman" w:hAnsi="Times New Roman" w:cs="Times New Roman"/>
                  <w:sz w:val="18"/>
                  <w:szCs w:val="18"/>
                </w:rPr>
                <w:tag w:val="_PLD_f277e496f88240b8a09027ca500f53c9"/>
                <w:id w:val="865726692"/>
                <w:lock w:val="sdtLocked"/>
              </w:sdtPr>
              <w:sdtEndPr>
                <w:rPr>
                  <w:rFonts w:ascii="Times New Roman" w:hAnsi="Times New Roman" w:cs="Times New Roman"/>
                  <w:sz w:val="18"/>
                  <w:szCs w:val="18"/>
                </w:rPr>
              </w:sdtEndPr>
              <w:sdtContent>
                <w:tc>
                  <w:tcPr>
                    <w:tcW w:w="504" w:type="pct"/>
                    <w:shd w:val="clear" w:color="auto" w:fill="auto"/>
                    <w:vAlign w:val="center"/>
                  </w:tcPr>
                  <w:p>
                    <w:pPr>
                      <w:spacing w:line="276" w:lineRule="auto"/>
                      <w:jc w:val="center"/>
                      <w:rPr>
                        <w:rFonts w:ascii="Times New Roman" w:hAnsi="Times New Roman" w:cs="Times New Roman"/>
                        <w:sz w:val="18"/>
                        <w:szCs w:val="18"/>
                      </w:rPr>
                    </w:pPr>
                    <w:r>
                      <w:rPr>
                        <w:rFonts w:ascii="Times New Roman" w:cs="Times New Roman"/>
                        <w:sz w:val="18"/>
                        <w:szCs w:val="18"/>
                        <w:lang w:val="en-GB"/>
                      </w:rPr>
                      <w:t>综合收益总额</w:t>
                    </w:r>
                  </w:p>
                </w:tc>
              </w:sdtContent>
            </w:sdt>
            <w:sdt>
              <w:sdtPr>
                <w:rPr>
                  <w:rFonts w:ascii="Times New Roman" w:hAnsi="Times New Roman" w:cs="Times New Roman"/>
                  <w:sz w:val="18"/>
                  <w:szCs w:val="18"/>
                </w:rPr>
                <w:tag w:val="_PLD_b06ad8ebb20b4c158ab41b3105f22658"/>
                <w:id w:val="865726693"/>
                <w:lock w:val="sdtLocked"/>
              </w:sdtPr>
              <w:sdtEndPr>
                <w:rPr>
                  <w:rFonts w:ascii="Times New Roman" w:hAnsi="Times New Roman" w:cs="Times New Roman"/>
                  <w:sz w:val="18"/>
                  <w:szCs w:val="18"/>
                </w:rPr>
              </w:sdtEndPr>
              <w:sdtContent>
                <w:tc>
                  <w:tcPr>
                    <w:tcW w:w="560" w:type="pct"/>
                    <w:shd w:val="clear" w:color="auto" w:fill="auto"/>
                    <w:vAlign w:val="center"/>
                  </w:tcPr>
                  <w:p>
                    <w:pPr>
                      <w:spacing w:line="276" w:lineRule="auto"/>
                      <w:jc w:val="center"/>
                      <w:rPr>
                        <w:rFonts w:ascii="Times New Roman" w:hAnsi="Times New Roman" w:cs="Times New Roman"/>
                        <w:sz w:val="18"/>
                        <w:szCs w:val="18"/>
                      </w:rPr>
                    </w:pPr>
                    <w:r>
                      <w:rPr>
                        <w:rFonts w:ascii="Times New Roman" w:cs="Times New Roman"/>
                        <w:sz w:val="18"/>
                        <w:szCs w:val="18"/>
                        <w:lang w:val="en-GB"/>
                      </w:rPr>
                      <w:t>经营活动现金流量</w:t>
                    </w:r>
                  </w:p>
                </w:tc>
              </w:sdtContent>
            </w:sdt>
            <w:sdt>
              <w:sdtPr>
                <w:rPr>
                  <w:rFonts w:ascii="Times New Roman" w:hAnsi="Times New Roman" w:cs="Times New Roman"/>
                  <w:sz w:val="18"/>
                  <w:szCs w:val="18"/>
                </w:rPr>
                <w:tag w:val="_PLD_4fc4163d4ea74839b6634e2ab30a43dd"/>
                <w:id w:val="865726694"/>
                <w:lock w:val="sdtLocked"/>
              </w:sdtPr>
              <w:sdtEndPr>
                <w:rPr>
                  <w:rFonts w:ascii="Times New Roman" w:hAnsi="Times New Roman" w:cs="Times New Roman"/>
                  <w:sz w:val="18"/>
                  <w:szCs w:val="18"/>
                </w:rPr>
              </w:sdtEndPr>
              <w:sdtContent>
                <w:tc>
                  <w:tcPr>
                    <w:tcW w:w="524" w:type="pct"/>
                    <w:shd w:val="clear" w:color="auto" w:fill="auto"/>
                    <w:vAlign w:val="center"/>
                  </w:tcPr>
                  <w:p>
                    <w:pPr>
                      <w:spacing w:line="276" w:lineRule="auto"/>
                      <w:jc w:val="center"/>
                      <w:rPr>
                        <w:rFonts w:ascii="Times New Roman" w:hAnsi="Times New Roman" w:cs="Times New Roman"/>
                        <w:sz w:val="18"/>
                        <w:szCs w:val="18"/>
                      </w:rPr>
                    </w:pPr>
                    <w:r>
                      <w:rPr>
                        <w:rFonts w:ascii="Times New Roman" w:cs="Times New Roman"/>
                        <w:sz w:val="18"/>
                        <w:szCs w:val="18"/>
                        <w:lang w:val="en-GB"/>
                      </w:rPr>
                      <w:t>营业收入</w:t>
                    </w:r>
                  </w:p>
                </w:tc>
              </w:sdtContent>
            </w:sdt>
            <w:sdt>
              <w:sdtPr>
                <w:rPr>
                  <w:rFonts w:ascii="Times New Roman" w:hAnsi="Times New Roman" w:cs="Times New Roman"/>
                  <w:sz w:val="18"/>
                  <w:szCs w:val="18"/>
                </w:rPr>
                <w:tag w:val="_PLD_afe353d057d34119880797ab0530197f"/>
                <w:id w:val="865726695"/>
                <w:lock w:val="sdtLocked"/>
              </w:sdtPr>
              <w:sdtEndPr>
                <w:rPr>
                  <w:rFonts w:ascii="Times New Roman" w:hAnsi="Times New Roman" w:cs="Times New Roman"/>
                  <w:sz w:val="18"/>
                  <w:szCs w:val="18"/>
                </w:rPr>
              </w:sdtEndPr>
              <w:sdtContent>
                <w:tc>
                  <w:tcPr>
                    <w:tcW w:w="492" w:type="pct"/>
                    <w:shd w:val="clear" w:color="auto" w:fill="auto"/>
                    <w:vAlign w:val="center"/>
                  </w:tcPr>
                  <w:p>
                    <w:pPr>
                      <w:spacing w:line="276" w:lineRule="auto"/>
                      <w:jc w:val="center"/>
                      <w:rPr>
                        <w:rFonts w:ascii="Times New Roman" w:hAnsi="Times New Roman" w:cs="Times New Roman"/>
                        <w:sz w:val="18"/>
                        <w:szCs w:val="18"/>
                      </w:rPr>
                    </w:pPr>
                    <w:r>
                      <w:rPr>
                        <w:rFonts w:ascii="Times New Roman" w:cs="Times New Roman"/>
                        <w:sz w:val="18"/>
                        <w:szCs w:val="18"/>
                        <w:lang w:val="en-GB"/>
                      </w:rPr>
                      <w:t>净利润</w:t>
                    </w:r>
                  </w:p>
                </w:tc>
              </w:sdtContent>
            </w:sdt>
            <w:sdt>
              <w:sdtPr>
                <w:rPr>
                  <w:rFonts w:ascii="Times New Roman" w:hAnsi="Times New Roman" w:cs="Times New Roman"/>
                  <w:sz w:val="18"/>
                  <w:szCs w:val="18"/>
                </w:rPr>
                <w:tag w:val="_PLD_06c5ed8a09a8478bb7daf6526e9a9894"/>
                <w:id w:val="865726696"/>
                <w:lock w:val="sdtLocked"/>
              </w:sdtPr>
              <w:sdtEndPr>
                <w:rPr>
                  <w:rFonts w:ascii="Times New Roman" w:hAnsi="Times New Roman" w:cs="Times New Roman"/>
                  <w:sz w:val="18"/>
                  <w:szCs w:val="18"/>
                </w:rPr>
              </w:sdtEndPr>
              <w:sdtContent>
                <w:tc>
                  <w:tcPr>
                    <w:tcW w:w="504" w:type="pct"/>
                    <w:shd w:val="clear" w:color="auto" w:fill="auto"/>
                    <w:vAlign w:val="center"/>
                  </w:tcPr>
                  <w:p>
                    <w:pPr>
                      <w:spacing w:line="276" w:lineRule="auto"/>
                      <w:jc w:val="center"/>
                      <w:rPr>
                        <w:rFonts w:ascii="Times New Roman" w:hAnsi="Times New Roman" w:cs="Times New Roman"/>
                        <w:sz w:val="18"/>
                        <w:szCs w:val="18"/>
                      </w:rPr>
                    </w:pPr>
                    <w:r>
                      <w:rPr>
                        <w:rFonts w:ascii="Times New Roman" w:cs="Times New Roman"/>
                        <w:sz w:val="18"/>
                        <w:szCs w:val="18"/>
                        <w:lang w:val="en-GB"/>
                      </w:rPr>
                      <w:t>综合收益总额</w:t>
                    </w:r>
                  </w:p>
                </w:tc>
              </w:sdtContent>
            </w:sdt>
            <w:sdt>
              <w:sdtPr>
                <w:rPr>
                  <w:rFonts w:ascii="Times New Roman" w:hAnsi="Times New Roman" w:cs="Times New Roman"/>
                  <w:sz w:val="18"/>
                  <w:szCs w:val="18"/>
                </w:rPr>
                <w:tag w:val="_PLD_4bb5318561af41709725de1d7e458dde"/>
                <w:id w:val="865726697"/>
                <w:lock w:val="sdtLocked"/>
              </w:sdtPr>
              <w:sdtEndPr>
                <w:rPr>
                  <w:rFonts w:ascii="Times New Roman" w:hAnsi="Times New Roman" w:cs="Times New Roman"/>
                  <w:sz w:val="18"/>
                  <w:szCs w:val="18"/>
                </w:rPr>
              </w:sdtEndPr>
              <w:sdtContent>
                <w:tc>
                  <w:tcPr>
                    <w:tcW w:w="559" w:type="pct"/>
                    <w:shd w:val="clear" w:color="auto" w:fill="auto"/>
                    <w:vAlign w:val="center"/>
                  </w:tcPr>
                  <w:p>
                    <w:pPr>
                      <w:spacing w:line="276" w:lineRule="auto"/>
                      <w:jc w:val="center"/>
                      <w:rPr>
                        <w:rFonts w:ascii="Times New Roman" w:hAnsi="Times New Roman" w:cs="Times New Roman"/>
                        <w:sz w:val="18"/>
                        <w:szCs w:val="18"/>
                      </w:rPr>
                    </w:pPr>
                    <w:r>
                      <w:rPr>
                        <w:rFonts w:ascii="Times New Roman" w:cs="Times New Roman"/>
                        <w:sz w:val="18"/>
                        <w:szCs w:val="18"/>
                        <w:lang w:val="en-GB"/>
                      </w:rPr>
                      <w:t>经营活动现金流量</w:t>
                    </w:r>
                  </w:p>
                </w:tc>
              </w:sdtContent>
            </w:sdt>
          </w:tr>
          <w:sdt>
            <w:sdtPr>
              <w:rPr>
                <w:rFonts w:ascii="Times New Roman" w:hAnsi="Times New Roman" w:cs="Times New Roman"/>
                <w:sz w:val="18"/>
                <w:szCs w:val="18"/>
              </w:rPr>
              <w:alias w:val="重要非全资子公司的主要财务信息明细"/>
              <w:tag w:val="_GBC_330f4405d49345f7b8f69770f6eb8b4a"/>
              <w:id w:val="865726698"/>
              <w:lock w:val="sdtLocked"/>
            </w:sdtPr>
            <w:sdtEndPr>
              <w:rPr>
                <w:rFonts w:ascii="Times New Roman" w:hAnsi="Times New Roman" w:cs="Times New Roman"/>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pPr>
                      <w:spacing w:line="276" w:lineRule="auto"/>
                      <w:rPr>
                        <w:rFonts w:ascii="Times New Roman" w:hAnsi="Times New Roman" w:cs="Times New Roman"/>
                        <w:sz w:val="18"/>
                        <w:szCs w:val="18"/>
                      </w:rPr>
                    </w:pPr>
                    <w:r>
                      <w:rPr>
                        <w:rFonts w:ascii="Times New Roman" w:cs="Times New Roman"/>
                        <w:sz w:val="18"/>
                        <w:szCs w:val="18"/>
                      </w:rPr>
                      <w:t>广西两面针亿康药业股份有限公司</w:t>
                    </w:r>
                  </w:p>
                </w:tc>
                <w:tc>
                  <w:tcPr>
                    <w:tcW w:w="792"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82,022,987.22</w:t>
                    </w:r>
                  </w:p>
                </w:tc>
                <w:tc>
                  <w:tcPr>
                    <w:tcW w:w="524"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-1,461,307.19</w:t>
                    </w:r>
                  </w:p>
                </w:tc>
                <w:tc>
                  <w:tcPr>
                    <w:tcW w:w="504"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-1,461,307.19</w:t>
                    </w:r>
                  </w:p>
                </w:tc>
                <w:tc>
                  <w:tcPr>
                    <w:tcW w:w="560"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3,773,513.88</w:t>
                    </w:r>
                  </w:p>
                </w:tc>
                <w:tc>
                  <w:tcPr>
                    <w:tcW w:w="524"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80,001,313.84</w:t>
                    </w:r>
                  </w:p>
                </w:tc>
                <w:tc>
                  <w:tcPr>
                    <w:tcW w:w="492"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-9,143,170.73</w:t>
                    </w:r>
                  </w:p>
                </w:tc>
                <w:tc>
                  <w:tcPr>
                    <w:tcW w:w="504"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-9,143,170.73</w:t>
                    </w:r>
                  </w:p>
                </w:tc>
                <w:tc>
                  <w:tcPr>
                    <w:tcW w:w="559"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9,336,194.64</w:t>
                    </w:r>
                  </w:p>
                </w:tc>
              </w:tr>
            </w:sdtContent>
          </w:sdt>
          <w:sdt>
            <w:sdtPr>
              <w:rPr>
                <w:rFonts w:ascii="Times New Roman" w:hAnsi="Times New Roman" w:cs="Times New Roman"/>
                <w:sz w:val="18"/>
                <w:szCs w:val="18"/>
              </w:rPr>
              <w:alias w:val="重要非全资子公司的主要财务信息明细"/>
              <w:tag w:val="_GBC_330f4405d49345f7b8f69770f6eb8b4a"/>
              <w:id w:val="865726699"/>
              <w:lock w:val="sdtLocked"/>
            </w:sdtPr>
            <w:sdtEndPr>
              <w:rPr>
                <w:rFonts w:ascii="Times New Roman" w:hAnsi="Times New Roman" w:cs="Times New Roman"/>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tcPr>
                  <w:p>
                    <w:pPr>
                      <w:spacing w:line="276" w:lineRule="auto"/>
                      <w:rPr>
                        <w:rFonts w:ascii="Times New Roman" w:hAnsi="Times New Roman" w:cs="Times New Roman"/>
                        <w:sz w:val="18"/>
                        <w:szCs w:val="18"/>
                      </w:rPr>
                    </w:pPr>
                    <w:r>
                      <w:rPr>
                        <w:rFonts w:ascii="Times New Roman" w:cs="Times New Roman"/>
                        <w:sz w:val="18"/>
                        <w:szCs w:val="18"/>
                      </w:rPr>
                      <w:t>两面针（江苏）实业有限公司</w:t>
                    </w:r>
                  </w:p>
                </w:tc>
                <w:tc>
                  <w:tcPr>
                    <w:tcW w:w="792"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450,816,576.50</w:t>
                    </w:r>
                  </w:p>
                </w:tc>
                <w:tc>
                  <w:tcPr>
                    <w:tcW w:w="524"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11,652,212.79</w:t>
                    </w:r>
                  </w:p>
                </w:tc>
                <w:tc>
                  <w:tcPr>
                    <w:tcW w:w="504"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11,652,212.79</w:t>
                    </w:r>
                  </w:p>
                </w:tc>
                <w:tc>
                  <w:tcPr>
                    <w:tcW w:w="560"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-17,947,311.59</w:t>
                    </w:r>
                  </w:p>
                </w:tc>
                <w:tc>
                  <w:tcPr>
                    <w:tcW w:w="524"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426,274,962.13</w:t>
                    </w:r>
                  </w:p>
                </w:tc>
                <w:tc>
                  <w:tcPr>
                    <w:tcW w:w="492"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13,755,801.76</w:t>
                    </w:r>
                  </w:p>
                </w:tc>
                <w:tc>
                  <w:tcPr>
                    <w:tcW w:w="504"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13,755,801.76</w:t>
                    </w:r>
                  </w:p>
                </w:tc>
                <w:tc>
                  <w:tcPr>
                    <w:tcW w:w="559" w:type="pct"/>
                    <w:vAlign w:val="center"/>
                  </w:tcPr>
                  <w:p>
                    <w:pPr>
                      <w:spacing w:line="276" w:lineRule="auto"/>
                      <w:jc w:val="right"/>
                      <w:rPr>
                        <w:rFonts w:ascii="Times New Roman" w:hAnsi="Times New Roman" w:cs="Times New Roman"/>
                        <w:sz w:val="18"/>
                        <w:szCs w:val="18"/>
                      </w:rPr>
                    </w:pPr>
                    <w:r>
                      <w:rPr>
                        <w:rFonts w:ascii="Times New Roman" w:hAnsi="Times New Roman" w:cs="Times New Roman"/>
                        <w:sz w:val="18"/>
                        <w:szCs w:val="18"/>
                      </w:rPr>
                      <w:t>30,015,350.87</w:t>
                    </w:r>
                  </w:p>
                </w:tc>
              </w:tr>
            </w:sdtContent>
          </w:sdt>
        </w:tbl>
      </w:sdtContent>
    </w:sdt>
    <w:p>
      <w:pPr>
        <w:rPr>
          <w:rFonts w:cs="Arial"/>
          <w:szCs w:val="21"/>
        </w:rPr>
        <w:sectPr>
          <w:pgSz w:w="16838" w:h="11906" w:orient="landscape"/>
          <w:pgMar w:top="1276" w:right="1440" w:bottom="1797" w:left="1525" w:header="856" w:footer="992" w:gutter="0"/>
          <w:cols w:space="425" w:num="1"/>
          <w:docGrid w:linePitch="312" w:charSpace="0"/>
        </w:sectPr>
      </w:pPr>
    </w:p>
    <w:p>
      <w:pPr>
        <w:rPr>
          <w:rFonts w:cs="Arial"/>
          <w:szCs w:val="21"/>
        </w:rPr>
      </w:pPr>
    </w:p>
    <w:sdt>
      <w:sdtPr>
        <w:rPr>
          <w:rFonts w:hint="eastAsia" w:ascii="宋体" w:hAnsi="宋体" w:eastAsia="宋体" w:cs="宋体"/>
          <w:b w:val="0"/>
          <w:bCs w:val="0"/>
          <w:kern w:val="0"/>
          <w:szCs w:val="24"/>
        </w:rPr>
        <w:alias w:val="模块:使用企业集团资产和清偿企业集团债务的重大限制"/>
        <w:tag w:val="_GBC_573fe5c9daf0401da00d8fc5198daf66"/>
        <w:id w:val="865726703"/>
        <w:lock w:val="sdtLocked"/>
        <w:placeholder>
          <w:docPart w:val="GBC22222222222222222222222222222"/>
        </w:placeholder>
      </w:sdtPr>
      <w:sdtEndPr>
        <w:rPr>
          <w:rFonts w:hint="eastAsia" w:ascii="宋体" w:hAnsi="宋体" w:eastAsia="宋体" w:cs="Arial"/>
          <w:b w:val="0"/>
          <w:bCs w:val="0"/>
          <w:kern w:val="0"/>
          <w:szCs w:val="21"/>
        </w:rPr>
      </w:sdtEndPr>
      <w:sdtContent>
        <w:p>
          <w:pPr>
            <w:pStyle w:val="5"/>
            <w:numPr>
              <w:ilvl w:val="3"/>
              <w:numId w:val="118"/>
            </w:numPr>
            <w:ind w:left="424" w:hanging="424" w:hangingChars="202"/>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865726702"/>
            <w:lock w:val="sdtLocked"/>
            <w:placeholder>
              <w:docPart w:val="GBC22222222222222222222222222222"/>
            </w:placeholder>
          </w:sdtPr>
          <w:sdtContent>
            <w:p>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Arial"/>
          <w:szCs w:val="21"/>
        </w:rPr>
      </w:pPr>
    </w:p>
    <w:sdt>
      <w:sdtPr>
        <w:rPr>
          <w:rFonts w:hint="eastAsia" w:ascii="宋体" w:hAnsi="宋体" w:eastAsia="宋体" w:cs="宋体"/>
          <w:b w:val="0"/>
          <w:bCs w:val="0"/>
          <w:kern w:val="0"/>
          <w:szCs w:val="24"/>
        </w:rPr>
        <w:alias w:val="模块:向纳入合并财务报表范围的结构化主体提供的财务支持或其他支持"/>
        <w:tag w:val="_GBC_114877d69a2e4b56b15fb618155127e3"/>
        <w:id w:val="865726705"/>
        <w:lock w:val="sdtLocked"/>
        <w:placeholder>
          <w:docPart w:val="GBC22222222222222222222222222222"/>
        </w:placeholder>
      </w:sdtPr>
      <w:sdtEndPr>
        <w:rPr>
          <w:rFonts w:hint="eastAsia" w:ascii="宋体" w:hAnsi="宋体" w:eastAsia="宋体" w:cs="Arial"/>
          <w:b w:val="0"/>
          <w:bCs w:val="0"/>
          <w:kern w:val="0"/>
          <w:szCs w:val="21"/>
        </w:rPr>
      </w:sdtEndPr>
      <w:sdtContent>
        <w:p>
          <w:pPr>
            <w:pStyle w:val="5"/>
            <w:numPr>
              <w:ilvl w:val="3"/>
              <w:numId w:val="118"/>
            </w:numPr>
            <w:ind w:left="424" w:hanging="424" w:hangingChars="202"/>
          </w:pPr>
          <w:r>
            <w:rPr>
              <w:rFonts w:hint="eastAsia"/>
            </w:rPr>
            <w:t>向纳入合并财务报表范围的结构化主体提供的财务支持或其他支持</w:t>
          </w:r>
        </w:p>
        <w:sdt>
          <w:sdtPr>
            <w:rPr>
              <w:rFonts w:hint="eastAsia" w:cs="Arial"/>
              <w:szCs w:val="21"/>
            </w:rPr>
            <w:alias w:val="是否适用：向纳入合并财务报表范围的结构化主体提供的财务支持或其他支持[双击切换]"/>
            <w:tag w:val="_GBC_395393741a9c49d1bd1b845f818ade1e"/>
            <w:id w:val="865726704"/>
            <w:lock w:val="sdtLocked"/>
            <w:placeholder>
              <w:docPart w:val="GBC22222222222222222222222222222"/>
            </w:placeholder>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pPr>
        <w:rPr>
          <w:rFonts w:cs="Arial"/>
          <w:b/>
          <w:szCs w:val="21"/>
        </w:rPr>
      </w:pPr>
    </w:p>
    <w:sdt>
      <w:sdtPr>
        <w:rPr>
          <w:szCs w:val="21"/>
        </w:rPr>
        <w:alias w:val="模块:在子公司中的权益其他说明"/>
        <w:tag w:val="_GBC_a0f68dc0a3a24efaa431a8c8d768eb0f"/>
        <w:id w:val="865726707"/>
        <w:lock w:val="sdtLocked"/>
        <w:placeholder>
          <w:docPart w:val="GBC22222222222222222222222222222"/>
        </w:placeholder>
      </w:sdtPr>
      <w:sdtEndPr>
        <w:rPr>
          <w:szCs w:val="21"/>
        </w:rPr>
      </w:sdtEndPr>
      <w:sdtContent>
        <w:p>
          <w:pPr>
            <w:rPr>
              <w:szCs w:val="21"/>
            </w:rPr>
          </w:pPr>
          <w:r>
            <w:rPr>
              <w:rFonts w:hint="eastAsia"/>
              <w:szCs w:val="21"/>
            </w:rPr>
            <w:t>其他说明：</w:t>
          </w:r>
        </w:p>
        <w:sdt>
          <w:sdtPr>
            <w:rPr>
              <w:szCs w:val="21"/>
            </w:rPr>
            <w:alias w:val="是否适用：在子公司中的权益其他说明[双击切换]"/>
            <w:tag w:val="_GBC_b26ad9d381c8467f9c05b435b2cb6493"/>
            <w:id w:val="86572670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2"/>
          <w:numId w:val="117"/>
        </w:numPr>
        <w:rPr>
          <w:rFonts w:ascii="宋体" w:hAnsi="宋体" w:cs="Arial"/>
          <w:szCs w:val="21"/>
        </w:rPr>
      </w:pPr>
      <w:r>
        <w:rPr>
          <w:rFonts w:hint="eastAsia" w:ascii="宋体" w:hAnsi="宋体" w:cs="Arial"/>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865726708"/>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4"/>
        <w:numPr>
          <w:ilvl w:val="2"/>
          <w:numId w:val="117"/>
        </w:numPr>
        <w:rPr>
          <w:rFonts w:ascii="宋体" w:hAnsi="宋体" w:cs="Arial"/>
          <w:szCs w:val="21"/>
        </w:rPr>
      </w:pPr>
      <w:r>
        <w:rPr>
          <w:rFonts w:hint="eastAsia" w:ascii="宋体" w:hAnsi="宋体" w:cs="Arial"/>
          <w:szCs w:val="21"/>
        </w:rPr>
        <w:t>在合营企业或联营企业中的权益</w:t>
      </w:r>
    </w:p>
    <w:sdt>
      <w:sdtPr>
        <w:alias w:val="是否适用：在合营企业或联营企业中的权益[双击切换]"/>
        <w:tag w:val="_GBC_2bff91875b7a49f3929c4613048756c1"/>
        <w:id w:val="86572670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eastAsia="宋体" w:cs="宋体"/>
          <w:b w:val="0"/>
          <w:bCs w:val="0"/>
          <w:kern w:val="0"/>
          <w:szCs w:val="24"/>
        </w:rPr>
        <w:alias w:val="模块:重要的合营企业或联营企业"/>
        <w:tag w:val="_GBC_49e4a749316a464e89485cda5774fc07"/>
        <w:id w:val="865726728"/>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5"/>
            <w:numPr>
              <w:ilvl w:val="3"/>
              <w:numId w:val="119"/>
            </w:numPr>
            <w:ind w:left="424" w:hanging="424" w:hangingChars="202"/>
          </w:pPr>
          <w:r>
            <w:rPr>
              <w:rFonts w:hint="eastAsia"/>
            </w:rPr>
            <w:t>重要的合营企业或联营企业</w:t>
          </w:r>
        </w:p>
        <w:sdt>
          <w:sdtPr>
            <w:rPr>
              <w:rFonts w:hint="eastAsia"/>
            </w:rPr>
            <w:alias w:val="是否适用：重要的合营企业或联营企业[双击切换]"/>
            <w:tag w:val="_GBC_99df64ed4bb84c2da5fb54cda5ae039b"/>
            <w:id w:val="865726710"/>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合营企业或联营企业"/>
              <w:tag w:val="_GBC_fc95ad35f9984b0c84fb2b12ebeb41db"/>
              <w:id w:val="8657267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8657267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1329"/>
            <w:gridCol w:w="1251"/>
            <w:gridCol w:w="1292"/>
            <w:gridCol w:w="1061"/>
            <w:gridCol w:w="1093"/>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sdt>
              <w:sdtPr>
                <w:rPr>
                  <w:rFonts w:ascii="Times New Roman" w:hAnsi="Times New Roman" w:cs="Times New Roman"/>
                </w:rPr>
                <w:tag w:val="_PLD_6004d65b7e3443dc82381484e3885a6b"/>
                <w:id w:val="865726713"/>
                <w:lock w:val="sdtLocked"/>
              </w:sdtPr>
              <w:sdtEndPr>
                <w:rPr>
                  <w:rFonts w:ascii="Times New Roman" w:hAnsi="Times New Roman" w:cs="Times New Roman"/>
                </w:rPr>
              </w:sdtEndPr>
              <w:sdtContent>
                <w:tc>
                  <w:tcPr>
                    <w:tcW w:w="667"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lang w:val="en-GB"/>
                      </w:rPr>
                      <w:t>合营企业或联营企业名称</w:t>
                    </w:r>
                  </w:p>
                </w:tc>
              </w:sdtContent>
            </w:sdt>
            <w:sdt>
              <w:sdtPr>
                <w:rPr>
                  <w:rFonts w:ascii="Times New Roman" w:hAnsi="Times New Roman" w:cs="Times New Roman"/>
                </w:rPr>
                <w:tag w:val="_PLD_2e148655e91e4b998bd7a7d0b10c96fd"/>
                <w:id w:val="865726714"/>
                <w:lock w:val="sdtLocked"/>
              </w:sdtPr>
              <w:sdtEndPr>
                <w:rPr>
                  <w:rFonts w:ascii="Times New Roman" w:hAnsi="Times New Roman" w:cs="Times New Roman"/>
                </w:rPr>
              </w:sdtEndPr>
              <w:sdtContent>
                <w:tc>
                  <w:tcPr>
                    <w:tcW w:w="734"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lang w:val="en-GB"/>
                      </w:rPr>
                      <w:t>主要经营地</w:t>
                    </w:r>
                  </w:p>
                </w:tc>
              </w:sdtContent>
            </w:sdt>
            <w:sdt>
              <w:sdtPr>
                <w:rPr>
                  <w:rFonts w:ascii="Times New Roman" w:hAnsi="Times New Roman" w:cs="Times New Roman"/>
                </w:rPr>
                <w:tag w:val="_PLD_32e2714eb7074350886ae0d40b5c34b1"/>
                <w:id w:val="865726715"/>
                <w:lock w:val="sdtLocked"/>
              </w:sdtPr>
              <w:sdtEndPr>
                <w:rPr>
                  <w:rFonts w:ascii="Times New Roman" w:hAnsi="Times New Roman" w:cs="Times New Roman"/>
                </w:rPr>
              </w:sdtEndPr>
              <w:sdtContent>
                <w:tc>
                  <w:tcPr>
                    <w:tcW w:w="691"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lang w:val="en-GB"/>
                      </w:rPr>
                      <w:t>注册地</w:t>
                    </w:r>
                  </w:p>
                </w:tc>
              </w:sdtContent>
            </w:sdt>
            <w:sdt>
              <w:sdtPr>
                <w:rPr>
                  <w:rFonts w:ascii="Times New Roman" w:hAnsi="Times New Roman" w:cs="Times New Roman"/>
                </w:rPr>
                <w:tag w:val="_PLD_d429c77b8bef473a98608606ebcd4d75"/>
                <w:id w:val="865726716"/>
                <w:lock w:val="sdtLocked"/>
              </w:sdtPr>
              <w:sdtEndPr>
                <w:rPr>
                  <w:rFonts w:ascii="Times New Roman" w:hAnsi="Times New Roman" w:cs="Times New Roman"/>
                </w:rPr>
              </w:sdtEndPr>
              <w:sdtContent>
                <w:tc>
                  <w:tcPr>
                    <w:tcW w:w="714"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lang w:val="en-GB"/>
                      </w:rPr>
                      <w:t>业务性质</w:t>
                    </w:r>
                  </w:p>
                </w:tc>
              </w:sdtContent>
            </w:sdt>
            <w:sdt>
              <w:sdtPr>
                <w:rPr>
                  <w:rFonts w:ascii="Times New Roman" w:hAnsi="Times New Roman" w:cs="Times New Roman"/>
                </w:rPr>
                <w:tag w:val="_PLD_bc055f9d5073401a85de2316f2a2b7ce"/>
                <w:id w:val="865726717"/>
                <w:lock w:val="sdtLocked"/>
              </w:sdtPr>
              <w:sdtEndPr>
                <w:rPr>
                  <w:rFonts w:ascii="Times New Roman" w:hAnsi="Times New Roman" w:cs="Times New Roman"/>
                </w:rPr>
              </w:sdtEndPr>
              <w:sdtContent>
                <w:tc>
                  <w:tcPr>
                    <w:tcW w:w="1190" w:type="pct"/>
                    <w:gridSpan w:val="2"/>
                    <w:shd w:val="clear" w:color="auto" w:fill="auto"/>
                    <w:vAlign w:val="center"/>
                  </w:tcPr>
                  <w:p>
                    <w:pPr>
                      <w:jc w:val="center"/>
                      <w:rPr>
                        <w:rFonts w:ascii="Times New Roman" w:hAnsi="Times New Roman" w:cs="Times New Roman"/>
                        <w:szCs w:val="21"/>
                      </w:rPr>
                    </w:pPr>
                    <w:r>
                      <w:rPr>
                        <w:rFonts w:ascii="Times New Roman" w:cs="Times New Roman"/>
                        <w:szCs w:val="21"/>
                        <w:lang w:val="en-GB"/>
                      </w:rPr>
                      <w:t>持股比例</w:t>
                    </w:r>
                    <w:r>
                      <w:rPr>
                        <w:rFonts w:ascii="Times New Roman" w:hAnsi="Times New Roman" w:cs="Times New Roman"/>
                        <w:szCs w:val="21"/>
                      </w:rPr>
                      <w:t>(%)</w:t>
                    </w:r>
                  </w:p>
                </w:tc>
              </w:sdtContent>
            </w:sdt>
            <w:sdt>
              <w:sdtPr>
                <w:rPr>
                  <w:rFonts w:ascii="Times New Roman" w:hAnsi="Times New Roman" w:cs="Times New Roman"/>
                </w:rPr>
                <w:tag w:val="_PLD_96c57a3220e8432f8deedb4873fcf29c"/>
                <w:id w:val="865726718"/>
                <w:lock w:val="sdtLocked"/>
              </w:sdtPr>
              <w:sdtEndPr>
                <w:rPr>
                  <w:rFonts w:ascii="Times New Roman" w:hAnsi="Times New Roman" w:cs="Times New Roman"/>
                </w:rPr>
              </w:sdtEndPr>
              <w:sdtContent>
                <w:tc>
                  <w:tcPr>
                    <w:tcW w:w="1003" w:type="pct"/>
                    <w:vMerge w:val="restart"/>
                    <w:shd w:val="clear" w:color="auto" w:fill="auto"/>
                    <w:vAlign w:val="center"/>
                  </w:tcPr>
                  <w:p>
                    <w:pPr>
                      <w:jc w:val="center"/>
                      <w:rPr>
                        <w:rFonts w:ascii="Times New Roman" w:hAnsi="Times New Roman" w:cs="Times New Roman"/>
                        <w:szCs w:val="21"/>
                      </w:rPr>
                    </w:pPr>
                    <w:r>
                      <w:rPr>
                        <w:rFonts w:ascii="Times New Roman" w:cs="Times New Roman"/>
                        <w:szCs w:val="21"/>
                        <w:lang w:val="en-GB"/>
                      </w:rPr>
                      <w:t>对合营企业或联营企业投资的会计处理方法</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67" w:type="pct"/>
                <w:vMerge w:val="continue"/>
                <w:shd w:val="clear" w:color="auto" w:fill="auto"/>
                <w:vAlign w:val="center"/>
              </w:tcPr>
              <w:p>
                <w:pPr>
                  <w:rPr>
                    <w:rFonts w:ascii="Times New Roman" w:hAnsi="Times New Roman" w:cs="Times New Roman"/>
                    <w:szCs w:val="21"/>
                  </w:rPr>
                </w:pPr>
              </w:p>
            </w:tc>
            <w:tc>
              <w:tcPr>
                <w:tcW w:w="734" w:type="pct"/>
                <w:vMerge w:val="continue"/>
                <w:shd w:val="clear" w:color="auto" w:fill="auto"/>
                <w:vAlign w:val="center"/>
              </w:tcPr>
              <w:p>
                <w:pPr>
                  <w:rPr>
                    <w:rFonts w:ascii="Times New Roman" w:hAnsi="Times New Roman" w:cs="Times New Roman"/>
                    <w:szCs w:val="21"/>
                  </w:rPr>
                </w:pPr>
              </w:p>
            </w:tc>
            <w:tc>
              <w:tcPr>
                <w:tcW w:w="691" w:type="pct"/>
                <w:vMerge w:val="continue"/>
                <w:shd w:val="clear" w:color="auto" w:fill="auto"/>
                <w:vAlign w:val="center"/>
              </w:tcPr>
              <w:p>
                <w:pPr>
                  <w:rPr>
                    <w:rFonts w:ascii="Times New Roman" w:hAnsi="Times New Roman" w:cs="Times New Roman"/>
                    <w:szCs w:val="21"/>
                  </w:rPr>
                </w:pPr>
              </w:p>
            </w:tc>
            <w:tc>
              <w:tcPr>
                <w:tcW w:w="714" w:type="pct"/>
                <w:vMerge w:val="continue"/>
                <w:shd w:val="clear" w:color="auto" w:fill="auto"/>
                <w:vAlign w:val="center"/>
              </w:tcPr>
              <w:p>
                <w:pPr>
                  <w:rPr>
                    <w:rFonts w:ascii="Times New Roman" w:hAnsi="Times New Roman" w:cs="Times New Roman"/>
                    <w:szCs w:val="21"/>
                  </w:rPr>
                </w:pPr>
              </w:p>
            </w:tc>
            <w:sdt>
              <w:sdtPr>
                <w:rPr>
                  <w:rFonts w:ascii="Times New Roman" w:hAnsi="Times New Roman" w:cs="Times New Roman"/>
                </w:rPr>
                <w:tag w:val="_PLD_076e5c9e7ab64e6db098592664f75c64"/>
                <w:id w:val="865726719"/>
                <w:lock w:val="sdtLocked"/>
              </w:sdtPr>
              <w:sdtEndPr>
                <w:rPr>
                  <w:rFonts w:ascii="Times New Roman" w:hAnsi="Times New Roman" w:cs="Times New Roman"/>
                </w:rPr>
              </w:sdtEndPr>
              <w:sdtContent>
                <w:tc>
                  <w:tcPr>
                    <w:tcW w:w="586" w:type="pct"/>
                    <w:shd w:val="clear" w:color="auto" w:fill="auto"/>
                    <w:vAlign w:val="center"/>
                  </w:tcPr>
                  <w:p>
                    <w:pPr>
                      <w:jc w:val="center"/>
                      <w:rPr>
                        <w:rFonts w:ascii="Times New Roman" w:hAnsi="Times New Roman" w:cs="Times New Roman"/>
                        <w:szCs w:val="21"/>
                      </w:rPr>
                    </w:pPr>
                    <w:r>
                      <w:rPr>
                        <w:rFonts w:ascii="Times New Roman" w:cs="Times New Roman"/>
                        <w:szCs w:val="21"/>
                        <w:lang w:val="en-GB"/>
                      </w:rPr>
                      <w:t>直接</w:t>
                    </w:r>
                  </w:p>
                </w:tc>
              </w:sdtContent>
            </w:sdt>
            <w:sdt>
              <w:sdtPr>
                <w:rPr>
                  <w:rFonts w:ascii="Times New Roman" w:hAnsi="Times New Roman" w:cs="Times New Roman"/>
                </w:rPr>
                <w:tag w:val="_PLD_49b77f1690ee4cc88f829d510135f0bf"/>
                <w:id w:val="865726720"/>
                <w:lock w:val="sdtLocked"/>
              </w:sdtPr>
              <w:sdtEndPr>
                <w:rPr>
                  <w:rFonts w:ascii="Times New Roman" w:hAnsi="Times New Roman" w:cs="Times New Roman"/>
                </w:rPr>
              </w:sdtEndPr>
              <w:sdtContent>
                <w:tc>
                  <w:tcPr>
                    <w:tcW w:w="604" w:type="pct"/>
                    <w:shd w:val="clear" w:color="auto" w:fill="auto"/>
                    <w:vAlign w:val="center"/>
                  </w:tcPr>
                  <w:p>
                    <w:pPr>
                      <w:jc w:val="center"/>
                      <w:rPr>
                        <w:rFonts w:ascii="Times New Roman" w:hAnsi="Times New Roman" w:cs="Times New Roman"/>
                        <w:szCs w:val="21"/>
                      </w:rPr>
                    </w:pPr>
                    <w:r>
                      <w:rPr>
                        <w:rFonts w:ascii="Times New Roman" w:cs="Times New Roman"/>
                        <w:szCs w:val="21"/>
                        <w:lang w:val="en-GB"/>
                      </w:rPr>
                      <w:t>间接</w:t>
                    </w:r>
                  </w:p>
                </w:tc>
              </w:sdtContent>
            </w:sdt>
            <w:tc>
              <w:tcPr>
                <w:tcW w:w="1003" w:type="pct"/>
                <w:vMerge w:val="continue"/>
                <w:vAlign w:val="center"/>
              </w:tcPr>
              <w:p>
                <w:pPr>
                  <w:rPr>
                    <w:rFonts w:ascii="Times New Roman" w:hAnsi="Times New Roman" w:cs="Times New Roman"/>
                    <w:szCs w:val="21"/>
                  </w:rPr>
                </w:pPr>
              </w:p>
            </w:tc>
          </w:tr>
          <w:sdt>
            <w:sdtPr>
              <w:rPr>
                <w:rFonts w:ascii="Times New Roman" w:hAnsi="Times New Roman" w:cs="Times New Roman"/>
                <w:szCs w:val="21"/>
              </w:rPr>
              <w:alias w:val="重要的合营企业或联营企业明细"/>
              <w:tag w:val="_GBC_a1baed559822472c8c78b05cadceb35a"/>
              <w:id w:val="865726721"/>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tcPr>
                  <w:p>
                    <w:pPr>
                      <w:rPr>
                        <w:rFonts w:ascii="Times New Roman" w:hAnsi="Times New Roman" w:cs="Times New Roman"/>
                        <w:szCs w:val="21"/>
                      </w:rPr>
                    </w:pPr>
                    <w:r>
                      <w:rPr>
                        <w:rFonts w:ascii="Times New Roman" w:cs="Times New Roman"/>
                      </w:rPr>
                      <w:t>成都同基医药有限公司</w:t>
                    </w:r>
                  </w:p>
                </w:tc>
                <w:tc>
                  <w:tcPr>
                    <w:tcW w:w="734" w:type="pct"/>
                    <w:vAlign w:val="center"/>
                  </w:tcPr>
                  <w:p>
                    <w:pPr>
                      <w:jc w:val="both"/>
                      <w:rPr>
                        <w:rFonts w:ascii="Times New Roman" w:hAnsi="Times New Roman" w:cs="Times New Roman"/>
                        <w:szCs w:val="21"/>
                      </w:rPr>
                    </w:pPr>
                    <w:r>
                      <w:rPr>
                        <w:rFonts w:ascii="Times New Roman" w:cs="Times New Roman"/>
                      </w:rPr>
                      <w:t>四川成都</w:t>
                    </w:r>
                  </w:p>
                </w:tc>
                <w:tc>
                  <w:tcPr>
                    <w:tcW w:w="691" w:type="pct"/>
                    <w:vAlign w:val="center"/>
                  </w:tcPr>
                  <w:p>
                    <w:pPr>
                      <w:jc w:val="both"/>
                      <w:rPr>
                        <w:rFonts w:ascii="Times New Roman" w:hAnsi="Times New Roman" w:cs="Times New Roman"/>
                        <w:szCs w:val="21"/>
                      </w:rPr>
                    </w:pPr>
                    <w:r>
                      <w:rPr>
                        <w:rFonts w:ascii="Times New Roman" w:cs="Times New Roman"/>
                      </w:rPr>
                      <w:t>四川成都</w:t>
                    </w:r>
                  </w:p>
                </w:tc>
                <w:tc>
                  <w:tcPr>
                    <w:tcW w:w="714" w:type="pct"/>
                    <w:vAlign w:val="center"/>
                  </w:tcPr>
                  <w:p>
                    <w:pPr>
                      <w:jc w:val="both"/>
                      <w:rPr>
                        <w:rFonts w:ascii="Times New Roman" w:hAnsi="Times New Roman" w:cs="Times New Roman"/>
                        <w:szCs w:val="21"/>
                      </w:rPr>
                    </w:pPr>
                    <w:r>
                      <w:rPr>
                        <w:rFonts w:ascii="Times New Roman" w:cs="Times New Roman"/>
                      </w:rPr>
                      <w:t>商业</w:t>
                    </w:r>
                  </w:p>
                </w:tc>
                <w:tc>
                  <w:tcPr>
                    <w:tcW w:w="586" w:type="pct"/>
                    <w:vAlign w:val="center"/>
                  </w:tcPr>
                  <w:p>
                    <w:pPr>
                      <w:jc w:val="center"/>
                      <w:rPr>
                        <w:rFonts w:ascii="Times New Roman" w:hAnsi="Times New Roman" w:cs="Times New Roman"/>
                        <w:szCs w:val="21"/>
                      </w:rPr>
                    </w:pPr>
                  </w:p>
                </w:tc>
                <w:tc>
                  <w:tcPr>
                    <w:tcW w:w="604" w:type="pct"/>
                    <w:vAlign w:val="center"/>
                  </w:tcPr>
                  <w:p>
                    <w:pPr>
                      <w:jc w:val="center"/>
                      <w:rPr>
                        <w:rFonts w:ascii="Times New Roman" w:hAnsi="Times New Roman" w:cs="Times New Roman"/>
                        <w:szCs w:val="21"/>
                      </w:rPr>
                    </w:pPr>
                    <w:r>
                      <w:rPr>
                        <w:rFonts w:ascii="Times New Roman" w:hAnsi="Times New Roman" w:cs="Times New Roman"/>
                      </w:rPr>
                      <w:t>35</w:t>
                    </w:r>
                  </w:p>
                </w:tc>
                <w:tc>
                  <w:tcPr>
                    <w:tcW w:w="1003" w:type="pct"/>
                    <w:vAlign w:val="center"/>
                  </w:tcPr>
                  <w:p>
                    <w:pPr>
                      <w:jc w:val="right"/>
                      <w:rPr>
                        <w:rFonts w:ascii="Times New Roman" w:hAnsi="Times New Roman" w:cs="Times New Roman"/>
                        <w:szCs w:val="21"/>
                      </w:rPr>
                    </w:pPr>
                    <w:r>
                      <w:rPr>
                        <w:rFonts w:ascii="Times New Roman" w:cs="Times New Roman"/>
                      </w:rPr>
                      <w:t>权益法</w:t>
                    </w:r>
                  </w:p>
                </w:tc>
              </w:tr>
            </w:sdtContent>
          </w:sdt>
          <w:sdt>
            <w:sdtPr>
              <w:rPr>
                <w:rFonts w:ascii="Times New Roman" w:hAnsi="Times New Roman" w:cs="Times New Roman"/>
                <w:szCs w:val="21"/>
              </w:rPr>
              <w:alias w:val="重要的合营企业或联营企业明细"/>
              <w:tag w:val="_GBC_a1baed559822472c8c78b05cadceb35a"/>
              <w:id w:val="86572672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tcPr>
                  <w:p>
                    <w:pPr>
                      <w:rPr>
                        <w:rFonts w:ascii="Times New Roman" w:hAnsi="Times New Roman" w:cs="Times New Roman"/>
                        <w:szCs w:val="21"/>
                      </w:rPr>
                    </w:pPr>
                    <w:r>
                      <w:rPr>
                        <w:rFonts w:ascii="Times New Roman" w:cs="Times New Roman"/>
                      </w:rPr>
                      <w:t>广西亿康南药药业种植有限责任公司</w:t>
                    </w:r>
                  </w:p>
                </w:tc>
                <w:tc>
                  <w:tcPr>
                    <w:tcW w:w="734" w:type="pct"/>
                    <w:vAlign w:val="center"/>
                  </w:tcPr>
                  <w:p>
                    <w:pPr>
                      <w:jc w:val="both"/>
                      <w:rPr>
                        <w:rFonts w:ascii="Times New Roman" w:hAnsi="Times New Roman" w:cs="Times New Roman"/>
                        <w:szCs w:val="21"/>
                      </w:rPr>
                    </w:pPr>
                    <w:r>
                      <w:rPr>
                        <w:rFonts w:ascii="Times New Roman" w:cs="Times New Roman"/>
                      </w:rPr>
                      <w:t>广西融水县</w:t>
                    </w:r>
                  </w:p>
                </w:tc>
                <w:tc>
                  <w:tcPr>
                    <w:tcW w:w="691" w:type="pct"/>
                    <w:vAlign w:val="center"/>
                  </w:tcPr>
                  <w:p>
                    <w:pPr>
                      <w:jc w:val="both"/>
                      <w:rPr>
                        <w:rFonts w:ascii="Times New Roman" w:hAnsi="Times New Roman" w:cs="Times New Roman"/>
                        <w:szCs w:val="21"/>
                      </w:rPr>
                    </w:pPr>
                    <w:r>
                      <w:rPr>
                        <w:rFonts w:ascii="Times New Roman" w:cs="Times New Roman"/>
                      </w:rPr>
                      <w:t>广西融水县</w:t>
                    </w:r>
                  </w:p>
                </w:tc>
                <w:tc>
                  <w:tcPr>
                    <w:tcW w:w="714" w:type="pct"/>
                    <w:vAlign w:val="center"/>
                  </w:tcPr>
                  <w:p>
                    <w:pPr>
                      <w:jc w:val="both"/>
                      <w:rPr>
                        <w:rFonts w:ascii="Times New Roman" w:hAnsi="Times New Roman" w:cs="Times New Roman"/>
                        <w:szCs w:val="21"/>
                      </w:rPr>
                    </w:pPr>
                    <w:r>
                      <w:rPr>
                        <w:rFonts w:ascii="Times New Roman" w:cs="Times New Roman"/>
                      </w:rPr>
                      <w:t>制造业</w:t>
                    </w:r>
                  </w:p>
                </w:tc>
                <w:tc>
                  <w:tcPr>
                    <w:tcW w:w="586" w:type="pct"/>
                    <w:vAlign w:val="center"/>
                  </w:tcPr>
                  <w:p>
                    <w:pPr>
                      <w:jc w:val="center"/>
                      <w:rPr>
                        <w:rFonts w:ascii="Times New Roman" w:hAnsi="Times New Roman" w:cs="Times New Roman"/>
                        <w:szCs w:val="21"/>
                      </w:rPr>
                    </w:pPr>
                  </w:p>
                </w:tc>
                <w:tc>
                  <w:tcPr>
                    <w:tcW w:w="604" w:type="pct"/>
                    <w:vAlign w:val="center"/>
                  </w:tcPr>
                  <w:p>
                    <w:pPr>
                      <w:jc w:val="center"/>
                      <w:rPr>
                        <w:rFonts w:ascii="Times New Roman" w:hAnsi="Times New Roman" w:cs="Times New Roman"/>
                        <w:szCs w:val="21"/>
                      </w:rPr>
                    </w:pPr>
                    <w:r>
                      <w:rPr>
                        <w:rFonts w:ascii="Times New Roman" w:hAnsi="Times New Roman" w:cs="Times New Roman"/>
                      </w:rPr>
                      <w:t>40</w:t>
                    </w:r>
                  </w:p>
                </w:tc>
                <w:tc>
                  <w:tcPr>
                    <w:tcW w:w="1003" w:type="pct"/>
                    <w:vAlign w:val="center"/>
                  </w:tcPr>
                  <w:p>
                    <w:pPr>
                      <w:jc w:val="right"/>
                      <w:rPr>
                        <w:rFonts w:ascii="Times New Roman" w:hAnsi="Times New Roman" w:cs="Times New Roman"/>
                        <w:szCs w:val="21"/>
                      </w:rPr>
                    </w:pPr>
                    <w:r>
                      <w:rPr>
                        <w:rFonts w:ascii="Times New Roman" w:cs="Times New Roman"/>
                      </w:rPr>
                      <w:t>权益法</w:t>
                    </w:r>
                  </w:p>
                </w:tc>
              </w:tr>
            </w:sdtContent>
          </w:sdt>
          <w:sdt>
            <w:sdtPr>
              <w:rPr>
                <w:rFonts w:ascii="Times New Roman" w:hAnsi="Times New Roman" w:cs="Times New Roman"/>
                <w:szCs w:val="21"/>
              </w:rPr>
              <w:alias w:val="重要的合营企业或联营企业明细"/>
              <w:tag w:val="_GBC_a1baed559822472c8c78b05cadceb35a"/>
              <w:id w:val="86572672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tcPr>
                  <w:p>
                    <w:pPr>
                      <w:rPr>
                        <w:rFonts w:ascii="Times New Roman" w:hAnsi="Times New Roman" w:cs="Times New Roman"/>
                        <w:szCs w:val="21"/>
                      </w:rPr>
                    </w:pPr>
                    <w:r>
                      <w:rPr>
                        <w:rFonts w:ascii="Times New Roman" w:cs="Times New Roman"/>
                      </w:rPr>
                      <w:t>柳州市玉洁口腔卫生用品有限责任公司</w:t>
                    </w:r>
                  </w:p>
                </w:tc>
                <w:tc>
                  <w:tcPr>
                    <w:tcW w:w="734" w:type="pct"/>
                    <w:vAlign w:val="center"/>
                  </w:tcPr>
                  <w:p>
                    <w:pPr>
                      <w:jc w:val="both"/>
                      <w:rPr>
                        <w:rFonts w:ascii="Times New Roman" w:hAnsi="Times New Roman" w:cs="Times New Roman"/>
                        <w:szCs w:val="21"/>
                      </w:rPr>
                    </w:pPr>
                    <w:r>
                      <w:rPr>
                        <w:rFonts w:ascii="Times New Roman" w:cs="Times New Roman"/>
                      </w:rPr>
                      <w:t>广西柳州市</w:t>
                    </w:r>
                  </w:p>
                </w:tc>
                <w:tc>
                  <w:tcPr>
                    <w:tcW w:w="691" w:type="pct"/>
                    <w:vAlign w:val="center"/>
                  </w:tcPr>
                  <w:p>
                    <w:pPr>
                      <w:jc w:val="both"/>
                      <w:rPr>
                        <w:rFonts w:ascii="Times New Roman" w:hAnsi="Times New Roman" w:cs="Times New Roman"/>
                        <w:szCs w:val="21"/>
                      </w:rPr>
                    </w:pPr>
                    <w:r>
                      <w:rPr>
                        <w:rFonts w:ascii="Times New Roman" w:cs="Times New Roman"/>
                      </w:rPr>
                      <w:t>广西柳州市</w:t>
                    </w:r>
                  </w:p>
                </w:tc>
                <w:tc>
                  <w:tcPr>
                    <w:tcW w:w="714" w:type="pct"/>
                    <w:vAlign w:val="center"/>
                  </w:tcPr>
                  <w:p>
                    <w:pPr>
                      <w:jc w:val="both"/>
                      <w:rPr>
                        <w:rFonts w:ascii="Times New Roman" w:hAnsi="Times New Roman" w:cs="Times New Roman"/>
                        <w:szCs w:val="21"/>
                      </w:rPr>
                    </w:pPr>
                    <w:r>
                      <w:rPr>
                        <w:rFonts w:ascii="Times New Roman" w:cs="Times New Roman"/>
                      </w:rPr>
                      <w:t>制造业</w:t>
                    </w:r>
                  </w:p>
                </w:tc>
                <w:tc>
                  <w:tcPr>
                    <w:tcW w:w="586" w:type="pct"/>
                    <w:vAlign w:val="center"/>
                  </w:tcPr>
                  <w:p>
                    <w:pPr>
                      <w:jc w:val="center"/>
                      <w:rPr>
                        <w:rFonts w:ascii="Times New Roman" w:hAnsi="Times New Roman" w:cs="Times New Roman"/>
                        <w:szCs w:val="21"/>
                      </w:rPr>
                    </w:pPr>
                    <w:r>
                      <w:rPr>
                        <w:rFonts w:ascii="Times New Roman" w:hAnsi="Times New Roman" w:cs="Times New Roman"/>
                      </w:rPr>
                      <w:t>40</w:t>
                    </w:r>
                  </w:p>
                </w:tc>
                <w:tc>
                  <w:tcPr>
                    <w:tcW w:w="604" w:type="pct"/>
                    <w:vAlign w:val="center"/>
                  </w:tcPr>
                  <w:p>
                    <w:pPr>
                      <w:jc w:val="center"/>
                      <w:rPr>
                        <w:rFonts w:ascii="Times New Roman" w:hAnsi="Times New Roman" w:cs="Times New Roman"/>
                        <w:szCs w:val="21"/>
                      </w:rPr>
                    </w:pPr>
                  </w:p>
                </w:tc>
                <w:tc>
                  <w:tcPr>
                    <w:tcW w:w="1003" w:type="pct"/>
                    <w:vAlign w:val="center"/>
                  </w:tcPr>
                  <w:p>
                    <w:pPr>
                      <w:jc w:val="right"/>
                      <w:rPr>
                        <w:rFonts w:ascii="Times New Roman" w:hAnsi="Times New Roman" w:cs="Times New Roman"/>
                        <w:szCs w:val="21"/>
                      </w:rPr>
                    </w:pPr>
                    <w:r>
                      <w:rPr>
                        <w:rFonts w:ascii="Times New Roman" w:cs="Times New Roman"/>
                      </w:rPr>
                      <w:t>权益法</w:t>
                    </w:r>
                  </w:p>
                </w:tc>
              </w:tr>
            </w:sdtContent>
          </w:sdt>
          <w:sdt>
            <w:sdtPr>
              <w:rPr>
                <w:rFonts w:ascii="Times New Roman" w:hAnsi="Times New Roman" w:cs="Times New Roman"/>
                <w:szCs w:val="21"/>
              </w:rPr>
              <w:alias w:val="重要的合营企业或联营企业明细"/>
              <w:tag w:val="_GBC_a1baed559822472c8c78b05cadceb35a"/>
              <w:id w:val="86572672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tcPr>
                  <w:p>
                    <w:pPr>
                      <w:rPr>
                        <w:rFonts w:ascii="Times New Roman" w:hAnsi="Times New Roman" w:cs="Times New Roman"/>
                        <w:szCs w:val="21"/>
                      </w:rPr>
                    </w:pPr>
                    <w:r>
                      <w:rPr>
                        <w:rFonts w:ascii="Times New Roman" w:cs="Times New Roman"/>
                      </w:rPr>
                      <w:t>广西两面针九洲房地产开发有限公司</w:t>
                    </w:r>
                  </w:p>
                </w:tc>
                <w:tc>
                  <w:tcPr>
                    <w:tcW w:w="734" w:type="pct"/>
                    <w:vAlign w:val="center"/>
                  </w:tcPr>
                  <w:p>
                    <w:pPr>
                      <w:jc w:val="both"/>
                      <w:rPr>
                        <w:rFonts w:ascii="Times New Roman" w:hAnsi="Times New Roman" w:cs="Times New Roman"/>
                        <w:szCs w:val="21"/>
                      </w:rPr>
                    </w:pPr>
                    <w:r>
                      <w:rPr>
                        <w:rFonts w:ascii="Times New Roman" w:cs="Times New Roman"/>
                      </w:rPr>
                      <w:t>广西柳州市</w:t>
                    </w:r>
                  </w:p>
                </w:tc>
                <w:tc>
                  <w:tcPr>
                    <w:tcW w:w="691" w:type="pct"/>
                    <w:vAlign w:val="center"/>
                  </w:tcPr>
                  <w:p>
                    <w:pPr>
                      <w:jc w:val="both"/>
                      <w:rPr>
                        <w:rFonts w:ascii="Times New Roman" w:hAnsi="Times New Roman" w:cs="Times New Roman"/>
                        <w:szCs w:val="21"/>
                      </w:rPr>
                    </w:pPr>
                    <w:r>
                      <w:rPr>
                        <w:rFonts w:ascii="Times New Roman" w:cs="Times New Roman"/>
                      </w:rPr>
                      <w:t>广西柳州市</w:t>
                    </w:r>
                  </w:p>
                </w:tc>
                <w:tc>
                  <w:tcPr>
                    <w:tcW w:w="714" w:type="pct"/>
                    <w:vAlign w:val="center"/>
                  </w:tcPr>
                  <w:p>
                    <w:pPr>
                      <w:jc w:val="both"/>
                      <w:rPr>
                        <w:rFonts w:ascii="Times New Roman" w:hAnsi="Times New Roman" w:cs="Times New Roman"/>
                        <w:szCs w:val="21"/>
                      </w:rPr>
                    </w:pPr>
                    <w:r>
                      <w:rPr>
                        <w:rFonts w:ascii="Times New Roman" w:cs="Times New Roman"/>
                      </w:rPr>
                      <w:t>房地产</w:t>
                    </w:r>
                  </w:p>
                </w:tc>
                <w:tc>
                  <w:tcPr>
                    <w:tcW w:w="586" w:type="pct"/>
                    <w:vAlign w:val="center"/>
                  </w:tcPr>
                  <w:p>
                    <w:pPr>
                      <w:jc w:val="center"/>
                      <w:rPr>
                        <w:rFonts w:ascii="Times New Roman" w:hAnsi="Times New Roman" w:cs="Times New Roman"/>
                        <w:szCs w:val="21"/>
                      </w:rPr>
                    </w:pPr>
                    <w:r>
                      <w:rPr>
                        <w:rFonts w:ascii="Times New Roman" w:hAnsi="Times New Roman" w:cs="Times New Roman"/>
                      </w:rPr>
                      <w:t>41</w:t>
                    </w:r>
                  </w:p>
                </w:tc>
                <w:tc>
                  <w:tcPr>
                    <w:tcW w:w="604" w:type="pct"/>
                    <w:vAlign w:val="center"/>
                  </w:tcPr>
                  <w:p>
                    <w:pPr>
                      <w:jc w:val="center"/>
                      <w:rPr>
                        <w:rFonts w:ascii="Times New Roman" w:hAnsi="Times New Roman" w:cs="Times New Roman"/>
                        <w:szCs w:val="21"/>
                      </w:rPr>
                    </w:pPr>
                  </w:p>
                </w:tc>
                <w:tc>
                  <w:tcPr>
                    <w:tcW w:w="1003" w:type="pct"/>
                    <w:vAlign w:val="center"/>
                  </w:tcPr>
                  <w:p>
                    <w:pPr>
                      <w:jc w:val="right"/>
                      <w:rPr>
                        <w:rFonts w:ascii="Times New Roman" w:hAnsi="Times New Roman" w:cs="Times New Roman"/>
                        <w:szCs w:val="21"/>
                      </w:rPr>
                    </w:pPr>
                    <w:r>
                      <w:rPr>
                        <w:rFonts w:ascii="Times New Roman" w:cs="Times New Roman"/>
                      </w:rPr>
                      <w:t>权益法</w:t>
                    </w:r>
                  </w:p>
                </w:tc>
              </w:tr>
            </w:sdtContent>
          </w:sdt>
          <w:sdt>
            <w:sdtPr>
              <w:rPr>
                <w:rFonts w:ascii="Times New Roman" w:hAnsi="Times New Roman" w:cs="Times New Roman"/>
                <w:szCs w:val="21"/>
              </w:rPr>
              <w:alias w:val="重要的合营企业或联营企业明细"/>
              <w:tag w:val="_GBC_a1baed559822472c8c78b05cadceb35a"/>
              <w:id w:val="86572672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tcPr>
                  <w:p>
                    <w:pPr>
                      <w:rPr>
                        <w:rFonts w:ascii="Times New Roman" w:hAnsi="Times New Roman" w:cs="Times New Roman"/>
                        <w:szCs w:val="21"/>
                      </w:rPr>
                    </w:pPr>
                    <w:r>
                      <w:rPr>
                        <w:rFonts w:ascii="Times New Roman" w:cs="Times New Roman"/>
                      </w:rPr>
                      <w:t>柳州两面针洗涤用品厂</w:t>
                    </w:r>
                  </w:p>
                </w:tc>
                <w:tc>
                  <w:tcPr>
                    <w:tcW w:w="734" w:type="pct"/>
                    <w:vAlign w:val="center"/>
                  </w:tcPr>
                  <w:p>
                    <w:pPr>
                      <w:jc w:val="both"/>
                      <w:rPr>
                        <w:rFonts w:ascii="Times New Roman" w:hAnsi="Times New Roman" w:cs="Times New Roman"/>
                        <w:szCs w:val="21"/>
                      </w:rPr>
                    </w:pPr>
                    <w:r>
                      <w:rPr>
                        <w:rFonts w:ascii="Times New Roman" w:cs="Times New Roman"/>
                      </w:rPr>
                      <w:t>广西柳州市</w:t>
                    </w:r>
                  </w:p>
                </w:tc>
                <w:tc>
                  <w:tcPr>
                    <w:tcW w:w="691" w:type="pct"/>
                    <w:vAlign w:val="center"/>
                  </w:tcPr>
                  <w:p>
                    <w:pPr>
                      <w:jc w:val="both"/>
                      <w:rPr>
                        <w:rFonts w:ascii="Times New Roman" w:hAnsi="Times New Roman" w:cs="Times New Roman"/>
                        <w:szCs w:val="21"/>
                      </w:rPr>
                    </w:pPr>
                    <w:r>
                      <w:rPr>
                        <w:rFonts w:ascii="Times New Roman" w:cs="Times New Roman"/>
                      </w:rPr>
                      <w:t>广西柳州市</w:t>
                    </w:r>
                  </w:p>
                </w:tc>
                <w:tc>
                  <w:tcPr>
                    <w:tcW w:w="714" w:type="pct"/>
                    <w:vAlign w:val="center"/>
                  </w:tcPr>
                  <w:p>
                    <w:pPr>
                      <w:jc w:val="both"/>
                      <w:rPr>
                        <w:rFonts w:ascii="Times New Roman" w:hAnsi="Times New Roman" w:cs="Times New Roman"/>
                        <w:szCs w:val="21"/>
                      </w:rPr>
                    </w:pPr>
                    <w:r>
                      <w:rPr>
                        <w:rFonts w:ascii="Times New Roman" w:cs="Times New Roman"/>
                      </w:rPr>
                      <w:t>制造业</w:t>
                    </w:r>
                  </w:p>
                </w:tc>
                <w:tc>
                  <w:tcPr>
                    <w:tcW w:w="586" w:type="pct"/>
                    <w:vAlign w:val="center"/>
                  </w:tcPr>
                  <w:p>
                    <w:pPr>
                      <w:jc w:val="center"/>
                      <w:rPr>
                        <w:rFonts w:ascii="Times New Roman" w:hAnsi="Times New Roman" w:cs="Times New Roman"/>
                        <w:szCs w:val="21"/>
                      </w:rPr>
                    </w:pPr>
                  </w:p>
                </w:tc>
                <w:tc>
                  <w:tcPr>
                    <w:tcW w:w="604" w:type="pct"/>
                    <w:vAlign w:val="center"/>
                  </w:tcPr>
                  <w:p>
                    <w:pPr>
                      <w:jc w:val="center"/>
                      <w:rPr>
                        <w:rFonts w:ascii="Times New Roman" w:hAnsi="Times New Roman" w:cs="Times New Roman"/>
                        <w:szCs w:val="21"/>
                      </w:rPr>
                    </w:pPr>
                  </w:p>
                </w:tc>
                <w:tc>
                  <w:tcPr>
                    <w:tcW w:w="1003" w:type="pct"/>
                    <w:vAlign w:val="center"/>
                  </w:tcPr>
                  <w:p>
                    <w:pPr>
                      <w:jc w:val="right"/>
                      <w:rPr>
                        <w:rFonts w:ascii="Times New Roman" w:hAnsi="Times New Roman" w:cs="Times New Roman"/>
                        <w:szCs w:val="21"/>
                      </w:rPr>
                    </w:pPr>
                  </w:p>
                </w:tc>
              </w:tr>
            </w:sdtContent>
          </w:sdt>
        </w:tbl>
        <w:p>
          <w:pPr>
            <w:rPr>
              <w:rFonts w:cs="Arial"/>
              <w:szCs w:val="21"/>
            </w:rPr>
          </w:pPr>
        </w:p>
        <w:p>
          <w:pPr>
            <w:rPr>
              <w:rFonts w:cs="Arial"/>
              <w:szCs w:val="21"/>
            </w:rPr>
          </w:pPr>
        </w:p>
        <w:p>
          <w:pPr>
            <w:rPr>
              <w:rFonts w:cstheme="minorBidi"/>
              <w:szCs w:val="21"/>
            </w:rPr>
          </w:pPr>
          <w:r>
            <w:rPr>
              <w:rFonts w:hint="eastAsia" w:cstheme="minorBidi"/>
              <w:szCs w:val="21"/>
            </w:rPr>
            <w:t>其他说明：</w:t>
          </w:r>
          <w:r>
            <w:rPr>
              <w:rFonts w:cstheme="minorBidi"/>
              <w:szCs w:val="21"/>
            </w:rPr>
            <w:t>柳州两面针洗涤用品厂系本公司的合作企业，合作双方根据合同和章程的约定经营，本公司以品牌投入，对其无股权投资关系，根据其公司章程规定，本公司享有51%的收益分配权。</w:t>
          </w:r>
        </w:p>
      </w:sdtContent>
    </w:sdt>
    <w:p>
      <w:pPr>
        <w:pStyle w:val="5"/>
        <w:numPr>
          <w:ilvl w:val="3"/>
          <w:numId w:val="119"/>
        </w:numPr>
        <w:ind w:left="424" w:hanging="424" w:hangingChars="201"/>
      </w:pPr>
      <w:r>
        <w:rPr>
          <w:rFonts w:hint="eastAsia"/>
        </w:rPr>
        <w:t>重要合营企业的主要财务信息</w:t>
      </w:r>
    </w:p>
    <w:sdt>
      <w:sdtPr>
        <w:rPr>
          <w:rFonts w:hint="eastAsia"/>
        </w:rPr>
        <w:alias w:val="模块:重要合营企业的主要财务信息"/>
        <w:tag w:val="_GBC_10d60417c84d41c1b3386073557d9d05"/>
        <w:id w:val="865726730"/>
        <w:lock w:val="sdtLocked"/>
        <w:placeholder>
          <w:docPart w:val="GBC22222222222222222222222222222"/>
        </w:placeholder>
      </w:sdtPr>
      <w:sdtEndPr>
        <w:rPr>
          <w:rFonts w:hint="default" w:cstheme="minorBidi"/>
          <w:szCs w:val="21"/>
        </w:rPr>
      </w:sdtEndPr>
      <w:sdtContent>
        <w:sdt>
          <w:sdtPr>
            <w:rPr>
              <w:rFonts w:hint="eastAsia"/>
            </w:rPr>
            <w:alias w:val="是否适用：重要合营企业的主要财务信息[双击切换]"/>
            <w:tag w:val="_GBC_8218a872fcd045d290940ccf3b3bdfa5"/>
            <w:id w:val="865726729"/>
            <w:lock w:val="sdtLocked"/>
            <w:placeholder>
              <w:docPart w:val="GBC22222222222222222222222222222"/>
            </w:placeholder>
          </w:sdtPr>
          <w:sdtEndPr>
            <w:rPr>
              <w:rFonts w:hint="eastAsia"/>
            </w:rPr>
          </w:sdtEndPr>
          <w:sdtContent>
            <w:p>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p>
          <w:pPr>
            <w:rPr>
              <w:rFonts w:cstheme="minorBidi"/>
              <w:szCs w:val="21"/>
            </w:rPr>
          </w:pPr>
        </w:p>
      </w:sdtContent>
    </w:sdt>
    <w:p>
      <w:pPr>
        <w:pStyle w:val="5"/>
        <w:numPr>
          <w:ilvl w:val="3"/>
          <w:numId w:val="119"/>
        </w:numPr>
        <w:ind w:left="424" w:hanging="424" w:hangingChars="201"/>
      </w:pPr>
      <w:r>
        <w:rPr>
          <w:rFonts w:hint="eastAsia"/>
        </w:rPr>
        <w:t>重要联营企业的主要财务信息</w:t>
      </w:r>
    </w:p>
    <w:sdt>
      <w:sdtPr>
        <w:rPr>
          <w:rFonts w:hint="eastAsia"/>
        </w:rPr>
        <w:alias w:val="模块:重要联营企业的主要财务信息"/>
        <w:tag w:val="_GBC_ac3eed998bbd4658ab651a88daefefb1"/>
        <w:id w:val="865726732"/>
        <w:lock w:val="sdtLocked"/>
        <w:placeholder>
          <w:docPart w:val="GBC22222222222222222222222222222"/>
        </w:placeholder>
      </w:sdtPr>
      <w:sdtEndPr>
        <w:rPr>
          <w:rFonts w:hint="default" w:cstheme="minorBidi"/>
          <w:szCs w:val="21"/>
        </w:rPr>
      </w:sdtEndPr>
      <w:sdtContent>
        <w:sdt>
          <w:sdtPr>
            <w:rPr>
              <w:rFonts w:hint="eastAsia"/>
            </w:rPr>
            <w:alias w:val="是否适用：重要联营企业的主要财务信息[双击切换]"/>
            <w:tag w:val="_GBC_e570958be6b64b7d8be73c12ea5135f1"/>
            <w:id w:val="865726731"/>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sdtContent>
    </w:sdt>
    <w:p>
      <w:pPr>
        <w:rPr>
          <w:rFonts w:cs="Arial"/>
          <w:szCs w:val="21"/>
        </w:rPr>
      </w:pPr>
    </w:p>
    <w:sdt>
      <w:sdtPr>
        <w:rPr>
          <w:rFonts w:hint="eastAsia" w:ascii="宋体" w:hAnsi="宋体" w:eastAsia="宋体" w:cs="宋体"/>
          <w:b w:val="0"/>
          <w:bCs w:val="0"/>
          <w:kern w:val="0"/>
          <w:szCs w:val="24"/>
        </w:rPr>
        <w:alias w:val="模块:不重要的合营企业和联营企业的汇总财务信息"/>
        <w:tag w:val="_GBC_7592afe8201c4b36a34fa177ca124037"/>
        <w:id w:val="865726734"/>
        <w:lock w:val="sdtLocked"/>
        <w:placeholder>
          <w:docPart w:val="GBC22222222222222222222222222222"/>
        </w:placeholder>
      </w:sdtPr>
      <w:sdtEndPr>
        <w:rPr>
          <w:rFonts w:hint="default" w:ascii="宋体" w:hAnsi="宋体" w:eastAsia="宋体" w:cs="Arial"/>
          <w:b w:val="0"/>
          <w:bCs w:val="0"/>
          <w:kern w:val="0"/>
          <w:szCs w:val="21"/>
        </w:rPr>
      </w:sdtEndPr>
      <w:sdtContent>
        <w:p>
          <w:pPr>
            <w:pStyle w:val="5"/>
            <w:numPr>
              <w:ilvl w:val="3"/>
              <w:numId w:val="119"/>
            </w:numPr>
            <w:ind w:left="424" w:hanging="424" w:hangingChars="202"/>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865726733"/>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sdtContent>
    </w:sdt>
    <w:p>
      <w:pPr>
        <w:rPr>
          <w:rFonts w:cs="Arial"/>
          <w:szCs w:val="21"/>
        </w:rPr>
      </w:pPr>
    </w:p>
    <w:sdt>
      <w:sdtPr>
        <w:rPr>
          <w:rFonts w:hint="eastAsia" w:ascii="宋体" w:hAnsi="宋体" w:eastAsia="宋体" w:cs="宋体"/>
          <w:b w:val="0"/>
          <w:bCs w:val="0"/>
          <w:kern w:val="0"/>
          <w:szCs w:val="24"/>
        </w:rPr>
        <w:alias w:val="模块:合营企业或联营企业向公司转移资金的能力存在重大限制的说明"/>
        <w:tag w:val="_GBC_2874973c28b34357bf81a60947721baa"/>
        <w:id w:val="865726736"/>
        <w:lock w:val="sdtLocked"/>
        <w:placeholder>
          <w:docPart w:val="GBC22222222222222222222222222222"/>
        </w:placeholder>
      </w:sdtPr>
      <w:sdtEndPr>
        <w:rPr>
          <w:rFonts w:hint="eastAsia" w:ascii="宋体" w:hAnsi="宋体" w:eastAsia="宋体" w:cs="Arial"/>
          <w:b w:val="0"/>
          <w:bCs w:val="0"/>
          <w:kern w:val="0"/>
          <w:szCs w:val="21"/>
        </w:rPr>
      </w:sdtEndPr>
      <w:sdtContent>
        <w:p>
          <w:pPr>
            <w:pStyle w:val="5"/>
            <w:numPr>
              <w:ilvl w:val="3"/>
              <w:numId w:val="119"/>
            </w:numPr>
            <w:ind w:left="424" w:hanging="424" w:hangingChars="202"/>
          </w:pPr>
          <w:r>
            <w:rPr>
              <w:rFonts w:hint="eastAsia"/>
            </w:rPr>
            <w:t>合营企业或联营企业向本公司转移资金的能力存在重大限制的说明</w:t>
          </w:r>
        </w:p>
        <w:sdt>
          <w:sdtPr>
            <w:rPr>
              <w:rFonts w:hint="eastAsia" w:cs="Arial"/>
              <w:szCs w:val="21"/>
            </w:rPr>
            <w:alias w:val="是否适用：合营企业或联营企业向本公司转移资金的能力存在重大限制的说明[双击切换]"/>
            <w:tag w:val="_GBC_6adf336cbf6141a59d29de2be4c5a55b"/>
            <w:id w:val="865726735"/>
            <w:lock w:val="sdtLocked"/>
            <w:placeholder>
              <w:docPart w:val="GBC22222222222222222222222222222"/>
            </w:placeholder>
          </w:sdtPr>
          <w:sdtEndPr>
            <w:rPr>
              <w:rFonts w:hint="eastAsia" w:cs="Arial"/>
              <w:szCs w:val="21"/>
            </w:rPr>
          </w:sdtEndPr>
          <w:sdtContent>
            <w:p>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sdtContent>
    </w:sdt>
    <w:sdt>
      <w:sdtPr>
        <w:rPr>
          <w:rFonts w:hint="eastAsia" w:ascii="宋体" w:hAnsi="宋体" w:eastAsia="宋体" w:cs="宋体"/>
          <w:b w:val="0"/>
          <w:bCs w:val="0"/>
          <w:kern w:val="0"/>
          <w:szCs w:val="24"/>
        </w:rPr>
        <w:alias w:val="模块:合营企业或联营企业发生的超额亏损"/>
        <w:tag w:val="_GBC_a9980062c82d44acae24fae7368ea42f"/>
        <w:id w:val="865726738"/>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5"/>
            <w:numPr>
              <w:ilvl w:val="3"/>
              <w:numId w:val="119"/>
            </w:numPr>
            <w:ind w:left="424" w:hanging="424" w:hangingChars="202"/>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86572673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sdtContent>
    </w:sdt>
    <w:p>
      <w:pPr>
        <w:rPr>
          <w:rFonts w:cs="Arial"/>
          <w:szCs w:val="21"/>
        </w:rPr>
      </w:pPr>
    </w:p>
    <w:sdt>
      <w:sdtPr>
        <w:rPr>
          <w:rFonts w:hint="eastAsia" w:ascii="宋体" w:hAnsi="宋体" w:eastAsia="宋体" w:cs="宋体"/>
          <w:b w:val="0"/>
          <w:bCs w:val="0"/>
          <w:kern w:val="0"/>
          <w:szCs w:val="24"/>
        </w:rPr>
        <w:alias w:val="模块:与合营企业投资相关的未确认承诺"/>
        <w:tag w:val="_GBC_da055842bf8c4e9598b87bd760d969ec"/>
        <w:id w:val="865726740"/>
        <w:lock w:val="sdtLocked"/>
        <w:placeholder>
          <w:docPart w:val="GBC22222222222222222222222222222"/>
        </w:placeholder>
      </w:sdtPr>
      <w:sdtEndPr>
        <w:rPr>
          <w:rFonts w:hint="eastAsia" w:ascii="宋体" w:hAnsi="宋体" w:eastAsia="宋体" w:cs="Arial"/>
          <w:b w:val="0"/>
          <w:bCs w:val="0"/>
          <w:kern w:val="0"/>
          <w:szCs w:val="21"/>
        </w:rPr>
      </w:sdtEndPr>
      <w:sdtContent>
        <w:p>
          <w:pPr>
            <w:pStyle w:val="5"/>
            <w:numPr>
              <w:ilvl w:val="3"/>
              <w:numId w:val="119"/>
            </w:numPr>
            <w:ind w:left="424" w:hanging="424" w:hangingChars="202"/>
          </w:pPr>
          <w:r>
            <w:rPr>
              <w:rFonts w:hint="eastAsia"/>
            </w:rPr>
            <w:t>与合营企业</w:t>
          </w:r>
          <w:r>
            <w:rPr>
              <w:rFonts w:hint="eastAsia" w:ascii="宋体" w:hAnsi="宋体"/>
            </w:rPr>
            <w:t>投资</w:t>
          </w:r>
          <w:r>
            <w:rPr>
              <w:rFonts w:hint="eastAsia"/>
            </w:rPr>
            <w:t>相关的未确认承诺</w:t>
          </w:r>
        </w:p>
        <w:sdt>
          <w:sdtPr>
            <w:rPr>
              <w:rFonts w:hint="eastAsia" w:cs="Arial"/>
              <w:szCs w:val="21"/>
            </w:rPr>
            <w:alias w:val="是否适用：与合营企业投资相关的未确认承诺[双击切换]"/>
            <w:tag w:val="_GBC_31e45f9d52434cea9a9a27d328e562ec"/>
            <w:id w:val="865726739"/>
            <w:lock w:val="sdtLocked"/>
            <w:placeholder>
              <w:docPart w:val="GBC22222222222222222222222222222"/>
            </w:placeholder>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pPr>
        <w:rPr>
          <w:rFonts w:cs="Arial"/>
          <w:szCs w:val="21"/>
        </w:rPr>
      </w:pPr>
    </w:p>
    <w:sdt>
      <w:sdtPr>
        <w:rPr>
          <w:rFonts w:hint="eastAsia" w:ascii="宋体" w:hAnsi="宋体" w:eastAsia="宋体" w:cs="宋体"/>
          <w:b w:val="0"/>
          <w:bCs w:val="0"/>
          <w:kern w:val="0"/>
          <w:szCs w:val="24"/>
        </w:rPr>
        <w:alias w:val="模块:与合营企业或联营企业投资相关的或有负债"/>
        <w:tag w:val="_GBC_1f803def681a42ba91cdde709a067b3f"/>
        <w:id w:val="865726742"/>
        <w:lock w:val="sdtLocked"/>
        <w:placeholder>
          <w:docPart w:val="GBC22222222222222222222222222222"/>
        </w:placeholder>
      </w:sdtPr>
      <w:sdtEndPr>
        <w:rPr>
          <w:rFonts w:hint="eastAsia" w:ascii="宋体" w:hAnsi="宋体" w:eastAsia="宋体" w:cs="Arial"/>
          <w:b w:val="0"/>
          <w:bCs w:val="0"/>
          <w:kern w:val="0"/>
          <w:szCs w:val="21"/>
        </w:rPr>
      </w:sdtEndPr>
      <w:sdtContent>
        <w:p>
          <w:pPr>
            <w:pStyle w:val="5"/>
            <w:numPr>
              <w:ilvl w:val="3"/>
              <w:numId w:val="119"/>
            </w:numPr>
            <w:ind w:left="424" w:hanging="424" w:hangingChars="202"/>
          </w:pPr>
          <w:r>
            <w:rPr>
              <w:rFonts w:hint="eastAsia"/>
            </w:rPr>
            <w:t>与合营企业或联营企业投资相关的或有负债</w:t>
          </w:r>
        </w:p>
        <w:sdt>
          <w:sdtPr>
            <w:rPr>
              <w:rFonts w:hint="eastAsia" w:cs="Arial"/>
              <w:szCs w:val="21"/>
            </w:rPr>
            <w:alias w:val="是否适用：与合营企业或联营企业投资相关的或有负债[双击切换]"/>
            <w:tag w:val="_GBC_d3c6dfcab3ab42afb854d4ea2e7c9b9f"/>
            <w:id w:val="865726741"/>
            <w:lock w:val="sdtLocked"/>
            <w:placeholder>
              <w:docPart w:val="GBC22222222222222222222222222222"/>
            </w:placeholder>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pPr>
        <w:rPr>
          <w:rFonts w:cs="Arial"/>
          <w:szCs w:val="21"/>
        </w:rPr>
      </w:pPr>
    </w:p>
    <w:sdt>
      <w:sdtPr>
        <w:rPr>
          <w:rFonts w:hint="eastAsia" w:ascii="宋体" w:hAnsi="宋体" w:cs="Arial"/>
          <w:b w:val="0"/>
          <w:bCs w:val="0"/>
          <w:kern w:val="0"/>
          <w:szCs w:val="21"/>
        </w:rPr>
        <w:alias w:val="模块:重要的共同经营"/>
        <w:tag w:val="_GBC_90d44eb1222944759107483908112493"/>
        <w:id w:val="865726744"/>
        <w:lock w:val="sdtLocked"/>
        <w:placeholder>
          <w:docPart w:val="GBC22222222222222222222222222222"/>
        </w:placeholder>
      </w:sdtPr>
      <w:sdtEndPr>
        <w:rPr>
          <w:rFonts w:hint="default" w:ascii="宋体" w:hAnsi="宋体" w:cstheme="minorBidi"/>
          <w:b w:val="0"/>
          <w:bCs w:val="0"/>
          <w:kern w:val="0"/>
          <w:szCs w:val="21"/>
        </w:rPr>
      </w:sdtEndPr>
      <w:sdtContent>
        <w:p>
          <w:pPr>
            <w:pStyle w:val="4"/>
            <w:numPr>
              <w:ilvl w:val="2"/>
              <w:numId w:val="117"/>
            </w:numPr>
            <w:rPr>
              <w:rFonts w:ascii="宋体" w:hAnsi="宋体" w:cs="Arial"/>
              <w:szCs w:val="21"/>
            </w:rPr>
          </w:pPr>
          <w:r>
            <w:rPr>
              <w:rFonts w:hint="eastAsia" w:ascii="宋体" w:hAnsi="宋体" w:cs="Arial"/>
              <w:szCs w:val="21"/>
            </w:rPr>
            <w:t>重要的共同经营</w:t>
          </w:r>
        </w:p>
        <w:sdt>
          <w:sdtPr>
            <w:alias w:val="是否适用：重要的共同经营[双击切换]"/>
            <w:tag w:val="_GBC_8a0341a844454c89848e95b9c64a8efb"/>
            <w:id w:val="86572674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sdtContent>
    </w:sdt>
    <w:p>
      <w:pPr>
        <w:rPr>
          <w:rFonts w:cs="Arial"/>
          <w:szCs w:val="21"/>
        </w:rPr>
      </w:pPr>
    </w:p>
    <w:sdt>
      <w:sdtPr>
        <w:rPr>
          <w:rFonts w:hint="eastAsia" w:ascii="宋体" w:hAnsi="宋体" w:cs="Arial"/>
          <w:b w:val="0"/>
          <w:bCs w:val="0"/>
          <w:kern w:val="0"/>
          <w:szCs w:val="21"/>
        </w:rPr>
        <w:alias w:val="模块:在未纳入合并财务报表范围的结构化主体中的权益"/>
        <w:tag w:val="_GBC_5cfea65e45c44f1b9fdec762be35880d"/>
        <w:id w:val="865726746"/>
        <w:lock w:val="sdtLocked"/>
        <w:placeholder>
          <w:docPart w:val="GBC22222222222222222222222222222"/>
        </w:placeholder>
      </w:sdtPr>
      <w:sdtEndPr>
        <w:rPr>
          <w:rFonts w:hint="eastAsia" w:ascii="宋体" w:hAnsi="宋体" w:cs="Arial"/>
          <w:b w:val="0"/>
          <w:bCs w:val="0"/>
          <w:kern w:val="0"/>
          <w:szCs w:val="21"/>
        </w:rPr>
      </w:sdtEndPr>
      <w:sdtContent>
        <w:p>
          <w:pPr>
            <w:pStyle w:val="4"/>
            <w:numPr>
              <w:ilvl w:val="2"/>
              <w:numId w:val="117"/>
            </w:numPr>
            <w:rPr>
              <w:rFonts w:ascii="宋体" w:hAnsi="宋体" w:cs="Arial"/>
              <w:szCs w:val="21"/>
            </w:rPr>
          </w:pPr>
          <w:r>
            <w:rPr>
              <w:rFonts w:hint="eastAsia" w:ascii="宋体" w:hAnsi="宋体" w:cs="Arial"/>
              <w:szCs w:val="21"/>
            </w:rPr>
            <w:t>在未纳入合并财务报表范围的结构化主体中的权益</w:t>
          </w:r>
        </w:p>
        <w:p>
          <w:pPr>
            <w:rPr>
              <w:rFonts w:cs="Arial"/>
              <w:szCs w:val="21"/>
            </w:rPr>
          </w:pPr>
          <w:r>
            <w:rPr>
              <w:rFonts w:hint="eastAsia" w:cs="Arial"/>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865726745"/>
            <w:lock w:val="sdtLocked"/>
            <w:placeholder>
              <w:docPart w:val="GBC22222222222222222222222222222"/>
            </w:placeholder>
          </w:sdtPr>
          <w:sdtEndPr>
            <w:rPr>
              <w:rFonts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sdtContent>
    </w:sdt>
    <w:sdt>
      <w:sdtPr>
        <w:rPr>
          <w:rFonts w:hint="eastAsia" w:ascii="宋体" w:hAnsi="宋体" w:cs="Arial"/>
          <w:b w:val="0"/>
          <w:bCs w:val="0"/>
          <w:kern w:val="0"/>
          <w:szCs w:val="21"/>
        </w:rPr>
        <w:alias w:val="模块:在其他主体中的权益其他需要说明的事项"/>
        <w:tag w:val="_GBC_b24eb633f5244c748225389f3b3cedd1"/>
        <w:id w:val="865726748"/>
        <w:lock w:val="sdtLocked"/>
        <w:placeholder>
          <w:docPart w:val="GBC22222222222222222222222222222"/>
        </w:placeholder>
      </w:sdtPr>
      <w:sdtEndPr>
        <w:rPr>
          <w:rFonts w:hint="eastAsia" w:ascii="宋体" w:hAnsi="宋体" w:cs="Arial"/>
          <w:b w:val="0"/>
          <w:bCs w:val="0"/>
          <w:kern w:val="0"/>
          <w:szCs w:val="21"/>
        </w:rPr>
      </w:sdtEndPr>
      <w:sdtContent>
        <w:p>
          <w:pPr>
            <w:pStyle w:val="4"/>
            <w:numPr>
              <w:ilvl w:val="2"/>
              <w:numId w:val="117"/>
            </w:numPr>
            <w:rPr>
              <w:rFonts w:ascii="宋体" w:hAnsi="宋体" w:cs="Arial"/>
              <w:szCs w:val="21"/>
            </w:rPr>
          </w:pPr>
          <w:r>
            <w:rPr>
              <w:rFonts w:hint="eastAsia" w:ascii="宋体" w:hAnsi="宋体" w:cs="Arial"/>
              <w:szCs w:val="21"/>
            </w:rPr>
            <w:t>其他</w:t>
          </w:r>
        </w:p>
        <w:sdt>
          <w:sdtPr>
            <w:rPr>
              <w:rFonts w:hint="eastAsia"/>
            </w:rPr>
            <w:alias w:val="是否适用：在其他主体中的权益其他需要说明的事项[双击切换]"/>
            <w:tag w:val="_GBC_f97a284e61d54ed588c46ec336af6ef8"/>
            <w:id w:val="86572674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与金融工具相关的风险"/>
        <w:tag w:val="_GBC_815d628fea814e7191d23a3fcbe2783c"/>
        <w:id w:val="865726751"/>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54"/>
            </w:numPr>
            <w:rPr>
              <w:rFonts w:ascii="宋体" w:hAnsi="宋体"/>
            </w:rPr>
          </w:pPr>
          <w:r>
            <w:rPr>
              <w:rFonts w:hint="eastAsia" w:ascii="宋体" w:hAnsi="宋体"/>
            </w:rPr>
            <w:t>与金融工具相关的风险</w:t>
          </w:r>
        </w:p>
        <w:sdt>
          <w:sdtPr>
            <w:alias w:val="是否适用：与金融工具相关的风险[双击切换]"/>
            <w:tag w:val="_GBC_2be38aac6aaa4945a48be2cdc11eaaf6"/>
            <w:id w:val="86572674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宋体"/>
              <w:kern w:val="0"/>
              <w:szCs w:val="21"/>
            </w:rPr>
            <w:alias w:val="与金融工具相关的风险"/>
            <w:tag w:val="_GBC_f6714dfdbb554edeb7e7fde71c65346d"/>
            <w:id w:val="865726750"/>
            <w:lock w:val="sdtLocked"/>
            <w:placeholder>
              <w:docPart w:val="GBC22222222222222222222222222222"/>
            </w:placeholder>
          </w:sdtPr>
          <w:sdtEndPr>
            <w:rPr>
              <w:rFonts w:hAnsi="宋体" w:cs="宋体"/>
              <w:b/>
              <w:kern w:val="0"/>
              <w:szCs w:val="21"/>
            </w:rPr>
          </w:sdtEndPr>
          <w:sdtContent>
            <w:p>
              <w:pPr>
                <w:pStyle w:val="20"/>
                <w:tabs>
                  <w:tab w:val="left" w:pos="426"/>
                  <w:tab w:val="left" w:pos="1134"/>
                  <w:tab w:val="left" w:pos="1418"/>
                </w:tabs>
                <w:adjustRightInd w:val="0"/>
                <w:snapToGrid w:val="0"/>
                <w:spacing w:line="48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本公司的主要金融工具包括货币资金、应收款项、应付款项、借款等。在日常活动中面临各种金融工具的风险，主要包括信用风险、流动性风险、市场风险。与这些金融工具相关的风险，以及本公司为降低这些风险所采取的风险管理政策如下所述：</w:t>
              </w:r>
            </w:p>
            <w:p>
              <w:pPr>
                <w:widowControl w:val="0"/>
                <w:tabs>
                  <w:tab w:val="left" w:pos="426"/>
                  <w:tab w:val="left" w:pos="1134"/>
                  <w:tab w:val="left" w:pos="1418"/>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本公司的风险管理由风险管理委员会按照董事会批准的政策开展。风险管理委员会通过与本公司其他业务部门的紧密合作来识别、评价和规避相关风险。本公司内部审计部门就风险管理控制及程序进行定期的审核，并将审核结果上报本公司的审计委员会。本公司通过适当的多样化投资及业务组合来分散金融工具风险，并通过制定相应的风险管理政策减少集中于单一行业、特定地区或特定交易对手的风险。</w:t>
              </w:r>
            </w:p>
            <w:p>
              <w:pPr>
                <w:widowControl w:val="0"/>
                <w:tabs>
                  <w:tab w:val="left" w:pos="426"/>
                  <w:tab w:val="left" w:pos="1134"/>
                  <w:tab w:val="left" w:pos="1418"/>
                </w:tabs>
                <w:adjustRightInd w:val="0"/>
                <w:snapToGrid w:val="0"/>
                <w:spacing w:line="480" w:lineRule="exact"/>
                <w:ind w:firstLine="422" w:firstLineChars="200"/>
                <w:jc w:val="both"/>
                <w:rPr>
                  <w:rFonts w:cs="Times New Roman" w:asciiTheme="minorEastAsia" w:hAnsiTheme="minorEastAsia" w:eastAsiaTheme="minorEastAsia"/>
                  <w:b/>
                  <w:kern w:val="2"/>
                  <w:szCs w:val="21"/>
                </w:rPr>
              </w:pPr>
              <w:r>
                <w:rPr>
                  <w:rFonts w:cs="Times New Roman" w:asciiTheme="minorEastAsia" w:hAnsiTheme="minorEastAsia" w:eastAsiaTheme="minorEastAsia"/>
                  <w:b/>
                  <w:kern w:val="2"/>
                  <w:szCs w:val="21"/>
                </w:rPr>
                <w:t>（一）信用风险</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信用风险是指交易对手未能履行合同义务而导致本公司产生财务损失的风险，管理层已制定适当的信用政策，并且不断监察信用风险的敞口。</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本公司已采取政策只与信用良好的交易对手进行交易。另外，本公司基于对客户的财务状况、从第三方获取担保的可能性、信用记录及其它因素诸如目前市场状况等评估客户的信用资质并设置相应信用期。本公司对应收票据、应收账款余额及收回情况进行持续监控，对于信用记录不良的客户，本公司会采用书面催款、缩短信用期或取消信用期等方式，以确保本公司不致面临重大信用损失。此外，本公司于每个资产负债表日审核金融资产的回收情况，以确保相关金融资产计提了充分的预期信用损失准备。</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本公司其他金融资产包括货币资金、其他应收款等，这些金融资产的信用风险源自于交易对手违约，最大信用风险敞口为资产负债表中每项金融资产的账面金额。</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本公司持有的货币资金主要存放于国有控股银行和其他大中型商业银行等金融机构，管理层认为这些商业银行具备较高信誉和资产状况，不存在重大的信用风险，不会产生因对方单位违约而导致的任何重大损失。本公司的政策是根据各知名金融机构的市场信誉、经营规模及财务背景来控制存放当中的存款金额，以限制对任何单个金融机构的信用风险金额。</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作为本公司信用风险资产管理的一部分，本公司利用账龄来评估应收账款和其他应收款的减值损失。本公司的应收账款和其他应收款涉及大量客户，账龄信息可以反映这些客户对于应收账款和其他应收款的偿付能力和坏账风险。本公司根据历史数据计算不同账龄期间的历史实际坏账率，并考虑了当前及未来经济状况的预测，如国家GDP增速、国家货币政策等前瞻性信息进行调整得出预期损失率。对于长期应收款，本公司综合考虑结算期、合同约定付款期、债务人的财务状况和债务人所处行业的经济形势，并考虑上述前瞻性信息进行调整后对于预期信用损失进行合理评估。</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截止2021年12月31日，相关资产的账面余额与预期信用减值损失情况如下：</w:t>
              </w:r>
            </w:p>
            <w:p>
              <w:pPr>
                <w:widowControl w:val="0"/>
                <w:tabs>
                  <w:tab w:val="left" w:pos="196"/>
                  <w:tab w:val="left" w:pos="426"/>
                </w:tabs>
                <w:adjustRightInd w:val="0"/>
                <w:snapToGrid w:val="0"/>
                <w:spacing w:line="480" w:lineRule="exact"/>
                <w:ind w:firstLine="480" w:firstLineChars="200"/>
                <w:jc w:val="both"/>
                <w:rPr>
                  <w:rFonts w:cs="Times New Roman" w:asciiTheme="minorEastAsia" w:hAnsiTheme="minorEastAsia" w:eastAsiaTheme="minorEastAsia"/>
                  <w:kern w:val="2"/>
                  <w:sz w:val="24"/>
                </w:rPr>
              </w:pPr>
            </w:p>
            <w:tbl>
              <w:tblPr>
                <w:tblStyle w:val="107"/>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3424"/>
                <w:gridCol w:w="2858"/>
                <w:gridCol w:w="276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92" w:type="pct"/>
                    <w:vAlign w:val="center"/>
                  </w:tcPr>
                  <w:p>
                    <w:pPr>
                      <w:widowControl w:val="0"/>
                      <w:tabs>
                        <w:tab w:val="left" w:pos="196"/>
                        <w:tab w:val="left" w:pos="426"/>
                      </w:tabs>
                      <w:spacing w:line="480" w:lineRule="exact"/>
                      <w:jc w:val="center"/>
                      <w:rPr>
                        <w:rFonts w:ascii="Times New Roman" w:hAnsi="Times New Roman" w:cs="Times New Roman" w:eastAsiaTheme="minorEastAsia"/>
                        <w:bCs/>
                        <w:kern w:val="2"/>
                        <w:sz w:val="18"/>
                        <w:szCs w:val="18"/>
                      </w:rPr>
                    </w:pPr>
                    <w:r>
                      <w:rPr>
                        <w:rFonts w:ascii="Times New Roman" w:cs="Times New Roman" w:hAnsiTheme="minorEastAsia" w:eastAsiaTheme="minorEastAsia"/>
                        <w:bCs/>
                        <w:kern w:val="2"/>
                        <w:sz w:val="18"/>
                        <w:szCs w:val="18"/>
                      </w:rPr>
                      <w:t>账龄</w:t>
                    </w:r>
                  </w:p>
                </w:tc>
                <w:tc>
                  <w:tcPr>
                    <w:tcW w:w="1579" w:type="pct"/>
                    <w:vAlign w:val="center"/>
                  </w:tcPr>
                  <w:p>
                    <w:pPr>
                      <w:widowControl w:val="0"/>
                      <w:tabs>
                        <w:tab w:val="left" w:pos="196"/>
                        <w:tab w:val="left" w:pos="426"/>
                      </w:tabs>
                      <w:spacing w:line="480" w:lineRule="exact"/>
                      <w:jc w:val="center"/>
                      <w:rPr>
                        <w:rFonts w:ascii="Times New Roman" w:hAnsi="Times New Roman" w:cs="Times New Roman" w:eastAsiaTheme="minorEastAsia"/>
                        <w:bCs/>
                        <w:kern w:val="2"/>
                        <w:sz w:val="18"/>
                        <w:szCs w:val="18"/>
                      </w:rPr>
                    </w:pPr>
                    <w:r>
                      <w:rPr>
                        <w:rFonts w:ascii="Times New Roman" w:cs="Times New Roman" w:hAnsiTheme="minorEastAsia" w:eastAsiaTheme="minorEastAsia"/>
                        <w:bCs/>
                        <w:kern w:val="2"/>
                        <w:sz w:val="18"/>
                        <w:szCs w:val="18"/>
                      </w:rPr>
                      <w:t>账面余额</w:t>
                    </w:r>
                  </w:p>
                </w:tc>
                <w:tc>
                  <w:tcPr>
                    <w:tcW w:w="1529" w:type="pct"/>
                    <w:vAlign w:val="center"/>
                  </w:tcPr>
                  <w:p>
                    <w:pPr>
                      <w:widowControl w:val="0"/>
                      <w:tabs>
                        <w:tab w:val="left" w:pos="196"/>
                        <w:tab w:val="left" w:pos="426"/>
                      </w:tabs>
                      <w:spacing w:line="480" w:lineRule="exact"/>
                      <w:jc w:val="center"/>
                      <w:rPr>
                        <w:rFonts w:ascii="Times New Roman" w:hAnsi="Times New Roman" w:cs="Times New Roman" w:eastAsiaTheme="minorEastAsia"/>
                        <w:bCs/>
                        <w:kern w:val="2"/>
                        <w:sz w:val="18"/>
                        <w:szCs w:val="18"/>
                      </w:rPr>
                    </w:pPr>
                    <w:r>
                      <w:rPr>
                        <w:rFonts w:ascii="Times New Roman" w:cs="Times New Roman" w:hAnsiTheme="minorEastAsia" w:eastAsiaTheme="minorEastAsia"/>
                        <w:bCs/>
                        <w:kern w:val="2"/>
                        <w:sz w:val="18"/>
                        <w:szCs w:val="18"/>
                      </w:rPr>
                      <w:t>减值准备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92" w:type="pct"/>
                    <w:vAlign w:val="center"/>
                  </w:tcPr>
                  <w:p>
                    <w:pPr>
                      <w:widowControl w:val="0"/>
                      <w:tabs>
                        <w:tab w:val="left" w:pos="196"/>
                        <w:tab w:val="left" w:pos="426"/>
                      </w:tabs>
                      <w:spacing w:line="480" w:lineRule="exact"/>
                      <w:rPr>
                        <w:rFonts w:ascii="Times New Roman" w:hAnsi="Times New Roman" w:cs="Times New Roman" w:eastAsiaTheme="minorEastAsia"/>
                        <w:bCs/>
                        <w:kern w:val="2"/>
                        <w:sz w:val="18"/>
                        <w:szCs w:val="18"/>
                      </w:rPr>
                    </w:pPr>
                    <w:r>
                      <w:rPr>
                        <w:rFonts w:ascii="Times New Roman" w:cs="Times New Roman" w:hAnsiTheme="minorEastAsia" w:eastAsiaTheme="minorEastAsia"/>
                        <w:bCs/>
                        <w:kern w:val="2"/>
                        <w:sz w:val="18"/>
                        <w:szCs w:val="18"/>
                      </w:rPr>
                      <w:t>应收账款</w:t>
                    </w:r>
                  </w:p>
                </w:tc>
                <w:tc>
                  <w:tcPr>
                    <w:tcW w:w="1579" w:type="pct"/>
                    <w:vAlign w:val="bottom"/>
                  </w:tcPr>
                  <w:p>
                    <w:pPr>
                      <w:spacing w:line="480" w:lineRule="exact"/>
                      <w:jc w:val="right"/>
                      <w:rPr>
                        <w:rFonts w:ascii="Times New Roman" w:hAnsi="Times New Roman" w:cs="Times New Roman" w:eastAsiaTheme="minorEastAsia"/>
                        <w:color w:val="000000"/>
                        <w:kern w:val="2"/>
                        <w:sz w:val="18"/>
                        <w:szCs w:val="18"/>
                      </w:rPr>
                    </w:pPr>
                    <w:r>
                      <w:rPr>
                        <w:rFonts w:ascii="Times New Roman" w:hAnsi="Times New Roman" w:cs="Times New Roman" w:eastAsiaTheme="minorEastAsia"/>
                        <w:color w:val="000000"/>
                        <w:kern w:val="2"/>
                        <w:sz w:val="18"/>
                        <w:szCs w:val="18"/>
                      </w:rPr>
                      <w:t>114,985,518.45</w:t>
                    </w:r>
                  </w:p>
                </w:tc>
                <w:tc>
                  <w:tcPr>
                    <w:tcW w:w="1529" w:type="pct"/>
                    <w:vAlign w:val="bottom"/>
                  </w:tcPr>
                  <w:p>
                    <w:pPr>
                      <w:spacing w:line="480" w:lineRule="exact"/>
                      <w:jc w:val="right"/>
                      <w:rPr>
                        <w:rFonts w:ascii="Times New Roman" w:hAnsi="Times New Roman" w:cs="Times New Roman" w:eastAsiaTheme="minorEastAsia"/>
                        <w:color w:val="000000"/>
                        <w:kern w:val="2"/>
                        <w:sz w:val="18"/>
                        <w:szCs w:val="18"/>
                      </w:rPr>
                    </w:pPr>
                    <w:r>
                      <w:rPr>
                        <w:rFonts w:ascii="Times New Roman" w:hAnsi="Times New Roman" w:cs="Times New Roman" w:eastAsiaTheme="minorEastAsia"/>
                        <w:color w:val="000000"/>
                        <w:kern w:val="2"/>
                        <w:sz w:val="18"/>
                        <w:szCs w:val="18"/>
                      </w:rPr>
                      <w:t>50,745,069.03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92" w:type="pct"/>
                    <w:vAlign w:val="center"/>
                  </w:tcPr>
                  <w:p>
                    <w:pPr>
                      <w:widowControl w:val="0"/>
                      <w:tabs>
                        <w:tab w:val="left" w:pos="196"/>
                        <w:tab w:val="left" w:pos="426"/>
                      </w:tabs>
                      <w:spacing w:line="480" w:lineRule="exact"/>
                      <w:rPr>
                        <w:rFonts w:ascii="Times New Roman" w:hAnsi="Times New Roman" w:cs="Times New Roman" w:eastAsiaTheme="minorEastAsia"/>
                        <w:bCs/>
                        <w:kern w:val="2"/>
                        <w:sz w:val="18"/>
                        <w:szCs w:val="18"/>
                      </w:rPr>
                    </w:pPr>
                    <w:r>
                      <w:rPr>
                        <w:rFonts w:ascii="Times New Roman" w:cs="Times New Roman" w:hAnsiTheme="minorEastAsia" w:eastAsiaTheme="minorEastAsia"/>
                        <w:bCs/>
                        <w:kern w:val="2"/>
                        <w:sz w:val="18"/>
                        <w:szCs w:val="18"/>
                      </w:rPr>
                      <w:t>应收款项融资</w:t>
                    </w:r>
                  </w:p>
                </w:tc>
                <w:tc>
                  <w:tcPr>
                    <w:tcW w:w="1579" w:type="pct"/>
                    <w:vAlign w:val="bottom"/>
                  </w:tcPr>
                  <w:p>
                    <w:pPr>
                      <w:spacing w:line="480" w:lineRule="exact"/>
                      <w:jc w:val="right"/>
                      <w:rPr>
                        <w:rFonts w:ascii="Times New Roman" w:hAnsi="Times New Roman" w:cs="Times New Roman" w:eastAsiaTheme="minorEastAsia"/>
                        <w:color w:val="000000"/>
                        <w:kern w:val="2"/>
                        <w:sz w:val="18"/>
                        <w:szCs w:val="18"/>
                      </w:rPr>
                    </w:pPr>
                    <w:r>
                      <w:rPr>
                        <w:rFonts w:ascii="Times New Roman" w:hAnsi="Times New Roman" w:cs="Times New Roman" w:eastAsiaTheme="minorEastAsia"/>
                        <w:color w:val="000000"/>
                        <w:kern w:val="2"/>
                        <w:sz w:val="18"/>
                        <w:szCs w:val="18"/>
                      </w:rPr>
                      <w:t>23,502,581.94</w:t>
                    </w:r>
                  </w:p>
                </w:tc>
                <w:tc>
                  <w:tcPr>
                    <w:tcW w:w="1529" w:type="pct"/>
                    <w:vAlign w:val="bottom"/>
                  </w:tcPr>
                  <w:p>
                    <w:pPr>
                      <w:spacing w:line="480" w:lineRule="exact"/>
                      <w:jc w:val="right"/>
                      <w:rPr>
                        <w:rFonts w:ascii="Times New Roman" w:hAnsi="Times New Roman" w:cs="Times New Roman" w:eastAsiaTheme="minorEastAsia"/>
                        <w:color w:val="000000"/>
                        <w:kern w:val="2"/>
                        <w:sz w:val="18"/>
                        <w:szCs w:val="18"/>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92" w:type="pct"/>
                    <w:vAlign w:val="center"/>
                  </w:tcPr>
                  <w:p>
                    <w:pPr>
                      <w:widowControl w:val="0"/>
                      <w:tabs>
                        <w:tab w:val="left" w:pos="196"/>
                        <w:tab w:val="left" w:pos="426"/>
                      </w:tabs>
                      <w:spacing w:line="480" w:lineRule="exact"/>
                      <w:rPr>
                        <w:rFonts w:ascii="Times New Roman" w:hAnsi="Times New Roman" w:cs="Times New Roman" w:eastAsiaTheme="minorEastAsia"/>
                        <w:bCs/>
                        <w:kern w:val="2"/>
                        <w:sz w:val="18"/>
                        <w:szCs w:val="18"/>
                      </w:rPr>
                    </w:pPr>
                    <w:r>
                      <w:rPr>
                        <w:rFonts w:ascii="Times New Roman" w:cs="Times New Roman" w:hAnsiTheme="minorEastAsia" w:eastAsiaTheme="minorEastAsia"/>
                        <w:bCs/>
                        <w:kern w:val="2"/>
                        <w:sz w:val="18"/>
                        <w:szCs w:val="18"/>
                      </w:rPr>
                      <w:t>其他应收款</w:t>
                    </w:r>
                  </w:p>
                </w:tc>
                <w:tc>
                  <w:tcPr>
                    <w:tcW w:w="1579" w:type="pct"/>
                    <w:vAlign w:val="bottom"/>
                  </w:tcPr>
                  <w:p>
                    <w:pPr>
                      <w:spacing w:line="480" w:lineRule="exact"/>
                      <w:jc w:val="right"/>
                      <w:rPr>
                        <w:rFonts w:ascii="Times New Roman" w:hAnsi="Times New Roman" w:cs="Times New Roman" w:eastAsiaTheme="minorEastAsia"/>
                        <w:color w:val="000000"/>
                        <w:kern w:val="2"/>
                        <w:sz w:val="18"/>
                        <w:szCs w:val="18"/>
                      </w:rPr>
                    </w:pPr>
                    <w:r>
                      <w:rPr>
                        <w:rFonts w:ascii="Times New Roman" w:hAnsi="Times New Roman" w:cs="Times New Roman" w:eastAsiaTheme="minorEastAsia"/>
                        <w:color w:val="000000"/>
                        <w:kern w:val="2"/>
                        <w:sz w:val="18"/>
                        <w:szCs w:val="18"/>
                      </w:rPr>
                      <w:t>28,100,055.76</w:t>
                    </w:r>
                  </w:p>
                </w:tc>
                <w:tc>
                  <w:tcPr>
                    <w:tcW w:w="1529" w:type="pct"/>
                    <w:vAlign w:val="bottom"/>
                  </w:tcPr>
                  <w:p>
                    <w:pPr>
                      <w:spacing w:line="480" w:lineRule="exact"/>
                      <w:jc w:val="right"/>
                      <w:rPr>
                        <w:rFonts w:ascii="Times New Roman" w:hAnsi="Times New Roman" w:cs="Times New Roman" w:eastAsiaTheme="minorEastAsia"/>
                        <w:color w:val="000000"/>
                        <w:kern w:val="2"/>
                        <w:sz w:val="18"/>
                        <w:szCs w:val="18"/>
                      </w:rPr>
                    </w:pPr>
                    <w:r>
                      <w:rPr>
                        <w:rFonts w:ascii="Times New Roman" w:hAnsi="Times New Roman" w:cs="Times New Roman" w:eastAsiaTheme="minorEastAsia"/>
                        <w:color w:val="000000"/>
                        <w:kern w:val="2"/>
                        <w:sz w:val="18"/>
                        <w:szCs w:val="18"/>
                      </w:rPr>
                      <w:t>17,026,749.55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92" w:type="pct"/>
                    <w:vAlign w:val="center"/>
                  </w:tcPr>
                  <w:p>
                    <w:pPr>
                      <w:widowControl w:val="0"/>
                      <w:tabs>
                        <w:tab w:val="left" w:pos="196"/>
                        <w:tab w:val="left" w:pos="426"/>
                      </w:tabs>
                      <w:spacing w:line="480" w:lineRule="exact"/>
                      <w:jc w:val="center"/>
                      <w:rPr>
                        <w:rFonts w:ascii="Times New Roman" w:hAnsi="Times New Roman" w:cs="Times New Roman" w:eastAsiaTheme="minorEastAsia"/>
                        <w:bCs/>
                        <w:kern w:val="2"/>
                        <w:sz w:val="18"/>
                        <w:szCs w:val="18"/>
                      </w:rPr>
                    </w:pPr>
                    <w:r>
                      <w:rPr>
                        <w:rFonts w:ascii="Times New Roman" w:cs="Times New Roman" w:hAnsiTheme="minorEastAsia" w:eastAsiaTheme="minorEastAsia"/>
                        <w:bCs/>
                        <w:kern w:val="2"/>
                        <w:sz w:val="18"/>
                        <w:szCs w:val="18"/>
                      </w:rPr>
                      <w:t>合计</w:t>
                    </w:r>
                  </w:p>
                </w:tc>
                <w:tc>
                  <w:tcPr>
                    <w:tcW w:w="1579" w:type="pct"/>
                    <w:vAlign w:val="bottom"/>
                  </w:tcPr>
                  <w:p>
                    <w:pPr>
                      <w:spacing w:line="480" w:lineRule="exact"/>
                      <w:jc w:val="right"/>
                      <w:rPr>
                        <w:rFonts w:ascii="Times New Roman" w:hAnsi="Times New Roman" w:cs="Times New Roman" w:eastAsiaTheme="minorEastAsia"/>
                        <w:color w:val="000000"/>
                        <w:kern w:val="2"/>
                        <w:sz w:val="18"/>
                        <w:szCs w:val="18"/>
                      </w:rPr>
                    </w:pPr>
                    <w:r>
                      <w:rPr>
                        <w:rFonts w:ascii="Times New Roman" w:hAnsi="Times New Roman" w:cs="Times New Roman" w:eastAsiaTheme="minorEastAsia"/>
                        <w:color w:val="000000"/>
                        <w:kern w:val="2"/>
                        <w:sz w:val="18"/>
                        <w:szCs w:val="18"/>
                      </w:rPr>
                      <w:t>166,588,156.15</w:t>
                    </w:r>
                  </w:p>
                </w:tc>
                <w:tc>
                  <w:tcPr>
                    <w:tcW w:w="1529" w:type="pct"/>
                    <w:vAlign w:val="bottom"/>
                  </w:tcPr>
                  <w:p>
                    <w:pPr>
                      <w:spacing w:line="480" w:lineRule="exact"/>
                      <w:jc w:val="right"/>
                      <w:rPr>
                        <w:rFonts w:ascii="Times New Roman" w:hAnsi="Times New Roman" w:cs="Times New Roman" w:eastAsiaTheme="minorEastAsia"/>
                        <w:color w:val="000000"/>
                        <w:kern w:val="2"/>
                        <w:sz w:val="18"/>
                        <w:szCs w:val="18"/>
                      </w:rPr>
                    </w:pPr>
                    <w:r>
                      <w:rPr>
                        <w:rFonts w:ascii="Times New Roman" w:hAnsi="Times New Roman" w:cs="Times New Roman" w:eastAsiaTheme="minorEastAsia"/>
                        <w:color w:val="000000"/>
                        <w:kern w:val="2"/>
                        <w:sz w:val="18"/>
                        <w:szCs w:val="18"/>
                      </w:rPr>
                      <w:t>67,771,818.58</w:t>
                    </w:r>
                  </w:p>
                </w:tc>
              </w:tr>
            </w:tbl>
            <w:p>
              <w:pPr>
                <w:widowControl w:val="0"/>
                <w:tabs>
                  <w:tab w:val="left" w:pos="426"/>
                  <w:tab w:val="left" w:pos="1134"/>
                  <w:tab w:val="left" w:pos="1418"/>
                </w:tabs>
                <w:adjustRightInd w:val="0"/>
                <w:snapToGrid w:val="0"/>
                <w:spacing w:line="480" w:lineRule="exact"/>
                <w:ind w:firstLine="422" w:firstLineChars="200"/>
                <w:jc w:val="both"/>
                <w:rPr>
                  <w:rFonts w:cs="Times New Roman" w:asciiTheme="minorEastAsia" w:hAnsiTheme="minorEastAsia" w:eastAsiaTheme="minorEastAsia"/>
                  <w:b/>
                  <w:kern w:val="2"/>
                  <w:szCs w:val="21"/>
                </w:rPr>
              </w:pPr>
              <w:r>
                <w:rPr>
                  <w:rFonts w:cs="Times New Roman" w:asciiTheme="minorEastAsia" w:hAnsiTheme="minorEastAsia" w:eastAsiaTheme="minorEastAsia"/>
                  <w:b/>
                  <w:kern w:val="2"/>
                  <w:szCs w:val="21"/>
                </w:rPr>
                <w:t>（二）流动性风险</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流动性风险是指本</w:t>
              </w:r>
              <w:r>
                <w:rPr>
                  <w:rFonts w:hint="eastAsia" w:cs="Times New Roman" w:asciiTheme="minorEastAsia" w:hAnsiTheme="minorEastAsia" w:eastAsiaTheme="minorEastAsia"/>
                  <w:kern w:val="2"/>
                  <w:szCs w:val="21"/>
                </w:rPr>
                <w:t>公司</w:t>
              </w:r>
              <w:r>
                <w:rPr>
                  <w:rFonts w:cs="Times New Roman" w:asciiTheme="minorEastAsia" w:hAnsiTheme="minorEastAsia" w:eastAsiaTheme="minorEastAsia"/>
                  <w:kern w:val="2"/>
                  <w:szCs w:val="21"/>
                </w:rPr>
                <w:t>在履行以交付现金或其他金融资产</w:t>
              </w:r>
              <w:r>
                <w:rPr>
                  <w:rFonts w:hint="eastAsia" w:cs="Times New Roman" w:asciiTheme="minorEastAsia" w:hAnsiTheme="minorEastAsia" w:eastAsiaTheme="minorEastAsia"/>
                  <w:kern w:val="2"/>
                  <w:szCs w:val="21"/>
                </w:rPr>
                <w:t>的方式</w:t>
              </w:r>
              <w:r>
                <w:rPr>
                  <w:rFonts w:cs="Times New Roman" w:asciiTheme="minorEastAsia" w:hAnsiTheme="minorEastAsia" w:eastAsiaTheme="minorEastAsia"/>
                  <w:kern w:val="2"/>
                  <w:szCs w:val="21"/>
                </w:rPr>
                <w:t>结算的义务时</w:t>
              </w:r>
              <w:r>
                <w:rPr>
                  <w:rFonts w:hint="eastAsia" w:cs="Times New Roman" w:asciiTheme="minorEastAsia" w:hAnsiTheme="minorEastAsia" w:eastAsiaTheme="minorEastAsia"/>
                  <w:kern w:val="2"/>
                  <w:szCs w:val="21"/>
                </w:rPr>
                <w:t>发生</w:t>
              </w:r>
              <w:r>
                <w:rPr>
                  <w:rFonts w:cs="Times New Roman" w:asciiTheme="minorEastAsia" w:hAnsiTheme="minorEastAsia" w:eastAsiaTheme="minorEastAsia"/>
                  <w:kern w:val="2"/>
                  <w:szCs w:val="21"/>
                </w:rPr>
                <w:t>资金短缺的风险。本</w:t>
              </w:r>
              <w:r>
                <w:rPr>
                  <w:rFonts w:hint="eastAsia" w:cs="Times New Roman" w:asciiTheme="minorEastAsia" w:hAnsiTheme="minorEastAsia" w:eastAsiaTheme="minorEastAsia"/>
                  <w:kern w:val="2"/>
                  <w:szCs w:val="21"/>
                </w:rPr>
                <w:t>公司</w:t>
              </w:r>
              <w:r>
                <w:rPr>
                  <w:rFonts w:cs="Times New Roman" w:asciiTheme="minorEastAsia" w:hAnsiTheme="minorEastAsia" w:eastAsiaTheme="minorEastAsia"/>
                  <w:kern w:val="2"/>
                  <w:szCs w:val="21"/>
                </w:rPr>
                <w:t>下属成员企业各自负责其现金流量预测。</w:t>
              </w:r>
              <w:r>
                <w:rPr>
                  <w:rFonts w:hint="eastAsia" w:cs="Times New Roman" w:asciiTheme="minorEastAsia" w:hAnsiTheme="minorEastAsia" w:eastAsiaTheme="minorEastAsia"/>
                  <w:kern w:val="2"/>
                  <w:szCs w:val="21"/>
                </w:rPr>
                <w:t>公司</w:t>
              </w:r>
              <w:r>
                <w:rPr>
                  <w:rFonts w:cs="Times New Roman" w:asciiTheme="minorEastAsia" w:hAnsiTheme="minorEastAsia" w:eastAsiaTheme="minorEastAsia"/>
                  <w:kern w:val="2"/>
                  <w:szCs w:val="21"/>
                </w:rPr>
                <w:t>下属</w:t>
              </w:r>
              <w:r>
                <w:rPr>
                  <w:rFonts w:hint="eastAsia" w:cs="Times New Roman" w:asciiTheme="minorEastAsia" w:hAnsiTheme="minorEastAsia" w:eastAsiaTheme="minorEastAsia"/>
                  <w:kern w:val="2"/>
                  <w:szCs w:val="21"/>
                </w:rPr>
                <w:t>财务部</w:t>
              </w:r>
              <w:r>
                <w:rPr>
                  <w:rFonts w:cs="Times New Roman" w:asciiTheme="minorEastAsia" w:hAnsiTheme="minorEastAsia" w:eastAsiaTheme="minorEastAsia"/>
                  <w:kern w:val="2"/>
                  <w:szCs w:val="21"/>
                </w:rPr>
                <w:t>基于各成员企业的现金流量预测结果，在</w:t>
              </w:r>
              <w:r>
                <w:rPr>
                  <w:rFonts w:hint="eastAsia" w:cs="Times New Roman" w:asciiTheme="minorEastAsia" w:hAnsiTheme="minorEastAsia" w:eastAsiaTheme="minorEastAsia"/>
                  <w:kern w:val="2"/>
                  <w:szCs w:val="21"/>
                </w:rPr>
                <w:t>公司</w:t>
              </w:r>
              <w:r>
                <w:rPr>
                  <w:rFonts w:cs="Times New Roman" w:asciiTheme="minorEastAsia" w:hAnsiTheme="minorEastAsia" w:eastAsiaTheme="minorEastAsia"/>
                  <w:kern w:val="2"/>
                  <w:szCs w:val="21"/>
                </w:rPr>
                <w:t>层面</w:t>
              </w:r>
              <w:r>
                <w:rPr>
                  <w:rFonts w:hint="eastAsia" w:cs="Times New Roman" w:asciiTheme="minorEastAsia" w:hAnsiTheme="minorEastAsia" w:eastAsiaTheme="minorEastAsia"/>
                  <w:kern w:val="2"/>
                  <w:szCs w:val="21"/>
                </w:rPr>
                <w:t>持续监控公司短期和长期的资金需求，以确保维持充裕的现金储备；同时持续监控是否符合借款协议的规定，从主要金融机构获得提供足够备用资金的承诺，以满足短期和长期的资金需求。</w:t>
              </w:r>
            </w:p>
            <w:p>
              <w:pPr>
                <w:widowControl w:val="0"/>
                <w:tabs>
                  <w:tab w:val="left" w:pos="426"/>
                  <w:tab w:val="left" w:pos="1134"/>
                  <w:tab w:val="left" w:pos="1418"/>
                </w:tabs>
                <w:adjustRightInd w:val="0"/>
                <w:snapToGrid w:val="0"/>
                <w:spacing w:line="480" w:lineRule="exact"/>
                <w:ind w:firstLine="422" w:firstLineChars="200"/>
                <w:jc w:val="both"/>
                <w:rPr>
                  <w:rFonts w:cs="Times New Roman" w:asciiTheme="minorEastAsia" w:hAnsiTheme="minorEastAsia" w:eastAsiaTheme="minorEastAsia"/>
                  <w:b/>
                  <w:kern w:val="2"/>
                  <w:szCs w:val="21"/>
                </w:rPr>
              </w:pPr>
              <w:r>
                <w:rPr>
                  <w:rFonts w:cs="Times New Roman" w:asciiTheme="minorEastAsia" w:hAnsiTheme="minorEastAsia" w:eastAsiaTheme="minorEastAsia"/>
                  <w:b/>
                  <w:kern w:val="2"/>
                  <w:szCs w:val="21"/>
                </w:rPr>
                <w:t>（三）市场风险</w:t>
              </w:r>
            </w:p>
            <w:p>
              <w:pPr>
                <w:widowControl w:val="0"/>
                <w:tabs>
                  <w:tab w:val="left" w:pos="426"/>
                  <w:tab w:val="left" w:pos="1134"/>
                  <w:tab w:val="left" w:pos="1418"/>
                </w:tabs>
                <w:adjustRightInd w:val="0"/>
                <w:snapToGrid w:val="0"/>
                <w:spacing w:line="480" w:lineRule="exact"/>
                <w:ind w:firstLine="422" w:firstLineChars="200"/>
                <w:jc w:val="both"/>
                <w:rPr>
                  <w:rFonts w:cs="Times New Roman" w:asciiTheme="minorEastAsia" w:hAnsiTheme="minorEastAsia" w:eastAsiaTheme="minorEastAsia"/>
                  <w:b/>
                  <w:kern w:val="2"/>
                  <w:szCs w:val="21"/>
                </w:rPr>
              </w:pPr>
              <w:r>
                <w:rPr>
                  <w:rFonts w:cs="Times New Roman" w:asciiTheme="minorEastAsia" w:hAnsiTheme="minorEastAsia" w:eastAsiaTheme="minorEastAsia"/>
                  <w:b/>
                  <w:kern w:val="2"/>
                  <w:szCs w:val="21"/>
                </w:rPr>
                <w:t>1、汇率风险</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本公司的主要经营位于中国境内，主要业务以人民币结算。但本公司已确认的外币资产和负债及未来的外币交易（外币资产和负债及外币交易的计价货币主要为美元、港币、欧元）依然存在汇率风险。本公财务部门负责监控公司外币交易和外币资产及负债的规模，以最大程度降低面临的汇率风险。</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截止2021年12月31日，本年度公司未签署任何远期外汇合约或货币互换合约。</w:t>
              </w:r>
            </w:p>
            <w:p>
              <w:pPr>
                <w:widowControl w:val="0"/>
                <w:tabs>
                  <w:tab w:val="left" w:pos="426"/>
                  <w:tab w:val="left" w:pos="1134"/>
                  <w:tab w:val="left" w:pos="1418"/>
                </w:tabs>
                <w:adjustRightInd w:val="0"/>
                <w:snapToGrid w:val="0"/>
                <w:spacing w:line="480" w:lineRule="exact"/>
                <w:ind w:firstLine="422" w:firstLineChars="200"/>
                <w:jc w:val="both"/>
                <w:rPr>
                  <w:rFonts w:cs="Times New Roman" w:asciiTheme="minorEastAsia" w:hAnsiTheme="minorEastAsia" w:eastAsiaTheme="minorEastAsia"/>
                  <w:b/>
                  <w:kern w:val="2"/>
                  <w:szCs w:val="21"/>
                </w:rPr>
              </w:pPr>
              <w:r>
                <w:rPr>
                  <w:rFonts w:cs="Times New Roman" w:asciiTheme="minorEastAsia" w:hAnsiTheme="minorEastAsia" w:eastAsiaTheme="minorEastAsia"/>
                  <w:b/>
                  <w:kern w:val="2"/>
                  <w:szCs w:val="21"/>
                </w:rPr>
                <w:t>2、利率风险</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本公司的利率风险主要产生于银行借款等。浮动利率的金融负债使本公司面临现金流量利率风险，固定利率的金融负债使本公司面临公允价值利率风险。本公司根据当时的市场环境来决定固定利率及浮动利率合同的相对比例。</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本公司财务部门持续监控公司利率水平。利率上升会增加新增带息债务的成本以及本公司尚未付清的以浮动利率计息的带息债务的利息支出，并对本公司的财务业绩产生重大的不利影响，管理层会依据最新的市场状况及时做出调整来降低利率风险。</w:t>
              </w:r>
            </w:p>
            <w:p>
              <w:pPr>
                <w:widowControl w:val="0"/>
                <w:tabs>
                  <w:tab w:val="left" w:pos="426"/>
                  <w:tab w:val="left" w:pos="1134"/>
                  <w:tab w:val="left" w:pos="1418"/>
                </w:tabs>
                <w:adjustRightInd w:val="0"/>
                <w:snapToGrid w:val="0"/>
                <w:spacing w:line="480" w:lineRule="exact"/>
                <w:ind w:firstLine="422" w:firstLineChars="200"/>
                <w:jc w:val="both"/>
                <w:rPr>
                  <w:rFonts w:cs="Times New Roman" w:asciiTheme="minorEastAsia" w:hAnsiTheme="minorEastAsia" w:eastAsiaTheme="minorEastAsia"/>
                  <w:b/>
                  <w:kern w:val="2"/>
                  <w:szCs w:val="21"/>
                </w:rPr>
              </w:pPr>
              <w:r>
                <w:rPr>
                  <w:rFonts w:cs="Times New Roman" w:asciiTheme="minorEastAsia" w:hAnsiTheme="minorEastAsia" w:eastAsiaTheme="minorEastAsia"/>
                  <w:b/>
                  <w:kern w:val="2"/>
                  <w:szCs w:val="21"/>
                </w:rPr>
                <w:t>3、价格风险</w:t>
              </w:r>
            </w:p>
            <w:p>
              <w:pPr>
                <w:widowControl w:val="0"/>
                <w:tabs>
                  <w:tab w:val="left" w:pos="196"/>
                  <w:tab w:val="left" w:pos="426"/>
                </w:tabs>
                <w:adjustRightInd w:val="0"/>
                <w:snapToGrid w:val="0"/>
                <w:spacing w:line="480" w:lineRule="exact"/>
                <w:ind w:firstLine="420" w:firstLineChars="200"/>
                <w:jc w:val="both"/>
                <w:rPr>
                  <w:rFonts w:cs="Times New Roman" w:asciiTheme="minorEastAsia" w:hAnsiTheme="minorEastAsia" w:eastAsiaTheme="minorEastAsia"/>
                  <w:kern w:val="2"/>
                  <w:szCs w:val="21"/>
                </w:rPr>
              </w:pPr>
              <w:r>
                <w:rPr>
                  <w:rFonts w:hint="eastAsia" w:cs="Times New Roman" w:asciiTheme="minorEastAsia" w:hAnsiTheme="minorEastAsia" w:eastAsiaTheme="minorEastAsia"/>
                  <w:kern w:val="2"/>
                  <w:szCs w:val="21"/>
                </w:rPr>
                <w:t>本公司持有的分类为交易性金融资产的投资在资产负债表日以其公允价值列示。因此，本公司面临价格风险。本公司已于公司内部成立投资管理部，由指定成员密切监控投资产品之价格变动。因此本公司董事认为公司面临之价格风险已被缓解。</w:t>
              </w:r>
            </w:p>
            <w:p>
              <w:pPr>
                <w:rPr>
                  <w:b/>
                  <w:szCs w:val="21"/>
                </w:rPr>
              </w:pPr>
            </w:p>
          </w:sdtContent>
        </w:sdt>
        <w:p>
          <w:pPr>
            <w:rPr>
              <w:color w:val="808080"/>
              <w:szCs w:val="21"/>
            </w:rPr>
          </w:pPr>
        </w:p>
      </w:sdtContent>
    </w:sdt>
    <w:p>
      <w:pPr>
        <w:pStyle w:val="3"/>
        <w:numPr>
          <w:ilvl w:val="0"/>
          <w:numId w:val="54"/>
        </w:numPr>
        <w:rPr>
          <w:rFonts w:ascii="宋体" w:hAnsi="宋体"/>
        </w:rPr>
      </w:pPr>
      <w:r>
        <w:rPr>
          <w:rFonts w:hint="eastAsia" w:ascii="宋体" w:hAnsi="宋体"/>
        </w:rPr>
        <w:t>公允价值的披露</w:t>
      </w:r>
    </w:p>
    <w:sdt>
      <w:sdtPr>
        <w:rPr>
          <w:rFonts w:ascii="宋体" w:hAnsi="宋体" w:cs="宋体"/>
          <w:b w:val="0"/>
          <w:bCs w:val="0"/>
          <w:kern w:val="0"/>
          <w:szCs w:val="24"/>
        </w:rPr>
        <w:alias w:val="模块:"/>
        <w:tag w:val="_SEC_c2e6f9f8026e4755b0d598a62dfd0d45"/>
        <w:id w:val="865726799"/>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120"/>
            </w:numPr>
          </w:pPr>
          <w:bookmarkStart w:id="224" w:name="_Hlk10539195"/>
          <w:bookmarkStart w:id="225" w:name="_Hlk24030209"/>
          <w:r>
            <w:rPr>
              <w:rFonts w:hint="eastAsia"/>
            </w:rPr>
            <w:t>以公允价值计量的资产和负债的期末公允价值</w:t>
          </w:r>
        </w:p>
        <w:sdt>
          <w:sdtPr>
            <w:alias w:val="是否适用：以公允价值计量的资产和负债的期末公允价值[双击切换]"/>
            <w:tag w:val="_GBC_6fbb4bafbfc548fdbb4a25b91f07bd6a"/>
            <w:id w:val="86572675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以公允价值计量的资产和负债的期末公允价值"/>
              <w:tag w:val="_GBC_2c45ed0b719e4292b6389023b9ce1031"/>
              <w:id w:val="8657267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8657267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224"/>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1704"/>
            <w:gridCol w:w="1664"/>
            <w:gridCol w:w="1732"/>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sdt>
              <w:sdtPr>
                <w:rPr>
                  <w:rFonts w:ascii="Times New Roman" w:hAnsi="Times New Roman"/>
                </w:rPr>
                <w:tag w:val="_PLD_163e93b7c897498dae37bc5c38a11afe"/>
                <w:id w:val="182965315"/>
                <w:lock w:val="sdtLocked"/>
              </w:sdtPr>
              <w:sdtEndPr>
                <w:rPr>
                  <w:rFonts w:ascii="Times New Roman" w:hAnsi="Times New Roman"/>
                </w:rPr>
              </w:sdtEndPr>
              <w:sdtContent>
                <w:tc>
                  <w:tcPr>
                    <w:tcW w:w="1337" w:type="pct"/>
                    <w:vMerge w:val="restart"/>
                    <w:tcBorders>
                      <w:top w:val="single" w:color="auto" w:sz="4" w:space="0"/>
                      <w:left w:val="single" w:color="auto" w:sz="4" w:space="0"/>
                      <w:right w:val="single" w:color="auto" w:sz="4" w:space="0"/>
                    </w:tcBorders>
                    <w:shd w:val="clear" w:color="auto" w:fill="auto"/>
                    <w:vAlign w:val="center"/>
                  </w:tcPr>
                  <w:p>
                    <w:pPr>
                      <w:jc w:val="center"/>
                      <w:outlineLvl w:val="2"/>
                      <w:rPr>
                        <w:rFonts w:ascii="Times New Roman" w:hAnsi="Times New Roman"/>
                        <w:szCs w:val="21"/>
                      </w:rPr>
                    </w:pPr>
                    <w:r>
                      <w:rPr>
                        <w:rFonts w:ascii="Times New Roman"/>
                        <w:szCs w:val="21"/>
                      </w:rPr>
                      <w:t>项目</w:t>
                    </w:r>
                  </w:p>
                </w:tc>
              </w:sdtContent>
            </w:sdt>
            <w:sdt>
              <w:sdtPr>
                <w:rPr>
                  <w:rFonts w:ascii="Times New Roman" w:hAnsi="Times New Roman"/>
                </w:rPr>
                <w:tag w:val="_PLD_b8bd62f651414617bea8612c55db30ce"/>
                <w:id w:val="182965316"/>
                <w:lock w:val="sdtLocked"/>
              </w:sdtPr>
              <w:sdtEndPr>
                <w:rPr>
                  <w:rFonts w:ascii="Times New Roman" w:hAnsi="Times New Roman"/>
                </w:rPr>
              </w:sdtEndPr>
              <w:sdtContent>
                <w:tc>
                  <w:tcPr>
                    <w:tcW w:w="366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ascii="Times New Roman" w:hAnsi="Times New Roman"/>
                        <w:szCs w:val="21"/>
                      </w:rPr>
                    </w:pPr>
                    <w:r>
                      <w:rPr>
                        <w:rFonts w:ascii="Times New Roman"/>
                        <w:szCs w:val="21"/>
                      </w:rPr>
                      <w:t>期末公允价值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337" w:type="pct"/>
                <w:vMerge w:val="continue"/>
                <w:tcBorders>
                  <w:left w:val="single" w:color="auto" w:sz="4" w:space="0"/>
                  <w:bottom w:val="single" w:color="auto" w:sz="4" w:space="0"/>
                  <w:right w:val="single" w:color="auto" w:sz="4" w:space="0"/>
                </w:tcBorders>
                <w:shd w:val="clear" w:color="auto" w:fill="auto"/>
                <w:vAlign w:val="center"/>
              </w:tcPr>
              <w:p>
                <w:pPr>
                  <w:jc w:val="center"/>
                  <w:outlineLvl w:val="2"/>
                  <w:rPr>
                    <w:rFonts w:ascii="Times New Roman" w:hAnsi="Times New Roman"/>
                    <w:szCs w:val="21"/>
                  </w:rPr>
                </w:pPr>
              </w:p>
            </w:tc>
            <w:sdt>
              <w:sdtPr>
                <w:rPr>
                  <w:rFonts w:ascii="Times New Roman" w:hAnsi="Times New Roman"/>
                </w:rPr>
                <w:tag w:val="_PLD_8b204b4b1832494b8312fec08990548b"/>
                <w:id w:val="182965317"/>
                <w:lock w:val="sdtLocked"/>
              </w:sdtPr>
              <w:sdtEndPr>
                <w:rPr>
                  <w:rFonts w:ascii="Times New Roman" w:hAnsi="Times New Roman"/>
                </w:rPr>
              </w:sdtEndPr>
              <w:sdtContent>
                <w:tc>
                  <w:tcPr>
                    <w:tcW w:w="94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ascii="Times New Roman" w:hAnsi="Times New Roman"/>
                        <w:szCs w:val="21"/>
                      </w:rPr>
                    </w:pPr>
                    <w:r>
                      <w:rPr>
                        <w:rFonts w:ascii="Times New Roman"/>
                        <w:szCs w:val="21"/>
                      </w:rPr>
                      <w:t>第一层次公允价值计量</w:t>
                    </w:r>
                  </w:p>
                </w:tc>
              </w:sdtContent>
            </w:sdt>
            <w:sdt>
              <w:sdtPr>
                <w:rPr>
                  <w:rFonts w:ascii="Times New Roman" w:hAnsi="Times New Roman"/>
                </w:rPr>
                <w:tag w:val="_PLD_de23a118a4e8435d9b0e1e2e2e494f30"/>
                <w:id w:val="182965318"/>
                <w:lock w:val="sdtLocked"/>
              </w:sdtPr>
              <w:sdtEndPr>
                <w:rPr>
                  <w:rFonts w:ascii="Times New Roman" w:hAnsi="Times New Roman"/>
                </w:rPr>
              </w:sdtEnd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ascii="Times New Roman" w:hAnsi="Times New Roman"/>
                        <w:szCs w:val="21"/>
                      </w:rPr>
                    </w:pPr>
                    <w:r>
                      <w:rPr>
                        <w:rFonts w:ascii="Times New Roman"/>
                        <w:szCs w:val="21"/>
                      </w:rPr>
                      <w:t>第二层次公允价值计量</w:t>
                    </w:r>
                  </w:p>
                </w:tc>
              </w:sdtContent>
            </w:sdt>
            <w:sdt>
              <w:sdtPr>
                <w:rPr>
                  <w:rFonts w:ascii="Times New Roman" w:hAnsi="Times New Roman"/>
                </w:rPr>
                <w:tag w:val="_PLD_4cb787262d4b4096b0d321ac48721dd2"/>
                <w:id w:val="182965319"/>
                <w:lock w:val="sdtLocked"/>
              </w:sdtPr>
              <w:sdtEndPr>
                <w:rPr>
                  <w:rFonts w:ascii="Times New Roman" w:hAnsi="Times New Roman"/>
                </w:rPr>
              </w:sdtEndPr>
              <w:sdtContent>
                <w:tc>
                  <w:tcPr>
                    <w:tcW w:w="9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ascii="Times New Roman" w:hAnsi="Times New Roman"/>
                        <w:szCs w:val="21"/>
                      </w:rPr>
                    </w:pPr>
                    <w:r>
                      <w:rPr>
                        <w:rFonts w:ascii="Times New Roman"/>
                        <w:szCs w:val="21"/>
                      </w:rPr>
                      <w:t>第三层次公允价值计量</w:t>
                    </w:r>
                  </w:p>
                </w:tc>
              </w:sdtContent>
            </w:sdt>
            <w:sdt>
              <w:sdtPr>
                <w:rPr>
                  <w:rFonts w:ascii="Times New Roman" w:hAnsi="Times New Roman"/>
                </w:rPr>
                <w:tag w:val="_PLD_fb89c54d0c8e4fe2990587a96b78b5ca"/>
                <w:id w:val="182965320"/>
                <w:lock w:val="sdtLocked"/>
              </w:sdtPr>
              <w:sdtEndPr>
                <w:rPr>
                  <w:rFonts w:ascii="Times New Roman" w:hAnsi="Times New Roman"/>
                </w:rPr>
              </w:sdtEndPr>
              <w:sdtContent>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ascii="Times New Roman" w:hAnsi="Times New Roman"/>
                        <w:szCs w:val="21"/>
                      </w:rPr>
                    </w:pPr>
                    <w:r>
                      <w:rPr>
                        <w:rFonts w:ascii="Times New Roman"/>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sdt>
              <w:sdtPr>
                <w:rPr>
                  <w:rFonts w:ascii="Times New Roman" w:hAnsi="Times New Roman"/>
                </w:rPr>
                <w:tag w:val="_PLD_e49fdea230ef4b0da0cf964b389819eb"/>
                <w:id w:val="182965321"/>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b/>
                        <w:szCs w:val="21"/>
                      </w:rPr>
                    </w:pPr>
                    <w:r>
                      <w:rPr>
                        <w:rFonts w:ascii="Times New Roman"/>
                        <w:b/>
                        <w:szCs w:val="21"/>
                      </w:rPr>
                      <w:t>一、持续的公允价值计量</w:t>
                    </w:r>
                  </w:p>
                </w:tc>
              </w:sdtContent>
            </w:sdt>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rPr>
                  <w:tag w:val="_PLD_f82db915b16a4b2899a6b3bfdd4f9c38"/>
                  <w:id w:val="182965322"/>
                  <w:lock w:val="sdtLocked"/>
                </w:sdtPr>
                <w:sdtEndPr>
                  <w:rPr>
                    <w:rFonts w:ascii="Times New Roman" w:hAnsi="Times New Roman"/>
                    <w:shd w:val="solid" w:color="FFFFFF" w:fill="auto"/>
                  </w:rPr>
                </w:sdtEndPr>
                <w:sdtContent>
                  <w:p>
                    <w:pPr>
                      <w:outlineLvl w:val="2"/>
                      <w:rPr>
                        <w:rFonts w:ascii="Times New Roman" w:hAnsi="Times New Roman"/>
                      </w:rPr>
                    </w:pPr>
                    <w:r>
                      <w:rPr>
                        <w:rFonts w:ascii="Times New Roman"/>
                      </w:rPr>
                      <w:t>（一）</w:t>
                    </w:r>
                    <w:r>
                      <w:rPr>
                        <w:rFonts w:ascii="Times New Roman"/>
                        <w:shd w:val="solid" w:color="FFFFFF" w:fill="auto"/>
                      </w:rPr>
                      <w:t>交易性金融资产</w:t>
                    </w:r>
                  </w:p>
                </w:sdtContent>
              </w:sdt>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r>
                  <w:rPr>
                    <w:rFonts w:ascii="Times New Roman" w:hAnsi="Times New Roman"/>
                    <w:szCs w:val="21"/>
                  </w:rPr>
                  <w:t>240,812,391.20</w:t>
                </w: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r>
                  <w:rPr>
                    <w:rFonts w:ascii="Times New Roman" w:hAnsi="Times New Roman"/>
                    <w:szCs w:val="21"/>
                  </w:rPr>
                  <w:t>240,812,391.20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rPr>
                  <w:tag w:val="_PLD_8cc0c5e5643d48d2bba6cb5b17fb8d94"/>
                  <w:id w:val="182965323"/>
                  <w:lock w:val="sdtLocked"/>
                </w:sdtPr>
                <w:sdtEndPr>
                  <w:rPr>
                    <w:rFonts w:ascii="Times New Roman" w:hAnsi="Times New Roman"/>
                  </w:rPr>
                </w:sdtEndPr>
                <w:sdtContent>
                  <w:p>
                    <w:pPr>
                      <w:outlineLvl w:val="2"/>
                      <w:rPr>
                        <w:rFonts w:ascii="Times New Roman" w:hAnsi="Times New Roman"/>
                      </w:rPr>
                    </w:pPr>
                    <w:r>
                      <w:rPr>
                        <w:rFonts w:ascii="Times New Roman" w:hAnsi="Times New Roman"/>
                      </w:rPr>
                      <w:t>1.</w:t>
                    </w:r>
                    <w:r>
                      <w:rPr>
                        <w:rFonts w:ascii="Times New Roman"/>
                      </w:rPr>
                      <w:t>以公允价值计量且变动计入当期损益的金融资产</w:t>
                    </w:r>
                  </w:p>
                </w:sdtContent>
              </w:sdt>
            </w:tc>
            <w:tc>
              <w:tcPr>
                <w:tcW w:w="94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r>
                  <w:rPr>
                    <w:rFonts w:ascii="Times New Roman" w:hAnsi="Times New Roman"/>
                  </w:rPr>
                  <w:t>240,812,391.20</w:t>
                </w:r>
              </w:p>
            </w:tc>
            <w:tc>
              <w:tcPr>
                <w:tcW w:w="9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r>
                  <w:rPr>
                    <w:rFonts w:ascii="Times New Roman" w:hAnsi="Times New Roman"/>
                  </w:rPr>
                  <w:t>240,812,391.20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4d7769188dcd4c7c8df05e497b03295d"/>
                <w:id w:val="182965324"/>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szCs w:val="21"/>
                      </w:rPr>
                      <w:t>（</w:t>
                    </w:r>
                    <w:r>
                      <w:rPr>
                        <w:rFonts w:ascii="Times New Roman" w:hAnsi="Times New Roman"/>
                        <w:szCs w:val="21"/>
                      </w:rPr>
                      <w:t>1</w:t>
                    </w:r>
                    <w:r>
                      <w:rPr>
                        <w:rFonts w:ascii="Times New Roman"/>
                        <w:szCs w:val="21"/>
                      </w:rPr>
                      <w:t>）债务工具投资</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6d020123248541b497fe0c0712f8e722"/>
                <w:id w:val="182965325"/>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szCs w:val="21"/>
                      </w:rPr>
                      <w:t>（</w:t>
                    </w:r>
                    <w:r>
                      <w:rPr>
                        <w:rFonts w:ascii="Times New Roman" w:hAnsi="Times New Roman"/>
                        <w:szCs w:val="21"/>
                      </w:rPr>
                      <w:t>2</w:t>
                    </w:r>
                    <w:r>
                      <w:rPr>
                        <w:rFonts w:ascii="Times New Roman"/>
                        <w:szCs w:val="21"/>
                      </w:rPr>
                      <w:t>）权益工具投资</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r>
                  <w:rPr>
                    <w:rFonts w:ascii="Times New Roman" w:hAnsi="Times New Roman"/>
                  </w:rPr>
                  <w:t>228,942,968.11</w:t>
                </w:r>
              </w:p>
            </w:tc>
            <w:tc>
              <w:tcPr>
                <w:tcW w:w="9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r>
                  <w:rPr>
                    <w:rFonts w:ascii="Times New Roman" w:hAnsi="Times New Roman"/>
                  </w:rPr>
                  <w:t>228,942,968.11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5c6de5dc139e4fa8b27c123299927fa0"/>
                <w:id w:val="182965326"/>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szCs w:val="21"/>
                      </w:rPr>
                      <w:t>（</w:t>
                    </w:r>
                    <w:r>
                      <w:rPr>
                        <w:rFonts w:ascii="Times New Roman" w:hAnsi="Times New Roman"/>
                        <w:szCs w:val="21"/>
                      </w:rPr>
                      <w:t>3</w:t>
                    </w:r>
                    <w:r>
                      <w:rPr>
                        <w:rFonts w:ascii="Times New Roman"/>
                        <w:szCs w:val="21"/>
                      </w:rPr>
                      <w:t>）衍生金融资产</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sdt>
            <w:sdtPr>
              <w:rPr>
                <w:rFonts w:cs="Cambria" w:asciiTheme="minorHAnsi" w:hAnsiTheme="minorHAnsi" w:eastAsiaTheme="minorEastAsia"/>
                <w:kern w:val="2"/>
                <w:szCs w:val="21"/>
              </w:rPr>
              <w:alias w:val="持续以公允价值计量的资产总额明细"/>
              <w:tag w:val="_TUP_4e6c46d6136147f2b16d042dc98083e9"/>
              <w:id w:val="182965327"/>
              <w:lock w:val="sdtLocked"/>
            </w:sdtPr>
            <w:sdtEndPr>
              <w:rPr>
                <w:rFonts w:ascii="Times New Roman" w:hAnsi="Times New Roman" w:cs="Times New Roman"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asciiTheme="minorHAnsi" w:hAnsiTheme="minorHAnsi" w:eastAsiaTheme="minorEastAsia"/>
                        <w:kern w:val="2"/>
                        <w:szCs w:val="21"/>
                      </w:rPr>
                      <w:t>（</w:t>
                    </w:r>
                    <w:r>
                      <w:rPr>
                        <w:rFonts w:hint="eastAsia" w:cs="Cambria" w:asciiTheme="minorHAnsi" w:hAnsiTheme="minorHAnsi" w:eastAsiaTheme="minorEastAsia"/>
                        <w:kern w:val="2"/>
                        <w:szCs w:val="21"/>
                      </w:rPr>
                      <w:t>4</w:t>
                    </w:r>
                    <w:r>
                      <w:rPr>
                        <w:rFonts w:cs="Cambria" w:asciiTheme="minorHAnsi" w:hAnsiTheme="minorHAnsi" w:eastAsiaTheme="minorEastAsia"/>
                        <w:kern w:val="2"/>
                        <w:szCs w:val="21"/>
                      </w:rPr>
                      <w:t>）其他</w:t>
                    </w:r>
                  </w:p>
                </w:tc>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cs="Times New Roman"/>
                        <w:szCs w:val="21"/>
                      </w:rPr>
                    </w:pPr>
                    <w:r>
                      <w:rPr>
                        <w:rFonts w:ascii="Times New Roman" w:hAnsi="Times New Roman" w:cs="Times New Roman"/>
                      </w:rPr>
                      <w:t>11,869,423.09</w:t>
                    </w: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cs="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cs="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cs="Times New Roman"/>
                        <w:szCs w:val="21"/>
                      </w:rPr>
                    </w:pPr>
                    <w:r>
                      <w:rPr>
                        <w:rFonts w:ascii="Times New Roman" w:hAnsi="Times New Roman" w:cs="Times New Roman"/>
                      </w:rPr>
                      <w:t>11,869,423.09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szCs w:val="21"/>
                  </w:rPr>
                  <w:tag w:val="_PLD_972e03bea0e746bba61543d32de4d4d9"/>
                  <w:id w:val="182965328"/>
                  <w:lock w:val="sdtLocked"/>
                </w:sdtPr>
                <w:sdtEndPr>
                  <w:rPr>
                    <w:rFonts w:ascii="Times New Roman" w:hAnsi="Times New Roman"/>
                    <w:szCs w:val="21"/>
                  </w:rPr>
                </w:sdtEndPr>
                <w:sdtContent>
                  <w:p>
                    <w:pPr>
                      <w:outlineLvl w:val="2"/>
                      <w:rPr>
                        <w:rFonts w:ascii="Times New Roman" w:hAnsi="Times New Roman"/>
                        <w:szCs w:val="21"/>
                      </w:rPr>
                    </w:pPr>
                    <w:r>
                      <w:rPr>
                        <w:rFonts w:ascii="Times New Roman" w:hAnsi="Times New Roman"/>
                        <w:szCs w:val="21"/>
                      </w:rPr>
                      <w:t xml:space="preserve">2. </w:t>
                    </w:r>
                    <w:r>
                      <w:rPr>
                        <w:rFonts w:ascii="Times New Roman"/>
                        <w:szCs w:val="21"/>
                      </w:rPr>
                      <w:t>指定以公允价值计量且其变动计入当期损益的金融资产</w:t>
                    </w:r>
                  </w:p>
                </w:sdtContent>
              </w:sdt>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ae29c63764c44046a189418dfeab18ec"/>
                <w:id w:val="182965329"/>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szCs w:val="21"/>
                      </w:rPr>
                      <w:t>（</w:t>
                    </w:r>
                    <w:r>
                      <w:rPr>
                        <w:rFonts w:ascii="Times New Roman" w:hAnsi="Times New Roman"/>
                        <w:szCs w:val="21"/>
                      </w:rPr>
                      <w:t>1</w:t>
                    </w:r>
                    <w:r>
                      <w:rPr>
                        <w:rFonts w:ascii="Times New Roman"/>
                        <w:szCs w:val="21"/>
                      </w:rPr>
                      <w:t>）债务工具投资</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f3278e5971c94432b7eded39bbc3b41c"/>
                <w:id w:val="182965330"/>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szCs w:val="21"/>
                      </w:rPr>
                      <w:t>（</w:t>
                    </w:r>
                    <w:r>
                      <w:rPr>
                        <w:rFonts w:ascii="Times New Roman" w:hAnsi="Times New Roman"/>
                        <w:szCs w:val="21"/>
                      </w:rPr>
                      <w:t>2</w:t>
                    </w:r>
                    <w:r>
                      <w:rPr>
                        <w:rFonts w:ascii="Times New Roman"/>
                        <w:szCs w:val="21"/>
                      </w:rPr>
                      <w:t>）权益工具投资</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rPr>
                  <w:tag w:val="_PLD_266c2ca89c8741648af2e0617434a8f6"/>
                  <w:id w:val="182965331"/>
                  <w:lock w:val="sdtLocked"/>
                </w:sdtPr>
                <w:sdtEndPr>
                  <w:rPr>
                    <w:rFonts w:ascii="Times New Roman" w:hAnsi="Times New Roman"/>
                    <w:shd w:val="solid" w:color="FFFFFF" w:fill="auto"/>
                  </w:rPr>
                </w:sdtEndPr>
                <w:sdtContent>
                  <w:p>
                    <w:pPr>
                      <w:outlineLvl w:val="2"/>
                      <w:rPr>
                        <w:rFonts w:ascii="Times New Roman" w:hAnsi="Times New Roman"/>
                      </w:rPr>
                    </w:pPr>
                    <w:r>
                      <w:rPr>
                        <w:rFonts w:ascii="Times New Roman"/>
                      </w:rPr>
                      <w:t>（二）</w:t>
                    </w:r>
                    <w:r>
                      <w:rPr>
                        <w:rFonts w:ascii="Times New Roman"/>
                        <w:shd w:val="solid" w:color="FFFFFF" w:fill="auto"/>
                      </w:rPr>
                      <w:t>其他债权投资</w:t>
                    </w:r>
                  </w:p>
                </w:sdtContent>
              </w:sdt>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rPr>
                  <w:tag w:val="_PLD_48dae83294284453b5b29803ac364c49"/>
                  <w:id w:val="182965332"/>
                  <w:lock w:val="sdtLocked"/>
                </w:sdtPr>
                <w:sdtEndPr>
                  <w:rPr>
                    <w:rFonts w:ascii="Times New Roman" w:hAnsi="Times New Roman"/>
                    <w:shd w:val="solid" w:color="FFFFFF" w:fill="auto"/>
                  </w:rPr>
                </w:sdtEndPr>
                <w:sdtContent>
                  <w:p>
                    <w:pPr>
                      <w:outlineLvl w:val="2"/>
                      <w:rPr>
                        <w:rFonts w:ascii="Times New Roman" w:hAnsi="Times New Roman"/>
                      </w:rPr>
                    </w:pPr>
                    <w:r>
                      <w:rPr>
                        <w:rFonts w:ascii="Times New Roman"/>
                      </w:rPr>
                      <w:t>（三）</w:t>
                    </w:r>
                    <w:r>
                      <w:rPr>
                        <w:rFonts w:ascii="Times New Roman"/>
                        <w:shd w:val="solid" w:color="FFFFFF" w:fill="auto"/>
                      </w:rPr>
                      <w:t>其他权益工具投资</w:t>
                    </w:r>
                  </w:p>
                </w:sdtContent>
              </w:sdt>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szCs w:val="21"/>
                  </w:rPr>
                  <w:tag w:val="_PLD_acb73a1ad42944619fe34047b4d651e8"/>
                  <w:id w:val="182965333"/>
                  <w:lock w:val="sdtLocked"/>
                </w:sdtPr>
                <w:sdtEndPr>
                  <w:rPr>
                    <w:rFonts w:ascii="Times New Roman" w:hAnsi="Times New Roman"/>
                    <w:szCs w:val="21"/>
                    <w:shd w:val="solid" w:color="FFFFFF" w:fill="auto"/>
                  </w:rPr>
                </w:sdtEndPr>
                <w:sdtContent>
                  <w:p>
                    <w:pPr>
                      <w:outlineLvl w:val="2"/>
                      <w:rPr>
                        <w:rFonts w:ascii="Times New Roman" w:hAnsi="Times New Roman"/>
                        <w:szCs w:val="21"/>
                      </w:rPr>
                    </w:pPr>
                    <w:r>
                      <w:rPr>
                        <w:rFonts w:ascii="Times New Roman"/>
                        <w:szCs w:val="21"/>
                      </w:rPr>
                      <w:t>（四）</w:t>
                    </w:r>
                    <w:r>
                      <w:rPr>
                        <w:rFonts w:ascii="Times New Roman"/>
                        <w:szCs w:val="21"/>
                        <w:shd w:val="solid" w:color="FFFFFF" w:fill="auto"/>
                      </w:rPr>
                      <w:t>投资性房地产</w:t>
                    </w:r>
                  </w:p>
                </w:sdtContent>
              </w:sdt>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b66f736c06194bd98411f07092155516"/>
                <w:id w:val="182965334"/>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hAnsi="Times New Roman"/>
                        <w:szCs w:val="21"/>
                      </w:rPr>
                      <w:t>1.</w:t>
                    </w:r>
                    <w:r>
                      <w:rPr>
                        <w:rFonts w:ascii="Times New Roman"/>
                        <w:szCs w:val="21"/>
                      </w:rPr>
                      <w:t>出租用的土地使用权</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bfcce1b42b274af2b3b32ebc29ea315b"/>
                <w:id w:val="182965335"/>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hAnsi="Times New Roman"/>
                        <w:szCs w:val="21"/>
                      </w:rPr>
                      <w:t>2.</w:t>
                    </w:r>
                    <w:r>
                      <w:rPr>
                        <w:rFonts w:ascii="Times New Roman"/>
                        <w:szCs w:val="21"/>
                      </w:rPr>
                      <w:t>出租的建筑物</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sdt>
              <w:sdtPr>
                <w:rPr>
                  <w:rFonts w:ascii="Times New Roman" w:hAnsi="Times New Roman"/>
                </w:rPr>
                <w:tag w:val="_PLD_a8730f331c814080932f692c9a71fecb"/>
                <w:id w:val="182965336"/>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hAnsi="Times New Roman"/>
                        <w:szCs w:val="21"/>
                      </w:rPr>
                      <w:t>3.</w:t>
                    </w:r>
                    <w:r>
                      <w:rPr>
                        <w:rFonts w:ascii="Times New Roman"/>
                        <w:szCs w:val="21"/>
                      </w:rPr>
                      <w:t>持有并准备增值后转让的土地使用权</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szCs w:val="21"/>
                  </w:rPr>
                  <w:tag w:val="_PLD_e9c4c9fa7647482182a0267ec9cc21bf"/>
                  <w:id w:val="182965337"/>
                  <w:lock w:val="sdtLocked"/>
                </w:sdtPr>
                <w:sdtEndPr>
                  <w:rPr>
                    <w:rFonts w:ascii="Times New Roman" w:hAnsi="Times New Roman"/>
                    <w:szCs w:val="21"/>
                    <w:shd w:val="solid" w:color="FFFFFF" w:fill="auto"/>
                  </w:rPr>
                </w:sdtEndPr>
                <w:sdtContent>
                  <w:p>
                    <w:pPr>
                      <w:outlineLvl w:val="2"/>
                      <w:rPr>
                        <w:rFonts w:ascii="Times New Roman" w:hAnsi="Times New Roman"/>
                        <w:szCs w:val="21"/>
                      </w:rPr>
                    </w:pPr>
                    <w:r>
                      <w:rPr>
                        <w:rFonts w:ascii="Times New Roman"/>
                        <w:szCs w:val="21"/>
                      </w:rPr>
                      <w:t>（五）</w:t>
                    </w:r>
                    <w:r>
                      <w:rPr>
                        <w:rFonts w:ascii="Times New Roman"/>
                        <w:szCs w:val="21"/>
                        <w:shd w:val="solid" w:color="FFFFFF" w:fill="auto"/>
                      </w:rPr>
                      <w:t>生物资产</w:t>
                    </w:r>
                  </w:p>
                </w:sdtContent>
              </w:sdt>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5e685393939a40609058af0b583b7e1d"/>
                <w:id w:val="182965338"/>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hAnsi="Times New Roman"/>
                        <w:szCs w:val="21"/>
                      </w:rPr>
                      <w:t>1.</w:t>
                    </w:r>
                    <w:r>
                      <w:rPr>
                        <w:rFonts w:ascii="Times New Roman"/>
                        <w:szCs w:val="21"/>
                      </w:rPr>
                      <w:t>消耗性生物资产</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2834b6ebaefb4889beb6a38ba25ca38f"/>
                <w:id w:val="182965339"/>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hAnsi="Times New Roman"/>
                        <w:szCs w:val="21"/>
                      </w:rPr>
                      <w:t>2.</w:t>
                    </w:r>
                    <w:r>
                      <w:rPr>
                        <w:rFonts w:ascii="Times New Roman"/>
                        <w:szCs w:val="21"/>
                      </w:rPr>
                      <w:t>生产性生物资产</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sdt>
            <w:sdtPr>
              <w:rPr>
                <w:rFonts w:ascii="Times New Roman" w:hAnsi="Times New Roman" w:eastAsiaTheme="minorEastAsia" w:cstheme="minorBidi"/>
                <w:kern w:val="2"/>
                <w:szCs w:val="21"/>
              </w:rPr>
              <w:alias w:val="持续以公允价值计量的资产总额明细"/>
              <w:tag w:val="_TUP_4e6c46d6136147f2b16d042dc98083e9"/>
              <w:id w:val="182965340"/>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p>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sdtContent>
          </w:sdt>
          <w:sdt>
            <w:sdtPr>
              <w:rPr>
                <w:rFonts w:ascii="Times New Roman" w:hAnsi="Times New Roman" w:eastAsiaTheme="minorEastAsia" w:cstheme="minorBidi"/>
                <w:kern w:val="2"/>
                <w:szCs w:val="21"/>
              </w:rPr>
              <w:alias w:val="持续以公允价值计量的资产总额明细"/>
              <w:tag w:val="_TUP_4e6c46d6136147f2b16d042dc98083e9"/>
              <w:id w:val="182965341"/>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p>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sdt>
              <w:sdtPr>
                <w:rPr>
                  <w:rFonts w:ascii="Times New Roman" w:hAnsi="Times New Roman"/>
                </w:rPr>
                <w:tag w:val="_PLD_4c7c69ac72c0449cb781fcf42a2b9e63"/>
                <w:id w:val="182965342"/>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b/>
                        <w:szCs w:val="21"/>
                      </w:rPr>
                    </w:pPr>
                    <w:r>
                      <w:rPr>
                        <w:rFonts w:ascii="Times New Roman"/>
                        <w:b/>
                        <w:szCs w:val="21"/>
                      </w:rPr>
                      <w:t>持续以公允价值计量的资产总额</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240,812,391.20</w:t>
                </w:r>
              </w:p>
            </w:tc>
            <w:tc>
              <w:tcPr>
                <w:tcW w:w="9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240,812,391.20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szCs w:val="21"/>
                  </w:rPr>
                  <w:tag w:val="_PLD_f3a68c183c2048ee9d182e3250db3dc1"/>
                  <w:id w:val="182965343"/>
                  <w:lock w:val="sdtLocked"/>
                </w:sdtPr>
                <w:sdtEndPr>
                  <w:rPr>
                    <w:rFonts w:ascii="Times New Roman" w:hAnsi="Times New Roman"/>
                    <w:szCs w:val="21"/>
                    <w:shd w:val="solid" w:color="FFFFFF" w:fill="auto"/>
                  </w:rPr>
                </w:sdtEndPr>
                <w:sdtContent>
                  <w:p>
                    <w:pPr>
                      <w:outlineLvl w:val="2"/>
                      <w:rPr>
                        <w:rFonts w:ascii="Times New Roman" w:hAnsi="Times New Roman"/>
                        <w:szCs w:val="21"/>
                      </w:rPr>
                    </w:pPr>
                    <w:r>
                      <w:rPr>
                        <w:rFonts w:ascii="Times New Roman"/>
                        <w:szCs w:val="21"/>
                      </w:rPr>
                      <w:t>（六）</w:t>
                    </w:r>
                    <w:r>
                      <w:rPr>
                        <w:rFonts w:ascii="Times New Roman"/>
                        <w:szCs w:val="21"/>
                        <w:shd w:val="solid" w:color="FFFFFF" w:fill="auto"/>
                      </w:rPr>
                      <w:t>交易性金融负债</w:t>
                    </w:r>
                  </w:p>
                </w:sdtContent>
              </w:sdt>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sdt>
                <w:sdtPr>
                  <w:rPr>
                    <w:rFonts w:ascii="Times New Roman" w:hAnsi="Times New Roman"/>
                    <w:szCs w:val="21"/>
                  </w:rPr>
                  <w:tag w:val="_PLD_69b42d614c9c40bfb60714b8e1e9b78b"/>
                  <w:id w:val="182965344"/>
                  <w:lock w:val="sdtLocked"/>
                </w:sdtPr>
                <w:sdtEndPr>
                  <w:rPr>
                    <w:rFonts w:ascii="Times New Roman" w:hAnsi="Times New Roman"/>
                    <w:szCs w:val="21"/>
                  </w:rPr>
                </w:sdtEndPr>
                <w:sdtContent>
                  <w:p>
                    <w:pPr>
                      <w:outlineLvl w:val="2"/>
                      <w:rPr>
                        <w:rFonts w:ascii="Times New Roman" w:hAnsi="Times New Roman"/>
                        <w:szCs w:val="21"/>
                      </w:rPr>
                    </w:pPr>
                    <w:r>
                      <w:rPr>
                        <w:rFonts w:ascii="Times New Roman" w:hAnsi="Times New Roman"/>
                        <w:szCs w:val="21"/>
                      </w:rPr>
                      <w:t>1.</w:t>
                    </w:r>
                    <w:r>
                      <w:rPr>
                        <w:rFonts w:ascii="Times New Roman"/>
                        <w:szCs w:val="21"/>
                      </w:rPr>
                      <w:t>以公允价值计量且变动计入当期损益的金融负债</w:t>
                    </w:r>
                  </w:p>
                </w:sdtContent>
              </w:sdt>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437a55be492044b6bbc13cc4f7a3e1c8"/>
                <w:id w:val="182965345"/>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szCs w:val="21"/>
                      </w:rPr>
                      <w:t>其中：发行的交易性债券</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sdt>
              <w:sdtPr>
                <w:rPr>
                  <w:rFonts w:ascii="Times New Roman" w:hAnsi="Times New Roman"/>
                </w:rPr>
                <w:tag w:val="_PLD_fb7a31e6724f445da1ca76cad7164c6b"/>
                <w:id w:val="182965346"/>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tabs>
                        <w:tab w:val="left" w:pos="432"/>
                        <w:tab w:val="center" w:pos="5630"/>
                        <w:tab w:val="center" w:pos="7430"/>
                      </w:tabs>
                      <w:ind w:firstLine="630" w:firstLineChars="300"/>
                      <w:rPr>
                        <w:rFonts w:ascii="Times New Roman" w:hAnsi="Times New Roman"/>
                        <w:szCs w:val="21"/>
                      </w:rPr>
                    </w:pPr>
                    <w:r>
                      <w:rPr>
                        <w:rFonts w:ascii="Times New Roman"/>
                        <w:szCs w:val="21"/>
                      </w:rPr>
                      <w:t>衍生金融负债</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5cdaea850a7f43b4825235eb81a29e58"/>
                <w:id w:val="182965347"/>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tabs>
                        <w:tab w:val="left" w:pos="432"/>
                        <w:tab w:val="center" w:pos="5630"/>
                        <w:tab w:val="center" w:pos="7430"/>
                      </w:tabs>
                      <w:ind w:firstLine="630" w:firstLineChars="300"/>
                      <w:rPr>
                        <w:rFonts w:ascii="Times New Roman" w:hAnsi="Times New Roman"/>
                        <w:szCs w:val="21"/>
                      </w:rPr>
                    </w:pPr>
                    <w:r>
                      <w:rPr>
                        <w:rFonts w:ascii="Times New Roman"/>
                        <w:szCs w:val="21"/>
                      </w:rPr>
                      <w:t>其他</w:t>
                    </w:r>
                  </w:p>
                </w:tc>
              </w:sdtContent>
            </w:sdt>
            <w:tc>
              <w:tcPr>
                <w:tcW w:w="94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sdt>
                  <w:sdtPr>
                    <w:rPr>
                      <w:rFonts w:ascii="Times New Roman" w:hAnsi="Times New Roman"/>
                      <w:szCs w:val="21"/>
                    </w:rPr>
                    <w:tag w:val="_PLD_71d29e00429842e89dcaae5044b2777e"/>
                    <w:id w:val="182965348"/>
                    <w:lock w:val="sdtLocked"/>
                  </w:sdtPr>
                  <w:sdtEndPr>
                    <w:rPr>
                      <w:rFonts w:ascii="Times New Roman" w:hAnsi="Times New Roman"/>
                      <w:szCs w:val="21"/>
                    </w:rPr>
                  </w:sdtEndPr>
                  <w:sdtContent>
                    <w:r>
                      <w:rPr>
                        <w:rFonts w:ascii="Times New Roman" w:hAnsi="Times New Roman"/>
                        <w:szCs w:val="21"/>
                      </w:rPr>
                      <w:t>2.</w:t>
                    </w:r>
                    <w:r>
                      <w:rPr>
                        <w:rFonts w:ascii="Times New Roman"/>
                        <w:szCs w:val="21"/>
                      </w:rPr>
                      <w:t>指定为以公允价值计量且变动计入当期损益的金融负债</w:t>
                    </w:r>
                  </w:sdtContent>
                </w:sdt>
              </w:p>
            </w:tc>
            <w:tc>
              <w:tcPr>
                <w:tcW w:w="942"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vAlign w:val="center"/>
              </w:tcPr>
              <w:p>
                <w:pPr>
                  <w:jc w:val="right"/>
                  <w:outlineLvl w:val="2"/>
                  <w:rPr>
                    <w:rFonts w:ascii="Times New Roman" w:hAnsi="Times New Roman"/>
                    <w:szCs w:val="21"/>
                  </w:rPr>
                </w:pPr>
              </w:p>
            </w:tc>
          </w:tr>
          <w:sdt>
            <w:sdtPr>
              <w:rPr>
                <w:rFonts w:ascii="Times New Roman" w:hAnsi="Times New Roman" w:eastAsiaTheme="minorEastAsia" w:cstheme="minorBidi"/>
                <w:kern w:val="2"/>
                <w:szCs w:val="21"/>
              </w:rPr>
              <w:alias w:val="持续以公允价值计量的负债总额明细"/>
              <w:tag w:val="_TUP_b6b6fdd6a0534806ba25dc860d103573"/>
              <w:id w:val="182965349"/>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p>
                </w:tc>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sdtContent>
          </w:sdt>
          <w:sdt>
            <w:sdtPr>
              <w:rPr>
                <w:rFonts w:ascii="Times New Roman" w:hAnsi="Times New Roman" w:eastAsiaTheme="minorEastAsia" w:cstheme="minorBidi"/>
                <w:kern w:val="2"/>
                <w:szCs w:val="21"/>
              </w:rPr>
              <w:alias w:val="持续以公允价值计量的负债总额明细"/>
              <w:tag w:val="_TUP_b6b6fdd6a0534806ba25dc860d103573"/>
              <w:id w:val="182965350"/>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p>
                </w:tc>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sdt>
              <w:sdtPr>
                <w:rPr>
                  <w:rFonts w:ascii="Times New Roman" w:hAnsi="Times New Roman"/>
                </w:rPr>
                <w:tag w:val="_PLD_dee064280d7f4ce987d1217b5a2d835e"/>
                <w:id w:val="182965351"/>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b/>
                        <w:szCs w:val="21"/>
                      </w:rPr>
                    </w:pPr>
                    <w:r>
                      <w:rPr>
                        <w:rFonts w:ascii="Times New Roman"/>
                        <w:b/>
                        <w:szCs w:val="21"/>
                      </w:rPr>
                      <w:t>持续以公允价值计量的负债总额</w:t>
                    </w:r>
                  </w:p>
                </w:tc>
              </w:sdtContent>
            </w:sdt>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tabs>
                    <w:tab w:val="center" w:pos="824"/>
                    <w:tab w:val="right" w:pos="1649"/>
                  </w:tabs>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sdt>
              <w:sdtPr>
                <w:rPr>
                  <w:rFonts w:ascii="Times New Roman" w:hAnsi="Times New Roman"/>
                </w:rPr>
                <w:tag w:val="_PLD_3677c8ec547a41a18a813df278be4892"/>
                <w:id w:val="182965352"/>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b/>
                        <w:szCs w:val="21"/>
                      </w:rPr>
                    </w:pPr>
                    <w:r>
                      <w:rPr>
                        <w:rFonts w:ascii="Times New Roman"/>
                        <w:b/>
                        <w:szCs w:val="21"/>
                      </w:rPr>
                      <w:t>二、非持续的公允价值计量</w:t>
                    </w:r>
                  </w:p>
                </w:tc>
              </w:sdtContent>
            </w:sdt>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rPr>
                  <w:rFonts w:ascii="Times New Roman" w:hAnsi="Times New Roman"/>
                </w:rPr>
                <w:tag w:val="_PLD_962ee473798b4c4f90e0116bb1c13e3a"/>
                <w:id w:val="182965353"/>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r>
                      <w:rPr>
                        <w:rFonts w:ascii="Times New Roman"/>
                        <w:szCs w:val="21"/>
                      </w:rPr>
                      <w:t>（一）持有待售资产</w:t>
                    </w:r>
                  </w:p>
                </w:tc>
              </w:sdtContent>
            </w:sdt>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sdt>
            <w:sdtPr>
              <w:rPr>
                <w:rFonts w:ascii="Times New Roman" w:hAnsi="Times New Roman" w:eastAsiaTheme="minorEastAsia" w:cstheme="minorBidi"/>
                <w:kern w:val="2"/>
                <w:szCs w:val="21"/>
              </w:rPr>
              <w:alias w:val="非持续以公允价值计量的资产总额明细"/>
              <w:tag w:val="_TUP_6c3e1b83968a42139c23bd733bf938b7"/>
              <w:id w:val="182965354"/>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p>
                </w:tc>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sdtContent>
          </w:sdt>
          <w:sdt>
            <w:sdtPr>
              <w:rPr>
                <w:rFonts w:ascii="Times New Roman" w:hAnsi="Times New Roman" w:eastAsiaTheme="minorEastAsia" w:cstheme="minorBidi"/>
                <w:kern w:val="2"/>
                <w:szCs w:val="21"/>
              </w:rPr>
              <w:alias w:val="非持续以公允价值计量的资产总额明细"/>
              <w:tag w:val="_TUP_6c3e1b83968a42139c23bd733bf938b7"/>
              <w:id w:val="182965355"/>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p>
                </w:tc>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sdt>
              <w:sdtPr>
                <w:rPr>
                  <w:rFonts w:ascii="Times New Roman" w:hAnsi="Times New Roman"/>
                </w:rPr>
                <w:tag w:val="_PLD_773dc57c83904359ba2f38528b8617fc"/>
                <w:id w:val="182965356"/>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b/>
                        <w:szCs w:val="21"/>
                      </w:rPr>
                    </w:pPr>
                    <w:r>
                      <w:rPr>
                        <w:rFonts w:ascii="Times New Roman"/>
                        <w:b/>
                        <w:szCs w:val="21"/>
                      </w:rPr>
                      <w:t>非持续以公允价值计量的资产总额</w:t>
                    </w:r>
                  </w:p>
                </w:tc>
              </w:sdtContent>
            </w:sdt>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p>
                <w:pPr>
                  <w:jc w:val="center"/>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sdt>
            <w:sdtPr>
              <w:rPr>
                <w:rFonts w:ascii="Times New Roman" w:hAnsi="Times New Roman" w:eastAsiaTheme="minorEastAsia" w:cstheme="minorBidi"/>
                <w:kern w:val="2"/>
                <w:szCs w:val="21"/>
              </w:rPr>
              <w:alias w:val="非持续以公允价值计量的负债总额明细"/>
              <w:tag w:val="_TUP_50fb0fd32bbe47df910ca4ce732b4dca"/>
              <w:id w:val="182965357"/>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p>
                </w:tc>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sdtContent>
          </w:sdt>
          <w:sdt>
            <w:sdtPr>
              <w:rPr>
                <w:rFonts w:ascii="Times New Roman" w:hAnsi="Times New Roman" w:eastAsiaTheme="minorEastAsia" w:cstheme="minorBidi"/>
                <w:kern w:val="2"/>
                <w:szCs w:val="21"/>
              </w:rPr>
              <w:alias w:val="非持续以公允价值计量的负债总额明细"/>
              <w:tag w:val="_TUP_50fb0fd32bbe47df910ca4ce732b4dca"/>
              <w:id w:val="182965358"/>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szCs w:val="21"/>
                      </w:rPr>
                    </w:pPr>
                  </w:p>
                </w:tc>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sdt>
              <w:sdtPr>
                <w:rPr>
                  <w:rFonts w:ascii="Times New Roman" w:hAnsi="Times New Roman"/>
                </w:rPr>
                <w:tag w:val="_PLD_6184d0fd90c54a57b4462d57cdb614ce"/>
                <w:id w:val="182965359"/>
                <w:lock w:val="sdtLocked"/>
              </w:sdtPr>
              <w:sdtEndPr>
                <w:rPr>
                  <w:rFonts w:ascii="Times New Roman" w:hAnsi="Times New Roman"/>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ascii="Times New Roman" w:hAnsi="Times New Roman"/>
                        <w:b/>
                        <w:szCs w:val="21"/>
                      </w:rPr>
                    </w:pPr>
                    <w:r>
                      <w:rPr>
                        <w:rFonts w:ascii="Times New Roman"/>
                        <w:b/>
                        <w:szCs w:val="21"/>
                      </w:rPr>
                      <w:t>非持续以公允价值计量的负债总额</w:t>
                    </w:r>
                  </w:p>
                </w:tc>
              </w:sdtContent>
            </w:sdt>
            <w:tc>
              <w:tcPr>
                <w:tcW w:w="942"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20"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957"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c>
              <w:tcPr>
                <w:tcW w:w="845" w:type="pct"/>
                <w:tcBorders>
                  <w:top w:val="single" w:color="auto" w:sz="4" w:space="0"/>
                  <w:left w:val="single" w:color="auto" w:sz="4" w:space="0"/>
                  <w:bottom w:val="single" w:color="auto" w:sz="4" w:space="0"/>
                  <w:right w:val="single" w:color="auto" w:sz="4" w:space="0"/>
                </w:tcBorders>
              </w:tcPr>
              <w:p>
                <w:pPr>
                  <w:jc w:val="right"/>
                  <w:outlineLvl w:val="2"/>
                  <w:rPr>
                    <w:rFonts w:ascii="Times New Roman" w:hAnsi="Times New Roman"/>
                    <w:szCs w:val="21"/>
                  </w:rPr>
                </w:pPr>
              </w:p>
            </w:tc>
          </w:tr>
        </w:tbl>
        <w:p/>
        <w:p/>
      </w:sdtContent>
    </w:sdt>
    <w:bookmarkEnd w:id="225"/>
    <w:sdt>
      <w:sdtPr>
        <w:rPr>
          <w:rFonts w:hint="eastAsia" w:ascii="宋体" w:hAnsi="宋体" w:cs="Arial"/>
          <w:b w:val="0"/>
          <w:bCs w:val="0"/>
          <w:kern w:val="0"/>
          <w:szCs w:val="21"/>
        </w:rPr>
        <w:alias w:val="模块:持续和非持续第一层次公允价值计量项目市价的确定依据"/>
        <w:tag w:val="_GBC_9cf59ced96b14247921100dffef5784f"/>
        <w:id w:val="865726802"/>
        <w:lock w:val="sdtLocked"/>
        <w:placeholder>
          <w:docPart w:val="GBC22222222222222222222222222222"/>
        </w:placeholder>
      </w:sdtPr>
      <w:sdtEndPr>
        <w:rPr>
          <w:rFonts w:hint="eastAsia" w:ascii="宋体" w:hAnsi="宋体" w:cs="Cambria"/>
          <w:b/>
          <w:bCs w:val="0"/>
          <w:kern w:val="0"/>
          <w:szCs w:val="21"/>
        </w:rPr>
      </w:sdtEndPr>
      <w:sdtContent>
        <w:p>
          <w:pPr>
            <w:pStyle w:val="4"/>
            <w:numPr>
              <w:ilvl w:val="0"/>
              <w:numId w:val="120"/>
            </w:numPr>
            <w:rPr>
              <w:rFonts w:ascii="宋体" w:hAnsi="宋体" w:cs="Arial"/>
              <w:szCs w:val="21"/>
            </w:rPr>
          </w:pPr>
          <w:r>
            <w:rPr>
              <w:rFonts w:hint="eastAsia" w:ascii="宋体" w:hAnsi="宋体" w:cs="Arial"/>
              <w:szCs w:val="21"/>
            </w:rPr>
            <w:t>持续和非持续第一层次公允价值计量项目市价的确定依据</w:t>
          </w:r>
        </w:p>
        <w:sdt>
          <w:sdtPr>
            <w:rPr>
              <w:rFonts w:hint="eastAsia" w:cs="Arial"/>
              <w:szCs w:val="21"/>
            </w:rPr>
            <w:alias w:val="是否适用：持续和非持续第一层次公允价值计量项目市价的确定依据[双击切换]"/>
            <w:tag w:val="_GBC_fc42dd94906341819da0f825b0c88571"/>
            <w:id w:val="865726800"/>
            <w:lock w:val="sdtLocked"/>
            <w:placeholder>
              <w:docPart w:val="GBC22222222222222222222222222222"/>
            </w:placeholder>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
          <w:sdtPr>
            <w:rPr>
              <w:rFonts w:hint="eastAsia" w:cs="Arial"/>
              <w:szCs w:val="21"/>
            </w:rPr>
            <w:alias w:val="持续和非持续第一层次公允价值计量项目市价的确定依据"/>
            <w:tag w:val="_GBC_8db65a2ca59047da919942f97cfc594e"/>
            <w:id w:val="865726801"/>
            <w:lock w:val="sdtLocked"/>
            <w:placeholder>
              <w:docPart w:val="GBC22222222222222222222222222222"/>
            </w:placeholder>
          </w:sdtPr>
          <w:sdtEndPr>
            <w:rPr>
              <w:rFonts w:hint="eastAsia" w:cs="Arial"/>
              <w:szCs w:val="21"/>
            </w:rPr>
          </w:sdtEndPr>
          <w:sdtContent>
            <w:p>
              <w:pPr>
                <w:widowControl w:val="0"/>
                <w:tabs>
                  <w:tab w:val="left" w:pos="196"/>
                  <w:tab w:val="left" w:pos="426"/>
                </w:tabs>
                <w:adjustRightInd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本公司按公允价值三个层次列示了以公允价值计量的金融资产工具于2021年12月31日的账面价值。公允价值整体归类于三个层次时，依据的是公允价值计量时使用的各重要输入值所属三个层次中的最低层次。</w:t>
              </w:r>
            </w:p>
            <w:p>
              <w:pPr>
                <w:widowControl w:val="0"/>
                <w:tabs>
                  <w:tab w:val="left" w:pos="196"/>
                  <w:tab w:val="left" w:pos="426"/>
                </w:tabs>
                <w:adjustRightInd w:val="0"/>
                <w:snapToGrid w:val="0"/>
                <w:spacing w:line="40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第1层次：是在计量日能够取得的相同资产或负债在活跃市场上未经调整的报价；</w:t>
              </w:r>
            </w:p>
            <w:p>
              <w:pPr>
                <w:spacing w:line="400" w:lineRule="exact"/>
                <w:rPr>
                  <w:rFonts w:cs="Arial"/>
                  <w:szCs w:val="21"/>
                </w:rPr>
              </w:pPr>
            </w:p>
          </w:sdtContent>
        </w:sdt>
        <w:p>
          <w:pPr>
            <w:tabs>
              <w:tab w:val="left" w:pos="1134"/>
            </w:tabs>
            <w:spacing w:line="400" w:lineRule="exact"/>
            <w:rPr>
              <w:rFonts w:cs="Cambria"/>
              <w:b/>
              <w:szCs w:val="21"/>
            </w:rPr>
          </w:pPr>
        </w:p>
      </w:sdtContent>
    </w:sdt>
    <w:sdt>
      <w:sdtPr>
        <w:rPr>
          <w:rFonts w:hint="eastAsia" w:ascii="宋体" w:hAnsi="宋体" w:cs="Arial"/>
          <w:b w:val="0"/>
          <w:bCs w:val="0"/>
          <w:kern w:val="0"/>
          <w:szCs w:val="21"/>
        </w:rPr>
        <w:alias w:val="模块:持续和非持续第二层次公允价值计量项目，采用的估值技术和重要参数的定性及定量信息"/>
        <w:tag w:val="_GBC_8e00be36ed6245f895b032b3059a4854"/>
        <w:id w:val="865726805"/>
        <w:lock w:val="sdtLocked"/>
        <w:placeholder>
          <w:docPart w:val="GBC22222222222222222222222222222"/>
        </w:placeholder>
      </w:sdtPr>
      <w:sdtEndPr>
        <w:rPr>
          <w:rFonts w:hint="default" w:ascii="Times New Roman" w:hAnsi="Times New Roman" w:cs="Times New Roman"/>
          <w:b w:val="0"/>
          <w:bCs w:val="0"/>
          <w:kern w:val="0"/>
          <w:szCs w:val="21"/>
        </w:rPr>
      </w:sdtEndPr>
      <w:sdtContent>
        <w:p>
          <w:pPr>
            <w:pStyle w:val="4"/>
            <w:numPr>
              <w:ilvl w:val="0"/>
              <w:numId w:val="120"/>
            </w:numPr>
            <w:rPr>
              <w:szCs w:val="21"/>
            </w:rPr>
          </w:pPr>
          <w:r>
            <w:rPr>
              <w:rFonts w:hint="eastAsia" w:ascii="宋体" w:hAnsi="宋体" w:cs="Arial"/>
              <w:szCs w:val="21"/>
            </w:rPr>
            <w:t>持续和非持续第二层次公允价值计量项目，采用的估值技术和重要参数的定性及定量信息</w:t>
          </w:r>
        </w:p>
        <w:sdt>
          <w:sdtPr>
            <w:rPr>
              <w:rFonts w:hint="eastAsia" w:cs="Cambria"/>
              <w:szCs w:val="21"/>
            </w:rPr>
            <w:alias w:val="是否适用：持续和非持续第二层次公允价值计量项目，采用的估值技术和重要参数的定性及定量信息[双击切换]"/>
            <w:tag w:val="_GBC_524db4de656b4bccac2fc473643fe7a6"/>
            <w:id w:val="865726803"/>
            <w:lock w:val="sdtLocked"/>
            <w:placeholder>
              <w:docPart w:val="GBC22222222222222222222222222222"/>
            </w:placeholder>
          </w:sdtPr>
          <w:sdtEndPr>
            <w:rPr>
              <w:rFonts w:hint="eastAsia" w:cs="Cambria"/>
              <w:szCs w:val="21"/>
            </w:rPr>
          </w:sdtEndPr>
          <w:sdtContent>
            <w:p>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865726804"/>
            <w:lock w:val="sdtLocked"/>
            <w:placeholder>
              <w:docPart w:val="GBC22222222222222222222222222222"/>
            </w:placeholder>
          </w:sdtPr>
          <w:sdtEndPr>
            <w:rPr>
              <w:rFonts w:ascii="Times New Roman" w:hAnsi="Times New Roman" w:cs="Times New Roman"/>
              <w:szCs w:val="21"/>
            </w:rPr>
          </w:sdtEndPr>
          <w:sdtContent>
            <w:p>
              <w:pPr>
                <w:widowControl w:val="0"/>
                <w:tabs>
                  <w:tab w:val="left" w:pos="196"/>
                  <w:tab w:val="left" w:pos="426"/>
                </w:tabs>
                <w:adjustRightInd w:val="0"/>
                <w:snapToGrid w:val="0"/>
                <w:spacing w:line="400" w:lineRule="exact"/>
                <w:ind w:firstLine="420" w:firstLineChars="200"/>
                <w:jc w:val="both"/>
                <w:rPr>
                  <w:rFonts w:ascii="Times New Roman" w:hAnsi="Times New Roman" w:cs="Times New Roman" w:eastAsiaTheme="minorEastAsia"/>
                  <w:szCs w:val="21"/>
                </w:rPr>
              </w:pPr>
              <w:r>
                <w:rPr>
                  <w:rFonts w:ascii="Times New Roman" w:cs="Times New Roman" w:hAnsiTheme="minorEastAsia" w:eastAsiaTheme="minorEastAsia"/>
                  <w:szCs w:val="21"/>
                </w:rPr>
                <w:t>第</w:t>
              </w:r>
              <w:r>
                <w:rPr>
                  <w:rFonts w:ascii="Times New Roman" w:hAnsi="Times New Roman" w:cs="Times New Roman" w:eastAsiaTheme="minorEastAsia"/>
                  <w:szCs w:val="21"/>
                </w:rPr>
                <w:t>2</w:t>
              </w:r>
              <w:r>
                <w:rPr>
                  <w:rFonts w:ascii="Times New Roman" w:cs="Times New Roman" w:hAnsiTheme="minorEastAsia" w:eastAsiaTheme="minorEastAsia"/>
                  <w:szCs w:val="21"/>
                </w:rPr>
                <w:t>层次：是除第一层次输入值外相关资产或负债直接或间接可观察的输入值；</w:t>
              </w:r>
            </w:p>
            <w:p>
              <w:pPr>
                <w:tabs>
                  <w:tab w:val="left" w:pos="1134"/>
                </w:tabs>
                <w:spacing w:line="400" w:lineRule="exact"/>
                <w:rPr>
                  <w:rFonts w:ascii="Times New Roman" w:hAnsi="Times New Roman" w:cs="Times New Roman"/>
                  <w:szCs w:val="21"/>
                </w:rPr>
              </w:pPr>
              <w:r>
                <w:rPr>
                  <w:rFonts w:ascii="Times New Roman" w:cs="Times New Roman" w:hAnsiTheme="minorEastAsia" w:eastAsiaTheme="minorEastAsia"/>
                  <w:szCs w:val="21"/>
                </w:rPr>
                <w:t>第二层次输入值包括：</w:t>
              </w:r>
              <w:r>
                <w:rPr>
                  <w:rFonts w:ascii="Times New Roman" w:hAnsi="Times New Roman" w:cs="Times New Roman" w:eastAsiaTheme="minorEastAsia"/>
                  <w:szCs w:val="21"/>
                </w:rPr>
                <w:t>1</w:t>
              </w:r>
              <w:r>
                <w:rPr>
                  <w:rFonts w:ascii="Times New Roman" w:cs="Times New Roman" w:hAnsiTheme="minorEastAsia" w:eastAsiaTheme="minorEastAsia"/>
                  <w:szCs w:val="21"/>
                </w:rPr>
                <w:t>）活跃市场中类似资产或负债的报价；</w:t>
              </w:r>
              <w:r>
                <w:rPr>
                  <w:rFonts w:ascii="Times New Roman" w:hAnsi="Times New Roman" w:cs="Times New Roman" w:eastAsiaTheme="minorEastAsia"/>
                  <w:szCs w:val="21"/>
                </w:rPr>
                <w:t>2</w:t>
              </w:r>
              <w:r>
                <w:rPr>
                  <w:rFonts w:ascii="Times New Roman" w:cs="Times New Roman" w:hAnsiTheme="minorEastAsia" w:eastAsiaTheme="minorEastAsia"/>
                  <w:szCs w:val="21"/>
                </w:rPr>
                <w:t>）非活跃市场中相同或类似资产或负债的报价；</w:t>
              </w:r>
              <w:r>
                <w:rPr>
                  <w:rFonts w:ascii="Times New Roman" w:hAnsi="Times New Roman" w:cs="Times New Roman" w:eastAsiaTheme="minorEastAsia"/>
                  <w:szCs w:val="21"/>
                </w:rPr>
                <w:t>3</w:t>
              </w:r>
              <w:r>
                <w:rPr>
                  <w:rFonts w:ascii="Times New Roman" w:cs="Times New Roman" w:hAnsiTheme="minorEastAsia" w:eastAsiaTheme="minorEastAsia"/>
                  <w:szCs w:val="21"/>
                </w:rPr>
                <w:t>）除报价以外的其他可观察输入值，包括在正常报价间隔期间可观察的利率和收益率曲线、隐含波动率和信用利差等；</w:t>
              </w:r>
              <w:r>
                <w:rPr>
                  <w:rFonts w:ascii="Times New Roman" w:hAnsi="Times New Roman" w:cs="Times New Roman" w:eastAsiaTheme="minorEastAsia"/>
                  <w:szCs w:val="21"/>
                </w:rPr>
                <w:t>4</w:t>
              </w:r>
              <w:r>
                <w:rPr>
                  <w:rFonts w:ascii="Times New Roman" w:cs="Times New Roman" w:hAnsiTheme="minorEastAsia" w:eastAsiaTheme="minorEastAsia"/>
                  <w:szCs w:val="21"/>
                </w:rPr>
                <w:t>）市场验证的输入值等。</w:t>
              </w:r>
            </w:p>
          </w:sdtContent>
        </w:sdt>
      </w:sdtContent>
    </w:sdt>
    <w:p>
      <w:pPr>
        <w:rPr>
          <w:szCs w:val="21"/>
        </w:rPr>
      </w:pPr>
    </w:p>
    <w:sdt>
      <w:sdtPr>
        <w:rPr>
          <w:rFonts w:hint="eastAsia" w:ascii="宋体" w:hAnsi="宋体" w:cs="Arial"/>
          <w:b w:val="0"/>
          <w:bCs w:val="0"/>
          <w:kern w:val="0"/>
          <w:szCs w:val="21"/>
        </w:rPr>
        <w:alias w:val="模块:持续和非持续第三层次公允价值计量项目，采用的估值技术和重要参数的定性及定量信息"/>
        <w:tag w:val="_GBC_5d389bac3ad747a292eb45fd87ce5896"/>
        <w:id w:val="865726808"/>
        <w:lock w:val="sdtLocked"/>
        <w:placeholder>
          <w:docPart w:val="GBC22222222222222222222222222222"/>
        </w:placeholder>
      </w:sdtPr>
      <w:sdtEndPr>
        <w:rPr>
          <w:rFonts w:hint="eastAsia" w:ascii="宋体" w:hAnsi="宋体" w:cs="Cambria"/>
          <w:b w:val="0"/>
          <w:bCs w:val="0"/>
          <w:color w:val="808080"/>
          <w:kern w:val="0"/>
          <w:szCs w:val="21"/>
        </w:rPr>
      </w:sdtEndPr>
      <w:sdtContent>
        <w:p>
          <w:pPr>
            <w:pStyle w:val="4"/>
            <w:numPr>
              <w:ilvl w:val="0"/>
              <w:numId w:val="120"/>
            </w:numPr>
            <w:rPr>
              <w:szCs w:val="21"/>
            </w:rPr>
          </w:pPr>
          <w:r>
            <w:rPr>
              <w:rFonts w:hint="eastAsia" w:ascii="宋体" w:hAnsi="宋体" w:cs="Arial"/>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86572680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865726807"/>
            <w:lock w:val="sdtLocked"/>
            <w:placeholder>
              <w:docPart w:val="GBC22222222222222222222222222222"/>
            </w:placeholder>
          </w:sdtPr>
          <w:sdtEndPr>
            <w:rPr>
              <w:rFonts w:hint="eastAsia"/>
              <w:szCs w:val="21"/>
            </w:rPr>
          </w:sdtEndPr>
          <w:sdtContent>
            <w:p>
              <w:pPr>
                <w:widowControl w:val="0"/>
                <w:tabs>
                  <w:tab w:val="left" w:pos="196"/>
                  <w:tab w:val="left" w:pos="426"/>
                </w:tabs>
                <w:adjustRightInd w:val="0"/>
                <w:snapToGrid w:val="0"/>
                <w:spacing w:line="480" w:lineRule="exact"/>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第3层次：是相关资产或负债的不可观察输入值。</w:t>
              </w:r>
            </w:p>
            <w:p>
              <w:pPr>
                <w:rPr>
                  <w:szCs w:val="21"/>
                </w:rPr>
              </w:pPr>
            </w:p>
          </w:sdtContent>
        </w:sdt>
        <w:p>
          <w:pPr>
            <w:tabs>
              <w:tab w:val="left" w:pos="1134"/>
            </w:tabs>
            <w:rPr>
              <w:rFonts w:cs="Cambria"/>
              <w:b/>
              <w:szCs w:val="21"/>
            </w:rPr>
          </w:pPr>
        </w:p>
      </w:sdtContent>
    </w:sdt>
    <w:sdt>
      <w:sdtPr>
        <w:rPr>
          <w:rFonts w:hint="eastAsia" w:ascii="宋体" w:hAnsi="宋体" w:cs="宋体"/>
          <w:b w:val="0"/>
          <w:bCs w:val="0"/>
          <w:kern w:val="0"/>
          <w:szCs w:val="21"/>
        </w:rPr>
        <w:alias w:val="模块:持续的第三层次公允价值计量的项目期初与期末账面价值之间的调节信息及不可观察参数的敏感性分析"/>
        <w:tag w:val="_GBC_353ab3e0cb19455ab2c2c2a397421afe"/>
        <w:id w:val="865726810"/>
        <w:lock w:val="sdtLocked"/>
        <w:placeholder>
          <w:docPart w:val="GBC22222222222222222222222222222"/>
        </w:placeholder>
      </w:sdtPr>
      <w:sdtEndPr>
        <w:rPr>
          <w:rFonts w:hint="eastAsia" w:ascii="宋体" w:hAnsi="宋体" w:cs="Cambria"/>
          <w:b w:val="0"/>
          <w:bCs w:val="0"/>
          <w:color w:val="808080"/>
          <w:kern w:val="0"/>
          <w:szCs w:val="21"/>
        </w:rPr>
      </w:sdtEndPr>
      <w:sdtContent>
        <w:p>
          <w:pPr>
            <w:pStyle w:val="4"/>
            <w:numPr>
              <w:ilvl w:val="0"/>
              <w:numId w:val="120"/>
            </w:numPr>
            <w:rPr>
              <w:szCs w:val="21"/>
            </w:rPr>
          </w:pPr>
          <w:r>
            <w:rPr>
              <w:rFonts w:hint="eastAsia"/>
              <w:szCs w:val="21"/>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86572680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cs="Cambria"/>
              <w:b/>
              <w:szCs w:val="21"/>
            </w:rPr>
          </w:pPr>
        </w:p>
      </w:sdtContent>
    </w:sdt>
    <w:sdt>
      <w:sdtPr>
        <w:rPr>
          <w:rFonts w:hint="eastAsia" w:ascii="宋体" w:hAnsi="宋体" w:cs="宋体"/>
          <w:b w:val="0"/>
          <w:bCs w:val="0"/>
          <w:kern w:val="0"/>
          <w:szCs w:val="21"/>
        </w:rPr>
        <w:alias w:val="模块:持续的公允价值计量项目，本期内发生各层级之间转换的，转换的原因及确定转换时点的政策"/>
        <w:tag w:val="_GBC_a9200ec73b8d485e80b76f1a9ee34c49"/>
        <w:id w:val="865726812"/>
        <w:lock w:val="sdtLocked"/>
        <w:placeholder>
          <w:docPart w:val="GBC22222222222222222222222222222"/>
        </w:placeholder>
      </w:sdtPr>
      <w:sdtEndPr>
        <w:rPr>
          <w:rFonts w:hint="eastAsia" w:ascii="宋体" w:hAnsi="宋体" w:cs="Cambria"/>
          <w:b w:val="0"/>
          <w:bCs w:val="0"/>
          <w:kern w:val="0"/>
          <w:szCs w:val="21"/>
        </w:rPr>
      </w:sdtEndPr>
      <w:sdtContent>
        <w:p>
          <w:pPr>
            <w:pStyle w:val="4"/>
            <w:numPr>
              <w:ilvl w:val="0"/>
              <w:numId w:val="120"/>
            </w:numPr>
            <w:rPr>
              <w:szCs w:val="21"/>
            </w:rPr>
          </w:pPr>
          <w:r>
            <w:rPr>
              <w:rFonts w:hint="eastAsia"/>
              <w:szCs w:val="21"/>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865726811"/>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cs="Cambria"/>
              <w:b/>
              <w:szCs w:val="21"/>
            </w:rPr>
          </w:pPr>
        </w:p>
      </w:sdtContent>
    </w:sdt>
    <w:sdt>
      <w:sdtPr>
        <w:rPr>
          <w:rFonts w:hint="eastAsia" w:ascii="宋体" w:hAnsi="宋体" w:cs="宋体"/>
          <w:b w:val="0"/>
          <w:bCs w:val="0"/>
          <w:kern w:val="0"/>
          <w:szCs w:val="21"/>
        </w:rPr>
        <w:alias w:val="模块:本期内发生的估值技术变更及变更原因"/>
        <w:tag w:val="_GBC_8e563310a4b84a5d9dfe74fdbc178926"/>
        <w:id w:val="865726814"/>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120"/>
            </w:numPr>
            <w:rPr>
              <w:szCs w:val="21"/>
            </w:rPr>
          </w:pPr>
          <w:r>
            <w:rPr>
              <w:rFonts w:hint="eastAsia"/>
              <w:szCs w:val="21"/>
            </w:rPr>
            <w:t>本期内发生的估值技术变更及变更原因</w:t>
          </w:r>
        </w:p>
        <w:sdt>
          <w:sdtPr>
            <w:rPr>
              <w:rFonts w:hint="eastAsia"/>
              <w:szCs w:val="21"/>
            </w:rPr>
            <w:alias w:val="是否适用：本期内发生的估值技术变更及变更原因[双击切换]"/>
            <w:tag w:val="_GBC_c8355b64faff425ebd05215313c85419"/>
            <w:id w:val="86572681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heme="minorBidi"/>
              <w:szCs w:val="21"/>
            </w:rPr>
          </w:pPr>
        </w:p>
      </w:sdtContent>
    </w:sdt>
    <w:sdt>
      <w:sdtPr>
        <w:rPr>
          <w:rFonts w:hint="eastAsia" w:ascii="宋体" w:hAnsi="宋体" w:cstheme="minorBidi"/>
          <w:b w:val="0"/>
          <w:bCs w:val="0"/>
          <w:kern w:val="0"/>
          <w:szCs w:val="21"/>
        </w:rPr>
        <w:alias w:val="模块:不以公允价值计量的金融资产和金融负债的公允价值情况"/>
        <w:tag w:val="_GBC_e354e1f41f824854b8f3345d52a9cfab"/>
        <w:id w:val="865726816"/>
        <w:lock w:val="sdtLocked"/>
        <w:placeholder>
          <w:docPart w:val="GBC22222222222222222222222222222"/>
        </w:placeholder>
      </w:sdtPr>
      <w:sdtEndPr>
        <w:rPr>
          <w:rFonts w:hint="eastAsia" w:ascii="宋体" w:hAnsi="宋体" w:cstheme="minorBidi"/>
          <w:b w:val="0"/>
          <w:bCs w:val="0"/>
          <w:kern w:val="0"/>
          <w:szCs w:val="21"/>
        </w:rPr>
      </w:sdtEndPr>
      <w:sdtContent>
        <w:p>
          <w:pPr>
            <w:pStyle w:val="4"/>
            <w:numPr>
              <w:ilvl w:val="0"/>
              <w:numId w:val="120"/>
            </w:numPr>
            <w:rPr>
              <w:rFonts w:cstheme="minorBidi"/>
              <w:szCs w:val="21"/>
            </w:rPr>
          </w:pPr>
          <w:r>
            <w:rPr>
              <w:rFonts w:hint="eastAsia" w:cstheme="minorBidi"/>
              <w:szCs w:val="21"/>
            </w:rPr>
            <w:t>不以公允价值计量的</w:t>
          </w:r>
          <w:r>
            <w:rPr>
              <w:rFonts w:hint="eastAsia"/>
              <w:szCs w:val="21"/>
            </w:rPr>
            <w:t>金融资产</w:t>
          </w:r>
          <w:r>
            <w:rPr>
              <w:rFonts w:hint="eastAsia" w:cstheme="minorBidi"/>
              <w:szCs w:val="21"/>
            </w:rPr>
            <w:t>和金融负债的公允价值情况</w:t>
          </w:r>
        </w:p>
        <w:sdt>
          <w:sdtPr>
            <w:rPr>
              <w:rFonts w:hint="eastAsia" w:cstheme="minorBidi"/>
              <w:szCs w:val="21"/>
            </w:rPr>
            <w:alias w:val="是否适用：不以公允价值计量的金融资产和金融负债的公允价值情况[双击切换]"/>
            <w:tag w:val="_GBC_734377ec924449c3ae79732fec24b52d"/>
            <w:id w:val="865726815"/>
            <w:lock w:val="sdtLocked"/>
            <w:placeholder>
              <w:docPart w:val="GBC22222222222222222222222222222"/>
            </w:placeholder>
          </w:sdtPr>
          <w:sdtEndPr>
            <w:rPr>
              <w:rFonts w:hint="eastAsia" w:cstheme="minorBidi"/>
              <w:szCs w:val="21"/>
            </w:rPr>
          </w:sdtEndPr>
          <w:sdtContent>
            <w:p>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865726818"/>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120"/>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865726817"/>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pStyle w:val="3"/>
        <w:numPr>
          <w:ilvl w:val="0"/>
          <w:numId w:val="54"/>
        </w:numPr>
        <w:rPr>
          <w:rFonts w:ascii="宋体" w:hAnsi="宋体"/>
        </w:rPr>
      </w:pPr>
      <w:r>
        <w:rPr>
          <w:rFonts w:hint="eastAsia" w:ascii="宋体" w:hAnsi="宋体"/>
        </w:rPr>
        <w:t>关联方及关联交易</w:t>
      </w:r>
    </w:p>
    <w:sdt>
      <w:sdtPr>
        <w:rPr>
          <w:rFonts w:hint="eastAsia" w:ascii="宋体" w:hAnsi="宋体" w:cs="宋体"/>
          <w:b w:val="0"/>
          <w:bCs w:val="0"/>
          <w:kern w:val="0"/>
          <w:szCs w:val="24"/>
        </w:rPr>
        <w:alias w:val="模块:本企业的母公司情况"/>
        <w:tag w:val="_GBC_29e1f7491caa4c3e96eef8c84532de84"/>
        <w:id w:val="865726833"/>
        <w:lock w:val="sdtLocked"/>
        <w:placeholder>
          <w:docPart w:val="GBC22222222222222222222222222222"/>
        </w:placeholder>
      </w:sdtPr>
      <w:sdtEndPr>
        <w:rPr>
          <w:rFonts w:hint="eastAsia" w:ascii="宋体" w:hAnsi="宋体" w:cs="Cambria"/>
          <w:b w:val="0"/>
          <w:bCs w:val="0"/>
          <w:kern w:val="0"/>
          <w:szCs w:val="21"/>
        </w:rPr>
      </w:sdtEndPr>
      <w:sdtContent>
        <w:p>
          <w:pPr>
            <w:pStyle w:val="4"/>
            <w:numPr>
              <w:ilvl w:val="0"/>
              <w:numId w:val="121"/>
            </w:numPr>
          </w:pPr>
          <w:r>
            <w:rPr>
              <w:rFonts w:hint="eastAsia"/>
            </w:rPr>
            <w:t>本企业的母公司情况</w:t>
          </w:r>
        </w:p>
        <w:sdt>
          <w:sdtPr>
            <w:rPr>
              <w:rFonts w:hint="eastAsia"/>
            </w:rPr>
            <w:alias w:val="是否适用：本企业的母公司情况[双击切换]"/>
            <w:tag w:val="_GBC_fe5dd4a2c9ad405db72189e05b735e0c"/>
            <w:id w:val="86572681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本企业的母公司情况"/>
              <w:tag w:val="_GBC_4bdd8b08e4ce41af93512866e6012a92"/>
              <w:id w:val="8657268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8657268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234"/>
            <w:gridCol w:w="1464"/>
            <w:gridCol w:w="1464"/>
            <w:gridCol w:w="1683"/>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rPr>
                  <w:rFonts w:ascii="Times New Roman" w:hAnsi="Times New Roman" w:cs="Times New Roman"/>
                </w:rPr>
                <w:tag w:val="_PLD_78501cc34b694302b18c1ea75399510e"/>
                <w:id w:val="865726822"/>
                <w:lock w:val="sdtLocked"/>
              </w:sdtPr>
              <w:sdtEndPr>
                <w:rPr>
                  <w:rFonts w:ascii="Times New Roman" w:hAnsi="Times New Roman" w:cs="Times New Roman"/>
                </w:rPr>
              </w:sdtEndPr>
              <w:sdtContent>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母公司名称</w:t>
                    </w:r>
                  </w:p>
                </w:tc>
              </w:sdtContent>
            </w:sdt>
            <w:sdt>
              <w:sdtPr>
                <w:rPr>
                  <w:rFonts w:ascii="Times New Roman" w:hAnsi="Times New Roman" w:cs="Times New Roman"/>
                </w:rPr>
                <w:tag w:val="_PLD_9cf29fdb6dc54a2ca1191c007bb19ceb"/>
                <w:id w:val="865726823"/>
                <w:lock w:val="sdtLocked"/>
              </w:sdtPr>
              <w:sdtEndPr>
                <w:rPr>
                  <w:rFonts w:ascii="Times New Roman" w:hAnsi="Times New Roman" w:cs="Times New Roman"/>
                </w:rPr>
              </w:sdtEndPr>
              <w:sdtContent>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注册地</w:t>
                    </w:r>
                  </w:p>
                </w:tc>
              </w:sdtContent>
            </w:sdt>
            <w:sdt>
              <w:sdtPr>
                <w:rPr>
                  <w:rFonts w:ascii="Times New Roman" w:hAnsi="Times New Roman" w:cs="Times New Roman"/>
                </w:rPr>
                <w:tag w:val="_PLD_738e924675434f8ea1a19e9f01f12c6a"/>
                <w:id w:val="865726824"/>
                <w:lock w:val="sdtLocked"/>
              </w:sdtPr>
              <w:sdtEndPr>
                <w:rPr>
                  <w:rFonts w:ascii="Times New Roman" w:hAnsi="Times New Roman" w:cs="Times New Roman"/>
                </w:rPr>
              </w:sdtEndPr>
              <w:sdtContent>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业务性质</w:t>
                    </w:r>
                  </w:p>
                </w:tc>
              </w:sdtContent>
            </w:sdt>
            <w:sdt>
              <w:sdtPr>
                <w:rPr>
                  <w:rFonts w:ascii="Times New Roman" w:hAnsi="Times New Roman" w:cs="Times New Roman"/>
                </w:rPr>
                <w:tag w:val="_PLD_8f8ae05947724183906b020ada85e914"/>
                <w:id w:val="865726825"/>
                <w:lock w:val="sdtLocked"/>
              </w:sdtPr>
              <w:sdtEndPr>
                <w:rPr>
                  <w:rFonts w:ascii="Times New Roman" w:hAnsi="Times New Roman" w:cs="Times New Roman"/>
                </w:rPr>
              </w:sdtEndPr>
              <w:sdtContent>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注册资本</w:t>
                    </w:r>
                  </w:p>
                </w:tc>
              </w:sdtContent>
            </w:sdt>
            <w:sdt>
              <w:sdtPr>
                <w:rPr>
                  <w:rFonts w:ascii="Times New Roman" w:hAnsi="Times New Roman" w:cs="Times New Roman"/>
                </w:rPr>
                <w:tag w:val="_PLD_41f7f469dbcc4ee39514954cb008b0a4"/>
                <w:id w:val="865726826"/>
                <w:lock w:val="sdtLocked"/>
              </w:sdtPr>
              <w:sdtEndPr>
                <w:rPr>
                  <w:rFonts w:ascii="Times New Roman" w:hAnsi="Times New Roman" w:cs="Times New Roman"/>
                </w:rPr>
              </w:sdtEndPr>
              <w:sdtContent>
                <w:tc>
                  <w:tcPr>
                    <w:tcW w:w="9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母公司对本企业的持股比例</w:t>
                    </w:r>
                    <w:r>
                      <w:rPr>
                        <w:rFonts w:ascii="Times New Roman" w:hAnsi="Times New Roman" w:cs="Times New Roman"/>
                        <w:szCs w:val="21"/>
                      </w:rPr>
                      <w:t>(%)</w:t>
                    </w:r>
                  </w:p>
                </w:tc>
              </w:sdtContent>
            </w:sdt>
            <w:sdt>
              <w:sdtPr>
                <w:rPr>
                  <w:rFonts w:ascii="Times New Roman" w:hAnsi="Times New Roman" w:cs="Times New Roman"/>
                </w:rPr>
                <w:tag w:val="_PLD_dab7bc4321ca44eb9d8565239cbf42f7"/>
                <w:id w:val="865726827"/>
                <w:lock w:val="sdtLocked"/>
              </w:sdtPr>
              <w:sdtEndPr>
                <w:rPr>
                  <w:rFonts w:ascii="Times New Roman" w:hAnsi="Times New Roman" w:cs="Times New Roman"/>
                </w:rPr>
              </w:sdtEndPr>
              <w:sdtContent>
                <w:tc>
                  <w:tcPr>
                    <w:tcW w:w="10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母公司对本企业的表决权比例</w:t>
                    </w:r>
                    <w:r>
                      <w:rPr>
                        <w:rFonts w:ascii="Times New Roman" w:hAnsi="Times New Roman" w:cs="Times New Roman"/>
                        <w:szCs w:val="21"/>
                      </w:rPr>
                      <w:t>(%)</w:t>
                    </w:r>
                  </w:p>
                </w:tc>
              </w:sdtContent>
            </w:sdt>
          </w:tr>
          <w:sdt>
            <w:sdtPr>
              <w:rPr>
                <w:rFonts w:ascii="Times New Roman" w:hAnsi="Times New Roman" w:cs="Times New Roman"/>
                <w:szCs w:val="21"/>
              </w:rPr>
              <w:alias w:val="本企业的母公司情况明细"/>
              <w:tag w:val="_GBC_e3a0ec4880544cc4ad472a056e28a2a2"/>
              <w:id w:val="86572682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cs="Times New Roman"/>
                      </w:rPr>
                      <w:t>广西柳州市产业投资发展集团有限公司</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rPr>
                      <w:t>广西柳州</w:t>
                    </w:r>
                  </w:p>
                </w:tc>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rPr>
                      <w:t>有限责任公司</w:t>
                    </w:r>
                  </w:p>
                </w:tc>
                <w:tc>
                  <w:tcPr>
                    <w:tcW w:w="8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rPr>
                      <w:t>100,000</w:t>
                    </w:r>
                  </w:p>
                </w:tc>
                <w:tc>
                  <w:tcPr>
                    <w:tcW w:w="9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rPr>
                      <w:t>33.34</w:t>
                    </w:r>
                  </w:p>
                </w:tc>
                <w:tc>
                  <w:tcPr>
                    <w:tcW w:w="10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rPr>
                      <w:t>33.34</w:t>
                    </w:r>
                  </w:p>
                </w:tc>
              </w:tr>
            </w:sdtContent>
          </w:sdt>
          <w:sdt>
            <w:sdtPr>
              <w:rPr>
                <w:rFonts w:ascii="Times New Roman" w:hAnsi="Times New Roman" w:cs="Times New Roman"/>
                <w:szCs w:val="21"/>
              </w:rPr>
              <w:alias w:val="本企业的母公司情况明细"/>
              <w:tag w:val="_GBC_e3a0ec4880544cc4ad472a056e28a2a2"/>
              <w:id w:val="86572682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p>
                </w:tc>
                <w:tc>
                  <w:tcPr>
                    <w:tcW w:w="68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p>
                </w:tc>
                <w:tc>
                  <w:tcPr>
                    <w:tcW w:w="808"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p>
                </w:tc>
                <w:tc>
                  <w:tcPr>
                    <w:tcW w:w="80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92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c>
                  <w:tcPr>
                    <w:tcW w:w="100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szCs w:val="21"/>
                      </w:rPr>
                    </w:pPr>
                  </w:p>
                </w:tc>
              </w:tr>
            </w:sdtContent>
          </w:sdt>
        </w:tbl>
        <w:p/>
        <w:p>
          <w:pPr>
            <w:tabs>
              <w:tab w:val="left" w:pos="1134"/>
            </w:tabs>
            <w:rPr>
              <w:rFonts w:cs="Cambria"/>
              <w:szCs w:val="21"/>
            </w:rPr>
          </w:pPr>
        </w:p>
        <w:p>
          <w:pPr>
            <w:rPr>
              <w:szCs w:val="21"/>
            </w:rPr>
          </w:pPr>
          <w:r>
            <w:rPr>
              <w:rFonts w:hint="eastAsia"/>
              <w:szCs w:val="21"/>
            </w:rPr>
            <w:t>本企业最终控制方是</w:t>
          </w:r>
          <w:sdt>
            <w:sdtPr>
              <w:rPr>
                <w:rFonts w:hint="eastAsia"/>
                <w:szCs w:val="21"/>
              </w:rPr>
              <w:alias w:val="本企业最终控制方"/>
              <w:tag w:val="_GBC_951a676520994ab7a3822c5f58c20b7d"/>
              <w:id w:val="865726831"/>
              <w:lock w:val="sdtLocked"/>
              <w:placeholder>
                <w:docPart w:val="GBC22222222222222222222222222222"/>
              </w:placeholder>
            </w:sdtPr>
            <w:sdtEndPr>
              <w:rPr>
                <w:rFonts w:hint="eastAsia"/>
                <w:szCs w:val="21"/>
              </w:rPr>
            </w:sdtEndPr>
            <w:sdtContent>
              <w:r>
                <w:rPr>
                  <w:rFonts w:hint="eastAsia"/>
                  <w:szCs w:val="21"/>
                  <w:lang w:val="en-GB"/>
                </w:rPr>
                <w:t>柳州市人民政府国有资产监督管理委员会</w:t>
              </w:r>
            </w:sdtContent>
          </w:sdt>
        </w:p>
      </w:sdtContent>
    </w:sdt>
    <w:sdt>
      <w:sdtPr>
        <w:rPr>
          <w:rFonts w:hint="eastAsia" w:ascii="宋体" w:hAnsi="宋体" w:cs="Arial"/>
          <w:b w:val="0"/>
          <w:bCs w:val="0"/>
          <w:kern w:val="0"/>
          <w:szCs w:val="21"/>
        </w:rPr>
        <w:alias w:val="模块:本企业的子公司情况"/>
        <w:tag w:val="_GBC_244a434a920446c1838410fee0ac8ba8"/>
        <w:id w:val="865726836"/>
        <w:lock w:val="sdtLocked"/>
        <w:placeholder>
          <w:docPart w:val="GBC22222222222222222222222222222"/>
        </w:placeholder>
      </w:sdtPr>
      <w:sdtEndPr>
        <w:rPr>
          <w:rFonts w:hint="eastAsia" w:ascii="宋体" w:hAnsi="宋体" w:cs="Cambria"/>
          <w:b w:val="0"/>
          <w:bCs w:val="0"/>
          <w:kern w:val="0"/>
          <w:szCs w:val="21"/>
        </w:rPr>
      </w:sdtEndPr>
      <w:sdtContent>
        <w:p>
          <w:pPr>
            <w:pStyle w:val="4"/>
            <w:numPr>
              <w:ilvl w:val="0"/>
              <w:numId w:val="121"/>
            </w:numPr>
            <w:rPr>
              <w:rFonts w:ascii="宋体" w:hAnsi="宋体" w:cs="Arial"/>
              <w:szCs w:val="21"/>
            </w:rPr>
          </w:pPr>
          <w:r>
            <w:rPr>
              <w:rFonts w:hint="eastAsia" w:ascii="宋体" w:hAnsi="宋体" w:cs="Arial"/>
              <w:szCs w:val="21"/>
            </w:rPr>
            <w:t>本企业的子公司情况</w:t>
          </w:r>
        </w:p>
        <w:p>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86572683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宋体" w:hAnsi="宋体" w:cs="宋体"/>
              <w:b w:val="0"/>
              <w:bCs w:val="0"/>
              <w:kern w:val="0"/>
              <w:szCs w:val="21"/>
            </w:rPr>
            <w:alias w:val="本公司的子公司情况详见附注"/>
            <w:tag w:val="_GBC_bb3e2669c3cc45d0a6637b1809087708"/>
            <w:id w:val="865726835"/>
            <w:lock w:val="sdtLocked"/>
            <w:placeholder>
              <w:docPart w:val="GBC22222222222222222222222222222"/>
            </w:placeholder>
          </w:sdtPr>
          <w:sdtEndPr>
            <w:rPr>
              <w:rFonts w:hint="eastAsia" w:ascii="Calibri" w:hAnsi="Calibri" w:cs="Times New Roman"/>
              <w:b/>
              <w:bCs/>
              <w:kern w:val="2"/>
              <w:szCs w:val="21"/>
            </w:rPr>
          </w:sdtEndPr>
          <w:sdtContent>
            <w:p>
              <w:pPr>
                <w:pStyle w:val="4"/>
                <w:keepNext w:val="0"/>
                <w:keepLines w:val="0"/>
                <w:tabs>
                  <w:tab w:val="left" w:pos="504"/>
                </w:tabs>
                <w:spacing w:before="0" w:after="0" w:line="480" w:lineRule="exact"/>
                <w:ind w:left="482"/>
                <w:rPr>
                  <w:szCs w:val="21"/>
                </w:rPr>
              </w:pPr>
              <w:r>
                <w:rPr>
                  <w:rFonts w:ascii="Times New Roman" w:hAnsiTheme="minorEastAsia" w:eastAsiaTheme="minorEastAsia"/>
                  <w:b w:val="0"/>
                  <w:color w:val="000000"/>
                  <w:szCs w:val="21"/>
                </w:rPr>
                <w:t>详见</w:t>
              </w:r>
              <w:r>
                <w:rPr>
                  <w:rFonts w:ascii="Times New Roman" w:hAnsi="Times New Roman" w:eastAsiaTheme="minorEastAsia"/>
                  <w:b w:val="0"/>
                  <w:color w:val="000000"/>
                  <w:szCs w:val="21"/>
                </w:rPr>
                <w:t>“</w:t>
              </w:r>
              <w:r>
                <w:rPr>
                  <w:rFonts w:ascii="Times New Roman" w:hAnsiTheme="minorEastAsia" w:eastAsiaTheme="minorEastAsia"/>
                  <w:b w:val="0"/>
                  <w:color w:val="000000"/>
                  <w:szCs w:val="21"/>
                </w:rPr>
                <w:t>九、在其他主体中的权益之</w:t>
              </w:r>
              <w:r>
                <w:rPr>
                  <w:rFonts w:ascii="Times New Roman" w:hAnsi="Times New Roman" w:eastAsiaTheme="minorEastAsia"/>
                  <w:b w:val="0"/>
                  <w:color w:val="000000"/>
                  <w:szCs w:val="21"/>
                </w:rPr>
                <w:t>1</w:t>
              </w:r>
              <w:r>
                <w:rPr>
                  <w:rFonts w:ascii="Times New Roman" w:hAnsiTheme="minorEastAsia" w:eastAsiaTheme="minorEastAsia"/>
                  <w:b w:val="0"/>
                  <w:color w:val="000000"/>
                  <w:szCs w:val="21"/>
                </w:rPr>
                <w:t>、在子公司中的权益</w:t>
              </w:r>
              <w:r>
                <w:rPr>
                  <w:rFonts w:ascii="Times New Roman" w:hAnsi="Times New Roman" w:eastAsiaTheme="minorEastAsia"/>
                  <w:b w:val="0"/>
                  <w:color w:val="000000"/>
                  <w:szCs w:val="21"/>
                </w:rPr>
                <w:t>”</w:t>
              </w:r>
            </w:p>
          </w:sdtContent>
        </w:sdt>
        <w:p>
          <w:pPr>
            <w:tabs>
              <w:tab w:val="left" w:pos="1134"/>
            </w:tabs>
            <w:rPr>
              <w:rFonts w:cs="Cambria"/>
              <w:szCs w:val="21"/>
            </w:rPr>
          </w:pPr>
        </w:p>
      </w:sdtContent>
    </w:sdt>
    <w:sdt>
      <w:sdtPr>
        <w:rPr>
          <w:rFonts w:hint="eastAsia" w:ascii="宋体" w:hAnsi="宋体" w:cs="宋体"/>
          <w:b w:val="0"/>
          <w:bCs w:val="0"/>
          <w:kern w:val="0"/>
          <w:szCs w:val="24"/>
        </w:rPr>
        <w:alias w:val="模块:存在关联方交易或余额的合营和联营企业情况"/>
        <w:tag w:val="_GBC_a5638b7fd6a848a19564209060b6909a"/>
        <w:id w:val="865726845"/>
        <w:lock w:val="sdtLocked"/>
        <w:placeholder>
          <w:docPart w:val="GBC22222222222222222222222222222"/>
        </w:placeholder>
      </w:sdtPr>
      <w:sdtEndPr>
        <w:rPr>
          <w:rFonts w:hint="eastAsia" w:ascii="宋体" w:hAnsi="宋体" w:cs="Cambria"/>
          <w:b w:val="0"/>
          <w:bCs w:val="0"/>
          <w:kern w:val="0"/>
          <w:szCs w:val="21"/>
        </w:rPr>
      </w:sdtEndPr>
      <w:sdtContent>
        <w:p>
          <w:pPr>
            <w:pStyle w:val="4"/>
            <w:numPr>
              <w:ilvl w:val="0"/>
              <w:numId w:val="121"/>
            </w:numPr>
          </w:pPr>
          <w:r>
            <w:rPr>
              <w:rFonts w:hint="eastAsia"/>
            </w:rPr>
            <w:t>本企业合营和联营企业情况</w:t>
          </w:r>
        </w:p>
        <w:sdt>
          <w:sdtPr>
            <w:alias w:val="是否适用：本企业重要的合营或联营企业详见附注[双击切换]"/>
            <w:tag w:val="_GBC_a44d5ddc347344bcaadf8652bc7a927c"/>
            <w:id w:val="86572683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865726838"/>
            <w:lock w:val="sdtLocked"/>
            <w:placeholder>
              <w:docPart w:val="GBC22222222222222222222222222222"/>
            </w:placeholder>
          </w:sdtPr>
          <w:sdtEndPr>
            <w:rPr>
              <w:rFonts w:hint="eastAsia"/>
            </w:rPr>
          </w:sdtEndPr>
          <w:sdtContent>
            <w:p>
              <w:r>
                <w:rPr>
                  <w:rFonts w:hint="eastAsia"/>
                </w:rPr>
                <w:t>详见“</w:t>
              </w:r>
              <w:r>
                <w:rPr>
                  <w:rFonts w:ascii="Times New Roman" w:cs="Times New Roman"/>
                </w:rPr>
                <w:t>九、在其他主体中的权益之</w:t>
              </w:r>
              <w:r>
                <w:rPr>
                  <w:rFonts w:ascii="Times New Roman" w:hAnsi="Times New Roman" w:cs="Times New Roman"/>
                </w:rPr>
                <w:t>3</w:t>
              </w:r>
              <w:r>
                <w:rPr>
                  <w:rFonts w:ascii="Times New Roman" w:cs="Times New Roman"/>
                </w:rPr>
                <w:t>、在合营安排或联营企业中的权益</w:t>
              </w:r>
              <w:r>
                <w:rPr>
                  <w:rFonts w:ascii="Times New Roman" w:hAnsi="Times New Roman" w:cs="Times New Roman"/>
                </w:rPr>
                <w:t>”</w:t>
              </w:r>
              <w:r>
                <w:rPr>
                  <w:rFonts w:hint="eastAsia"/>
                </w:rPr>
                <w:t xml:space="preserve"> </w:t>
              </w:r>
            </w:p>
            <w:p>
              <w:r>
                <w:rPr>
                  <w:rFonts w:hint="eastAsia"/>
                </w:rPr>
                <w:t>本期与本公司发生关联方交易，或前期与本公司发生关联方交易形成余额的其他合营或联营企业情况如下</w:t>
              </w:r>
            </w:p>
            <w:p/>
          </w:sdtContent>
        </w:sdt>
        <w:sdt>
          <w:sdtPr>
            <w:alias w:val="是否适用：本期与本公司发生关联方交易，或前期与本公司发生关联方交易形成余额的其他合营或联营企业情况如下[双击切换]"/>
            <w:tag w:val="_GBC_3340148c9e9e4091aa65b3b3355a3a37"/>
            <w:id w:val="86572683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5"/>
            <w:gridCol w:w="5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e6d2a60380d424fbe39edbe16e876ad"/>
                <w:id w:val="865726840"/>
                <w:lock w:val="sdtLocked"/>
              </w:sdtPr>
              <w:sdtContent>
                <w:tc>
                  <w:tcPr>
                    <w:tcW w:w="2202"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合营或联营企业名称</w:t>
                    </w:r>
                  </w:p>
                </w:tc>
              </w:sdtContent>
            </w:sdt>
            <w:sdt>
              <w:sdtPr>
                <w:tag w:val="_PLD_7a4c0374bc514021b6a270655cb81e9e"/>
                <w:id w:val="865726841"/>
                <w:lock w:val="sdtLocked"/>
              </w:sdtPr>
              <w:sdtContent>
                <w:tc>
                  <w:tcPr>
                    <w:tcW w:w="279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与本企业关系</w:t>
                    </w:r>
                  </w:p>
                </w:tc>
              </w:sdtContent>
            </w:sdt>
          </w:tr>
          <w:sdt>
            <w:sdtPr>
              <w:rPr>
                <w:szCs w:val="21"/>
              </w:rPr>
              <w:alias w:val="存在关联方交易或余额的合营和联营企业情况明细"/>
              <w:tag w:val="_GBC_ef970ecfd5a24d47a5d96098bbd65e25"/>
              <w:id w:val="86572684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rPr>
                        <w:szCs w:val="21"/>
                      </w:rPr>
                    </w:pPr>
                    <w:r>
                      <w:t>成都同基医药有限公司</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rPr>
                        <w:szCs w:val="21"/>
                      </w:rPr>
                    </w:pPr>
                    <w:r>
                      <w:t>本公司的参股公司</w:t>
                    </w:r>
                  </w:p>
                </w:tc>
              </w:tr>
            </w:sdtContent>
          </w:sdt>
          <w:sdt>
            <w:sdtPr>
              <w:rPr>
                <w:szCs w:val="21"/>
              </w:rPr>
              <w:alias w:val="存在关联方交易或余额的合营和联营企业情况明细"/>
              <w:tag w:val="_GBC_ef970ecfd5a24d47a5d96098bbd65e25"/>
              <w:id w:val="86572684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rPr>
                        <w:szCs w:val="21"/>
                      </w:rPr>
                    </w:pPr>
                  </w:p>
                </w:tc>
                <w:tc>
                  <w:tcPr>
                    <w:tcW w:w="2798" w:type="pct"/>
                    <w:tcBorders>
                      <w:top w:val="single" w:color="auto" w:sz="4" w:space="0"/>
                      <w:left w:val="single" w:color="auto" w:sz="4" w:space="0"/>
                      <w:bottom w:val="single" w:color="auto" w:sz="4" w:space="0"/>
                      <w:right w:val="single" w:color="auto" w:sz="4" w:space="0"/>
                    </w:tcBorders>
                    <w:vAlign w:val="center"/>
                  </w:tcPr>
                  <w:p>
                    <w:pPr>
                      <w:jc w:val="center"/>
                      <w:rPr>
                        <w:szCs w:val="21"/>
                      </w:rPr>
                    </w:pPr>
                  </w:p>
                </w:tc>
              </w:tr>
            </w:sdtContent>
          </w:sdt>
        </w:tbl>
        <w:p/>
        <w:p>
          <w:pPr>
            <w:tabs>
              <w:tab w:val="left" w:pos="1134"/>
            </w:tabs>
            <w:rPr>
              <w:rFonts w:cs="Cambria"/>
              <w:szCs w:val="21"/>
            </w:rPr>
          </w:pPr>
          <w:r>
            <w:rPr>
              <w:rFonts w:hint="eastAsia" w:cs="Cambria"/>
              <w:szCs w:val="21"/>
            </w:rPr>
            <w:t>其他说明</w:t>
          </w:r>
        </w:p>
        <w:sdt>
          <w:sdtPr>
            <w:rPr>
              <w:rFonts w:cs="Cambria"/>
              <w:szCs w:val="21"/>
            </w:rPr>
            <w:alias w:val="是否适用：存在关联方交易或余额的合营和联营企业情况说明[双击切换]"/>
            <w:tag w:val="_GBC_491f62bb76ba49c482a64272865cc4a1"/>
            <w:id w:val="865726844"/>
            <w:lock w:val="sdtLocked"/>
            <w:placeholder>
              <w:docPart w:val="GBC22222222222222222222222222222"/>
            </w:placeholder>
          </w:sdtPr>
          <w:sdtEndPr>
            <w:rPr>
              <w:rFonts w:cs="Cambria"/>
              <w:szCs w:val="21"/>
            </w:rPr>
          </w:sdtEndPr>
          <w:sdtContent>
            <w:p>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tabs>
              <w:tab w:val="left" w:pos="1134"/>
            </w:tabs>
            <w:rPr>
              <w:rFonts w:cs="Cambria"/>
              <w:szCs w:val="21"/>
            </w:rPr>
          </w:pPr>
        </w:p>
      </w:sdtContent>
    </w:sdt>
    <w:sdt>
      <w:sdtPr>
        <w:rPr>
          <w:rFonts w:hint="eastAsia" w:ascii="宋体" w:hAnsi="宋体" w:cs="宋体"/>
          <w:b w:val="0"/>
          <w:bCs w:val="0"/>
          <w:kern w:val="0"/>
          <w:szCs w:val="24"/>
        </w:rPr>
        <w:alias w:val="模块:其他关联方情况"/>
        <w:tag w:val="_SEC_4da82436ee754a98b1f572e1fb4440db"/>
        <w:id w:val="865726854"/>
        <w:lock w:val="sdtLocked"/>
        <w:placeholder>
          <w:docPart w:val="GBC22222222222222222222222222222"/>
        </w:placeholder>
      </w:sdtPr>
      <w:sdtEndPr>
        <w:rPr>
          <w:rFonts w:hint="eastAsia" w:ascii="宋体" w:hAnsi="宋体" w:cs="Cambria"/>
          <w:b w:val="0"/>
          <w:bCs w:val="0"/>
          <w:kern w:val="0"/>
          <w:szCs w:val="21"/>
        </w:rPr>
      </w:sdtEndPr>
      <w:sdtContent>
        <w:p>
          <w:pPr>
            <w:pStyle w:val="4"/>
            <w:numPr>
              <w:ilvl w:val="0"/>
              <w:numId w:val="121"/>
            </w:numPr>
          </w:pPr>
          <w:r>
            <w:rPr>
              <w:rFonts w:hint="eastAsia"/>
            </w:rPr>
            <w:t>其他关联方情况</w:t>
          </w:r>
        </w:p>
        <w:sdt>
          <w:sdtPr>
            <w:alias w:val="是否适用：其他关联方情况[双击切换]"/>
            <w:tag w:val="_GBC_42246b4c04fc4462b5fb05a5db67f4d0"/>
            <w:id w:val="86572684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8"/>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sdt>
              <w:sdtPr>
                <w:tag w:val="_PLD_36db3e8c12e04d279b0c2956ad69d8a6"/>
                <w:id w:val="865726847"/>
                <w:lock w:val="sdtLocked"/>
              </w:sdtPr>
              <w:sdtContent>
                <w:tc>
                  <w:tcPr>
                    <w:tcW w:w="219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其他关联方名称</w:t>
                    </w:r>
                  </w:p>
                </w:tc>
              </w:sdtContent>
            </w:sdt>
            <w:sdt>
              <w:sdtPr>
                <w:tag w:val="_PLD_b851a2cc9280416290b9ebf815c49236"/>
                <w:id w:val="865726848"/>
                <w:lock w:val="sdtLocked"/>
              </w:sdtPr>
              <w:sdtContent>
                <w:tc>
                  <w:tcPr>
                    <w:tcW w:w="2802"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其他关联方与本企业关系</w:t>
                    </w:r>
                  </w:p>
                </w:tc>
              </w:sdtContent>
            </w:sdt>
          </w:tr>
          <w:sdt>
            <w:sdtPr>
              <w:rPr>
                <w:rFonts w:cs="Cambria"/>
                <w:szCs w:val="21"/>
              </w:rPr>
              <w:alias w:val="本企业的其他关联方情况明细"/>
              <w:tag w:val="_TUP_a783e3455e3448cbb8198b1265f2df23"/>
              <w:id w:val="86572685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rPr>
                        <w:rFonts w:cs="Cambria"/>
                        <w:szCs w:val="21"/>
                      </w:rPr>
                    </w:pPr>
                    <w:r>
                      <w:rPr>
                        <w:rFonts w:cs="Cambria"/>
                        <w:szCs w:val="21"/>
                      </w:rPr>
                      <w:t>柳州市元宏投资发展有限公司（</w:t>
                    </w:r>
                    <w:r>
                      <w:t>柳州市两面针旅游用品厂）</w:t>
                    </w:r>
                  </w:p>
                </w:tc>
                <w:sdt>
                  <w:sdtPr>
                    <w:rPr>
                      <w:rFonts w:cs="Cambria"/>
                      <w:szCs w:val="21"/>
                    </w:rPr>
                    <w:alias w:val="本企业的其他关联方情况明细－其他关联方与本公司关系"/>
                    <w:tag w:val="_GBC_58cfdd73098648d8af76645c4007a3fa"/>
                    <w:id w:val="8657268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vAlign w:val="center"/>
                      </w:tcPr>
                      <w:p>
                        <w:pPr>
                          <w:jc w:val="both"/>
                          <w:rPr>
                            <w:rFonts w:cs="Cambria"/>
                            <w:szCs w:val="21"/>
                          </w:rPr>
                        </w:pPr>
                        <w:r>
                          <w:rPr>
                            <w:rFonts w:cs="Cambria"/>
                            <w:szCs w:val="21"/>
                          </w:rPr>
                          <w:t>本公司的参股股东</w:t>
                        </w:r>
                      </w:p>
                    </w:tc>
                  </w:sdtContent>
                </w:sdt>
              </w:tr>
            </w:sdtContent>
          </w:sdt>
          <w:sdt>
            <w:sdtPr>
              <w:rPr>
                <w:rFonts w:cs="Cambria"/>
                <w:szCs w:val="21"/>
              </w:rPr>
              <w:alias w:val="本企业的其他关联方情况明细"/>
              <w:tag w:val="_TUP_a783e3455e3448cbb8198b1265f2df23"/>
              <w:id w:val="86572685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rPr>
                        <w:rFonts w:cs="Cambria"/>
                        <w:szCs w:val="21"/>
                      </w:rPr>
                    </w:pPr>
                    <w:r>
                      <w:t>柳州两面针纸业有限公司</w:t>
                    </w:r>
                  </w:p>
                </w:tc>
                <w:sdt>
                  <w:sdtPr>
                    <w:rPr>
                      <w:rFonts w:cs="Cambria"/>
                      <w:szCs w:val="21"/>
                    </w:rPr>
                    <w:alias w:val="本企业的其他关联方情况明细－其他关联方与本公司关系"/>
                    <w:tag w:val="_GBC_58cfdd73098648d8af76645c4007a3fa"/>
                    <w:id w:val="8657268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vAlign w:val="center"/>
                      </w:tcPr>
                      <w:p>
                        <w:pPr>
                          <w:jc w:val="both"/>
                          <w:rPr>
                            <w:rFonts w:cs="Cambria"/>
                            <w:szCs w:val="21"/>
                          </w:rPr>
                        </w:pPr>
                        <w:r>
                          <w:rPr>
                            <w:rFonts w:cs="Cambria"/>
                            <w:szCs w:val="21"/>
                          </w:rPr>
                          <w:t>同一控制人控制</w:t>
                        </w:r>
                      </w:p>
                    </w:tc>
                  </w:sdtContent>
                </w:sdt>
              </w:tr>
            </w:sdtContent>
          </w:sdt>
        </w:tbl>
        <w:p/>
        <w:p>
          <w:pPr>
            <w:tabs>
              <w:tab w:val="left" w:pos="1134"/>
            </w:tabs>
            <w:rPr>
              <w:rFonts w:cs="Cambria"/>
              <w:szCs w:val="21"/>
            </w:rPr>
          </w:pPr>
        </w:p>
        <w:p>
          <w:pPr>
            <w:tabs>
              <w:tab w:val="left" w:pos="1134"/>
            </w:tabs>
            <w:rPr>
              <w:rFonts w:cs="Cambria"/>
              <w:b/>
              <w:szCs w:val="21"/>
            </w:rPr>
          </w:pPr>
        </w:p>
      </w:sdtContent>
    </w:sdt>
    <w:p>
      <w:pPr>
        <w:pStyle w:val="4"/>
        <w:numPr>
          <w:ilvl w:val="0"/>
          <w:numId w:val="121"/>
        </w:numPr>
      </w:pPr>
      <w:r>
        <w:rPr>
          <w:rFonts w:hint="eastAsia"/>
        </w:rPr>
        <w:t>关联交易情况</w:t>
      </w:r>
    </w:p>
    <w:p>
      <w:pPr>
        <w:pStyle w:val="5"/>
        <w:numPr>
          <w:ilvl w:val="3"/>
          <w:numId w:val="122"/>
        </w:numPr>
        <w:ind w:left="424" w:hanging="424" w:hangingChars="201"/>
      </w:pPr>
      <w:r>
        <w:rPr>
          <w:rFonts w:hint="eastAsia"/>
        </w:rPr>
        <w:t>购销商品、提供和接受劳务的关联交易</w:t>
      </w:r>
    </w:p>
    <w:sdt>
      <w:sdtPr>
        <w:rPr>
          <w:rFonts w:hint="eastAsia"/>
        </w:rPr>
        <w:alias w:val="模块:采购商品/接受劳务情况表"/>
        <w:tag w:val="_SEC_b6443abb06dd41c7944d441c27c48f7d"/>
        <w:id w:val="865726865"/>
        <w:lock w:val="sdtLocked"/>
        <w:placeholder>
          <w:docPart w:val="GBC22222222222222222222222222222"/>
        </w:placeholder>
      </w:sdtPr>
      <w:sdtEndPr>
        <w:rPr>
          <w:rFonts w:hint="default"/>
        </w:rPr>
      </w:sdtEndPr>
      <w:sdtContent>
        <w:p>
          <w:r>
            <w:rPr>
              <w:rFonts w:hint="eastAsia"/>
            </w:rPr>
            <w:t>采购商品/接受劳务情况表</w:t>
          </w:r>
        </w:p>
        <w:sdt>
          <w:sdtPr>
            <w:alias w:val="是否适用：采购商品或接受劳务情况表[双击切换]"/>
            <w:tag w:val="_GBC_c080653feddc4cf2a468adfbb755dff3"/>
            <w:id w:val="86572685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cs="Cambria"/>
              <w:b/>
              <w:bCs/>
              <w:szCs w:val="21"/>
            </w:rPr>
          </w:pPr>
          <w:r>
            <w:rPr>
              <w:rFonts w:hint="eastAsia" w:cs="Cambria"/>
              <w:szCs w:val="21"/>
            </w:rPr>
            <w:t>单位：</w:t>
          </w:r>
          <w:sdt>
            <w:sdtPr>
              <w:rPr>
                <w:rFonts w:hint="eastAsia" w:cs="Cambria"/>
                <w:szCs w:val="21"/>
              </w:rPr>
              <w:alias w:val="单位：采购商品接受劳务情况表"/>
              <w:tag w:val="_GBC_60c7e55aaf24447a8a860810d4064a69"/>
              <w:id w:val="8657268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szCs w:val="21"/>
              </w:rPr>
            </w:sdtEndPr>
            <w:sdtContent>
              <w:r>
                <w:rPr>
                  <w:rFonts w:hint="eastAsia" w:cs="Cambria"/>
                  <w:szCs w:val="21"/>
                </w:rPr>
                <w:t>元</w:t>
              </w:r>
            </w:sdtContent>
          </w:sdt>
          <w:r>
            <w:rPr>
              <w:rFonts w:hint="eastAsia" w:cs="Cambria"/>
              <w:szCs w:val="21"/>
            </w:rPr>
            <w:t xml:space="preserve">  币种：</w:t>
          </w:r>
          <w:sdt>
            <w:sdtPr>
              <w:rPr>
                <w:rFonts w:hint="eastAsia" w:cs="Cambria"/>
                <w:szCs w:val="21"/>
              </w:rPr>
              <w:alias w:val="币种：采购商品接受劳务情况表"/>
              <w:tag w:val="_GBC_18feeecfa5c34459a62da7de5d6b5a90"/>
              <w:id w:val="865726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szCs w:val="21"/>
              </w:rPr>
            </w:sdtEndPr>
            <w:sdtContent>
              <w:r>
                <w:rPr>
                  <w:rFonts w:hint="eastAsia" w:cs="Cambr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465"/>
            <w:gridCol w:w="2181"/>
            <w:gridCol w:w="2208"/>
            <w:gridCol w:w="21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5" w:hRule="atLeast"/>
            </w:trPr>
            <w:sdt>
              <w:sdtPr>
                <w:rPr>
                  <w:rFonts w:ascii="Times New Roman" w:hAnsi="Times New Roman" w:cs="Times New Roman"/>
                </w:rPr>
                <w:tag w:val="_PLD_ed4fd195f176464f83eb8db1dbcbc443"/>
                <w:id w:val="865726858"/>
                <w:lock w:val="sdtLocked"/>
              </w:sdtPr>
              <w:sdtEndPr>
                <w:rPr>
                  <w:rFonts w:ascii="Times New Roman" w:hAnsi="Times New Roman" w:cs="Times New Roman"/>
                </w:rPr>
              </w:sdtEndPr>
              <w:sdtContent>
                <w:tc>
                  <w:tcPr>
                    <w:tcW w:w="13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关联方</w:t>
                    </w:r>
                  </w:p>
                </w:tc>
              </w:sdtContent>
            </w:sdt>
            <w:sdt>
              <w:sdtPr>
                <w:rPr>
                  <w:rFonts w:ascii="Times New Roman" w:hAnsi="Times New Roman" w:cs="Times New Roman"/>
                </w:rPr>
                <w:tag w:val="_PLD_013e7578c973447da6bccdb1a3924d96"/>
                <w:id w:val="865726859"/>
                <w:lock w:val="sdtLocked"/>
              </w:sdtPr>
              <w:sdtEndPr>
                <w:rPr>
                  <w:rFonts w:ascii="Times New Roman" w:hAnsi="Times New Roman" w:cs="Times New Roman"/>
                </w:rPr>
              </w:sdtEndPr>
              <w:sdtContent>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关联交易内容</w:t>
                    </w:r>
                  </w:p>
                </w:tc>
              </w:sdtContent>
            </w:sdt>
            <w:sdt>
              <w:sdtPr>
                <w:rPr>
                  <w:rFonts w:ascii="Times New Roman" w:hAnsi="Times New Roman" w:cs="Times New Roman"/>
                </w:rPr>
                <w:tag w:val="_PLD_6b54e09a146a4c34bba286909831c05b"/>
                <w:id w:val="865726860"/>
                <w:lock w:val="sdtLocked"/>
              </w:sdtPr>
              <w:sdtEndPr>
                <w:rPr>
                  <w:rFonts w:ascii="Times New Roman" w:hAnsi="Times New Roman" w:cs="Times New Roman"/>
                </w:rPr>
              </w:sdtEndPr>
              <w:sdtContent>
                <w:tc>
                  <w:tcPr>
                    <w:tcW w:w="1220" w:type="pc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9f856a67de3d45acbef7ccb12b35985d"/>
                <w:id w:val="865726861"/>
                <w:lock w:val="sdtLocked"/>
              </w:sdtPr>
              <w:sdtEndPr>
                <w:rPr>
                  <w:rFonts w:ascii="Times New Roman" w:hAnsi="Times New Roman" w:cs="Times New Roman"/>
                </w:rPr>
              </w:sdtEndPr>
              <w:sdtContent>
                <w:tc>
                  <w:tcPr>
                    <w:tcW w:w="1213" w:type="pc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上期发生额</w:t>
                    </w:r>
                  </w:p>
                </w:tc>
              </w:sdtContent>
            </w:sdt>
          </w:tr>
          <w:sdt>
            <w:sdtPr>
              <w:rPr>
                <w:rFonts w:ascii="Times New Roman" w:hAnsi="Times New Roman" w:cs="Times New Roman"/>
                <w:szCs w:val="21"/>
              </w:rPr>
              <w:alias w:val="采购商品接受劳务情况明细"/>
              <w:tag w:val="_TUP_21b06c19d7ae4c2ea8596d9fcb57283b"/>
              <w:id w:val="86572686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hint="eastAsia" w:ascii="Times New Roman" w:cs="Times New Roman"/>
                      </w:rPr>
                      <w:t>柳州市元宏投资发展有限公司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Times New Roman" w:hAnsi="Times New Roman" w:cs="Times New Roman"/>
                        <w:szCs w:val="21"/>
                      </w:rPr>
                    </w:pPr>
                    <w:r>
                      <w:rPr>
                        <w:rFonts w:ascii="Times New Roman" w:cs="Times New Roman"/>
                      </w:rPr>
                      <w:t>销售卷纸及日化用品</w:t>
                    </w:r>
                  </w:p>
                </w:tc>
                <w:tc>
                  <w:tcPr>
                    <w:tcW w:w="12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30,628.41</w:t>
                    </w:r>
                  </w:p>
                </w:tc>
              </w:tr>
            </w:sdtContent>
          </w:sdt>
          <w:sdt>
            <w:sdtPr>
              <w:rPr>
                <w:rFonts w:ascii="Times New Roman" w:hAnsi="Times New Roman" w:cs="Times New Roman"/>
                <w:szCs w:val="21"/>
              </w:rPr>
              <w:alias w:val="采购商品接受劳务情况明细"/>
              <w:tag w:val="_TUP_21b06c19d7ae4c2ea8596d9fcb57283b"/>
              <w:id w:val="86572686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柳州两面针纸业有限公司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Times New Roman" w:hAnsi="Times New Roman" w:cs="Times New Roman"/>
                        <w:szCs w:val="21"/>
                      </w:rPr>
                    </w:pPr>
                    <w:r>
                      <w:rPr>
                        <w:rFonts w:ascii="Times New Roman" w:cs="Times New Roman"/>
                      </w:rPr>
                      <w:t>销售日化用品</w:t>
                    </w:r>
                  </w:p>
                </w:tc>
                <w:tc>
                  <w:tcPr>
                    <w:tcW w:w="12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1,061.95</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采购商品接受劳务情况明细"/>
              <w:tag w:val="_TUP_21b06c19d7ae4c2ea8596d9fcb57283b"/>
              <w:id w:val="86572686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rPr>
                      <w:t>合计</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 </w:t>
                    </w:r>
                  </w:p>
                </w:tc>
                <w:tc>
                  <w:tcPr>
                    <w:tcW w:w="12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1,061.95</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Cs w:val="21"/>
                      </w:rPr>
                    </w:pPr>
                    <w:r>
                      <w:rPr>
                        <w:rFonts w:ascii="Times New Roman" w:hAnsi="Times New Roman" w:cs="Times New Roman"/>
                      </w:rPr>
                      <w:t>30,628.41</w:t>
                    </w:r>
                  </w:p>
                </w:tc>
              </w:tr>
            </w:sdtContent>
          </w:sdt>
        </w:tbl>
        <w:p/>
        <w:p/>
      </w:sdtContent>
    </w:sdt>
    <w:sdt>
      <w:sdtPr>
        <w:rPr>
          <w:rFonts w:hint="eastAsia"/>
          <w:szCs w:val="21"/>
        </w:rPr>
        <w:alias w:val="模块:出售商品/提供劳务情况"/>
        <w:tag w:val="_SEC_0bdaba437cb6402f9ab2a655956dbb9b"/>
        <w:id w:val="865726868"/>
        <w:lock w:val="sdtLocked"/>
        <w:placeholder>
          <w:docPart w:val="GBC22222222222222222222222222222"/>
        </w:placeholder>
      </w:sdtPr>
      <w:sdtEndPr>
        <w:rPr>
          <w:rFonts w:hint="eastAsia" w:cs="Cambria"/>
          <w:szCs w:val="21"/>
        </w:rPr>
      </w:sdtEndPr>
      <w:sdtContent>
        <w:p>
          <w:pPr>
            <w:ind w:right="-775" w:rightChars="-369"/>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865726866"/>
            <w:lock w:val="sdtLocked"/>
            <w:placeholder>
              <w:docPart w:val="GBC22222222222222222222222222222"/>
            </w:placeholder>
          </w:sdtPr>
          <w:sdtEndPr>
            <w:rPr>
              <w:szCs w:val="21"/>
            </w:rPr>
          </w:sdtEndPr>
          <w:sdtContent>
            <w:p>
              <w:pPr>
                <w:ind w:right="-775" w:rightChars="-369"/>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Cambria"/>
              <w:szCs w:val="21"/>
            </w:rPr>
          </w:pPr>
          <w:r>
            <w:rPr>
              <w:rFonts w:hint="eastAsia" w:cs="Cambr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865726867"/>
            <w:lock w:val="sdtLocked"/>
            <w:placeholder>
              <w:docPart w:val="GBC22222222222222222222222222222"/>
            </w:placeholder>
          </w:sdtPr>
          <w:sdtEndPr>
            <w:rPr>
              <w:rFonts w:cs="Cambria"/>
              <w:szCs w:val="21"/>
            </w:rPr>
          </w:sdtEndPr>
          <w:sdtContent>
            <w:p>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rPr>
              <w:rFonts w:cs="Cambria"/>
              <w:szCs w:val="21"/>
            </w:rPr>
          </w:pPr>
        </w:p>
      </w:sdtContent>
    </w:sdt>
    <w:sdt>
      <w:sdtPr>
        <w:rPr>
          <w:rFonts w:hint="eastAsia" w:ascii="宋体" w:hAnsi="宋体" w:eastAsia="宋体" w:cs="宋体"/>
          <w:b w:val="0"/>
          <w:bCs w:val="0"/>
          <w:kern w:val="0"/>
          <w:szCs w:val="24"/>
        </w:rPr>
        <w:alias w:val="模块:关联受托管理/承包及委托管理/出包情况"/>
        <w:tag w:val="_SEC_2cd4d729a4f5443b98e8d2f79dcdd221"/>
        <w:id w:val="865726873"/>
        <w:lock w:val="sdtLocked"/>
        <w:placeholder>
          <w:docPart w:val="GBC22222222222222222222222222222"/>
        </w:placeholder>
      </w:sdtPr>
      <w:sdtEndPr>
        <w:rPr>
          <w:rFonts w:hint="default" w:ascii="宋体" w:hAnsi="宋体" w:eastAsia="宋体" w:cs="Cambria"/>
          <w:b w:val="0"/>
          <w:bCs w:val="0"/>
          <w:kern w:val="0"/>
          <w:szCs w:val="21"/>
        </w:rPr>
      </w:sdtEndPr>
      <w:sdtContent>
        <w:p>
          <w:pPr>
            <w:pStyle w:val="5"/>
            <w:numPr>
              <w:ilvl w:val="3"/>
              <w:numId w:val="122"/>
            </w:numPr>
            <w:ind w:left="424" w:hanging="424" w:hangingChars="202"/>
          </w:pPr>
          <w:r>
            <w:rPr>
              <w:rFonts w:hint="eastAsia"/>
            </w:rPr>
            <w:t>关联受托管理/承包及委托管理/出包情况</w:t>
          </w:r>
        </w:p>
        <w:p>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865726869"/>
            <w:lock w:val="sdtLocked"/>
            <w:placeholder>
              <w:docPart w:val="GBC22222222222222222222222222222"/>
            </w:placeholder>
          </w:sdtPr>
          <w:sdtEndPr>
            <w:rPr>
              <w:rFonts w:cs="Cambria"/>
              <w:szCs w:val="21"/>
            </w:rPr>
          </w:sdtEndPr>
          <w:sdtContent>
            <w:p>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rPr>
              <w:rFonts w:cs="Cambria"/>
              <w:szCs w:val="21"/>
            </w:rPr>
          </w:pPr>
          <w:r>
            <w:rPr>
              <w:rFonts w:hint="eastAsia" w:cs="Cambria"/>
              <w:szCs w:val="21"/>
            </w:rPr>
            <w:t>关联托管/承包情况说明</w:t>
          </w:r>
        </w:p>
        <w:sdt>
          <w:sdtPr>
            <w:rPr>
              <w:rFonts w:cs="Cambria"/>
              <w:szCs w:val="21"/>
            </w:rPr>
            <w:alias w:val="是否适用：关联托管或承包情况说明[双击切换]"/>
            <w:tag w:val="_GBC_60aca51a92e545e9bbad9ba5228083c8"/>
            <w:id w:val="865726870"/>
            <w:lock w:val="sdtLocked"/>
            <w:placeholder>
              <w:docPart w:val="GBC22222222222222222222222222222"/>
            </w:placeholder>
          </w:sdtPr>
          <w:sdtEndPr>
            <w:rPr>
              <w:rFonts w:cs="Cambria"/>
              <w:szCs w:val="21"/>
            </w:rPr>
          </w:sdtEndPr>
          <w:sdtContent>
            <w:p>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rPr>
              <w:rFonts w:cs="Cambria"/>
              <w:szCs w:val="21"/>
            </w:rPr>
          </w:pPr>
        </w:p>
        <w:p>
          <w:pPr>
            <w:rPr>
              <w:rFonts w:cs="Cambria"/>
              <w:bCs/>
              <w:szCs w:val="21"/>
            </w:rPr>
          </w:pPr>
          <w:r>
            <w:rPr>
              <w:rFonts w:hint="eastAsia"/>
              <w:szCs w:val="21"/>
            </w:rPr>
            <w:t>本公司</w:t>
          </w:r>
          <w:r>
            <w:rPr>
              <w:rFonts w:hint="eastAsia" w:cs="Cambria"/>
              <w:bCs/>
              <w:szCs w:val="21"/>
            </w:rPr>
            <w:t>委托管理/出包情况表</w:t>
          </w:r>
        </w:p>
        <w:sdt>
          <w:sdtPr>
            <w:rPr>
              <w:rFonts w:cs="Cambria"/>
              <w:bCs/>
              <w:szCs w:val="21"/>
            </w:rPr>
            <w:alias w:val="是否适用：本公司委托管理或出包情况表[双击切换]"/>
            <w:tag w:val="_GBC_4655dfffa9a7464b8715035e819d5968"/>
            <w:id w:val="865726871"/>
            <w:lock w:val="sdtLocked"/>
            <w:placeholder>
              <w:docPart w:val="GBC22222222222222222222222222222"/>
            </w:placeholder>
          </w:sdtPr>
          <w:sdtEndPr>
            <w:rPr>
              <w:rFonts w:cs="Cambria"/>
              <w:bCs/>
              <w:szCs w:val="21"/>
            </w:rPr>
          </w:sdtEndPr>
          <w:sdtContent>
            <w:p>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pPr>
            <w:rPr>
              <w:rFonts w:cs="Cambria"/>
              <w:bCs/>
              <w:szCs w:val="21"/>
            </w:rPr>
          </w:pPr>
          <w:r>
            <w:rPr>
              <w:rFonts w:hint="eastAsia" w:cs="Cambria"/>
              <w:bCs/>
              <w:szCs w:val="21"/>
            </w:rPr>
            <w:t>关联管理/出包情况说明</w:t>
          </w:r>
        </w:p>
        <w:sdt>
          <w:sdtPr>
            <w:rPr>
              <w:rFonts w:cs="Cambria"/>
              <w:bCs/>
              <w:szCs w:val="21"/>
            </w:rPr>
            <w:alias w:val="是否适用：关联管理或出包情况说明[双击切换]"/>
            <w:tag w:val="_GBC_a21df8e7013c4b70bab4125cabda8c46"/>
            <w:id w:val="865726872"/>
            <w:lock w:val="sdtLocked"/>
            <w:placeholder>
              <w:docPart w:val="GBC22222222222222222222222222222"/>
            </w:placeholder>
          </w:sdtPr>
          <w:sdtEndPr>
            <w:rPr>
              <w:rFonts w:cs="Cambria"/>
              <w:bCs/>
              <w:szCs w:val="21"/>
            </w:rPr>
          </w:sdtEndPr>
          <w:sdtContent>
            <w:p>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pPr>
            <w:rPr>
              <w:rFonts w:cs="Cambria"/>
              <w:szCs w:val="21"/>
            </w:rPr>
          </w:pPr>
        </w:p>
      </w:sdtContent>
    </w:sdt>
    <w:sdt>
      <w:sdtPr>
        <w:rPr>
          <w:rFonts w:hint="eastAsia" w:ascii="宋体" w:hAnsi="宋体" w:eastAsia="宋体" w:cs="宋体"/>
          <w:b w:val="0"/>
          <w:bCs w:val="0"/>
          <w:kern w:val="0"/>
          <w:szCs w:val="24"/>
        </w:rPr>
        <w:alias w:val="模块:关联租赁情况"/>
        <w:tag w:val="_SEC_5900c0566dab441987567990bccbe124"/>
        <w:id w:val="865726877"/>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3"/>
              <w:numId w:val="122"/>
            </w:numPr>
            <w:ind w:left="424" w:hanging="424" w:hangingChars="202"/>
          </w:pPr>
          <w:r>
            <w:rPr>
              <w:rFonts w:hint="eastAsia"/>
            </w:rPr>
            <w:t>关联租赁情况</w:t>
          </w:r>
        </w:p>
        <w:p>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86572687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865726875"/>
            <w:lock w:val="sdtLocked"/>
            <w:placeholder>
              <w:docPart w:val="GBC22222222222222222222222222222"/>
            </w:placeholder>
          </w:sdtPr>
          <w:sdtEndPr>
            <w:rPr>
              <w:szCs w:val="21"/>
            </w:rPr>
          </w:sdtEndPr>
          <w:sdtContent>
            <w:p>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r>
            <w:rPr>
              <w:rFonts w:hint="eastAsia"/>
              <w:szCs w:val="21"/>
            </w:rPr>
            <w:t>关联租赁情况说明</w:t>
          </w:r>
        </w:p>
        <w:sdt>
          <w:sdtPr>
            <w:rPr>
              <w:szCs w:val="21"/>
            </w:rPr>
            <w:alias w:val="是否适用：关联租赁情况说明[双击切换]"/>
            <w:tag w:val="_GBC_f11304240a9e46d8b340976a035205d3"/>
            <w:id w:val="86572687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ascii="宋体" w:hAnsi="宋体" w:eastAsia="宋体" w:cs="宋体"/>
          <w:b w:val="0"/>
          <w:bCs w:val="0"/>
          <w:kern w:val="0"/>
          <w:szCs w:val="24"/>
        </w:rPr>
        <w:alias w:val="模块:关联担保情况"/>
        <w:tag w:val="_SEC_efa05712c0bd499d89e4752caaaebdd6"/>
        <w:id w:val="865726881"/>
        <w:lock w:val="sdtLocked"/>
        <w:placeholder>
          <w:docPart w:val="GBC22222222222222222222222222222"/>
        </w:placeholder>
      </w:sdtPr>
      <w:sdtEndPr>
        <w:rPr>
          <w:rFonts w:hint="default" w:ascii="Cambria" w:hAnsi="Cambria" w:eastAsia="宋体" w:cs="Cambria"/>
          <w:b w:val="0"/>
          <w:bCs w:val="0"/>
          <w:kern w:val="0"/>
          <w:sz w:val="20"/>
          <w:szCs w:val="20"/>
        </w:rPr>
      </w:sdtEndPr>
      <w:sdtContent>
        <w:p>
          <w:pPr>
            <w:pStyle w:val="5"/>
            <w:numPr>
              <w:ilvl w:val="3"/>
              <w:numId w:val="122"/>
            </w:numPr>
            <w:ind w:left="424" w:hanging="424" w:hangingChars="202"/>
          </w:pPr>
          <w:r>
            <w:rPr>
              <w:rFonts w:hint="eastAsia"/>
            </w:rPr>
            <w:t>关联担保情况</w:t>
          </w:r>
        </w:p>
        <w:p>
          <w:r>
            <w:rPr>
              <w:rFonts w:hint="eastAsia"/>
            </w:rPr>
            <w:t>本公司作为担保方</w:t>
          </w:r>
        </w:p>
        <w:sdt>
          <w:sdtPr>
            <w:alias w:val="是否适用：本公司作为担保方的担保情况表[双击切换]"/>
            <w:tag w:val="_GBC_4ba390d56c0645788c7893af84ca2773"/>
            <w:id w:val="86572687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ascii="Cambria" w:hAnsi="Cambria" w:cs="Cambria"/>
            </w:rPr>
          </w:pPr>
          <w:r>
            <w:rPr>
              <w:rFonts w:hint="eastAsia" w:ascii="Cambria" w:hAnsi="Cambria" w:cs="Cambria"/>
            </w:rPr>
            <w:t>本公司作为被担保方</w:t>
          </w:r>
        </w:p>
        <w:sdt>
          <w:sdtPr>
            <w:rPr>
              <w:rFonts w:ascii="Cambria" w:hAnsi="Cambria" w:cs="Cambria"/>
            </w:rPr>
            <w:alias w:val="是否适用：本公司作为被担保方的担保情况表[双击切换]"/>
            <w:tag w:val="_GBC_24ee28d66e214f089c669dca4a51a3a4"/>
            <w:id w:val="865726879"/>
            <w:lock w:val="sdtLocked"/>
            <w:placeholder>
              <w:docPart w:val="GBC22222222222222222222222222222"/>
            </w:placeholder>
          </w:sdtPr>
          <w:sdtEndPr>
            <w:rPr>
              <w:rFonts w:ascii="Cambria" w:hAnsi="Cambria" w:cs="Cambria"/>
            </w:rPr>
          </w:sdtEndPr>
          <w:sdtContent>
            <w:p>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pPr>
            <w:rPr>
              <w:rFonts w:ascii="Cambria" w:hAnsi="Cambria" w:cs="Cambria"/>
            </w:rPr>
          </w:pPr>
          <w:r>
            <w:rPr>
              <w:rFonts w:hint="eastAsia" w:ascii="Cambria" w:hAnsi="Cambria" w:cs="Cambria"/>
            </w:rPr>
            <w:t>关联担保情况说明</w:t>
          </w:r>
        </w:p>
        <w:sdt>
          <w:sdtPr>
            <w:rPr>
              <w:rFonts w:ascii="Cambria" w:hAnsi="Cambria" w:cs="Cambria"/>
            </w:rPr>
            <w:alias w:val="是否适用：关联担保情况说明[双击切换]"/>
            <w:tag w:val="_GBC_455c21d6a2674726afee6a2386be7898"/>
            <w:id w:val="865726880"/>
            <w:lock w:val="sdtLocked"/>
            <w:placeholder>
              <w:docPart w:val="GBC22222222222222222222222222222"/>
            </w:placeholder>
          </w:sdtPr>
          <w:sdtEndPr>
            <w:rPr>
              <w:rFonts w:ascii="Cambria" w:hAnsi="Cambria" w:cs="Cambria"/>
            </w:rPr>
          </w:sdtEndPr>
          <w:sdtContent>
            <w:p>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pPr>
            <w:rPr>
              <w:rFonts w:ascii="Cambria" w:hAnsi="Cambria" w:cs="Cambria"/>
              <w:sz w:val="20"/>
              <w:szCs w:val="20"/>
            </w:rPr>
          </w:pPr>
        </w:p>
      </w:sdtContent>
    </w:sdt>
    <w:sdt>
      <w:sdtPr>
        <w:rPr>
          <w:rFonts w:hint="eastAsia" w:ascii="宋体" w:hAnsi="宋体" w:eastAsia="宋体" w:cs="宋体"/>
          <w:b w:val="0"/>
          <w:bCs w:val="0"/>
          <w:kern w:val="0"/>
          <w:szCs w:val="24"/>
        </w:rPr>
        <w:alias w:val="模块:关联方资金拆借"/>
        <w:tag w:val="_SEC_e662f655e98144708ee022291e4d2c28"/>
        <w:id w:val="865726883"/>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5"/>
            <w:numPr>
              <w:ilvl w:val="3"/>
              <w:numId w:val="122"/>
            </w:numPr>
            <w:ind w:left="424" w:hanging="424" w:hangingChars="202"/>
          </w:pPr>
          <w:r>
            <w:rPr>
              <w:rFonts w:hint="eastAsia"/>
            </w:rPr>
            <w:t>关联方资金拆借</w:t>
          </w:r>
        </w:p>
        <w:sdt>
          <w:sdtPr>
            <w:alias w:val="是否适用：关联方资金拆借[双击切换]"/>
            <w:tag w:val="_GBC_9b5630a86e1e452494249106e2600b15"/>
            <w:id w:val="865726882"/>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关联方资产转让、债务重组情况"/>
        <w:tag w:val="_SEC_d9d6435f8ac54597b97d51dd0f61d03f"/>
        <w:id w:val="86572688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122"/>
            </w:numPr>
            <w:ind w:left="424" w:hanging="424" w:hangingChars="202"/>
          </w:pPr>
          <w:r>
            <w:rPr>
              <w:rFonts w:hint="eastAsia"/>
            </w:rPr>
            <w:t>关联方资产转让、债务重组情况</w:t>
          </w:r>
        </w:p>
        <w:sdt>
          <w:sdtPr>
            <w:alias w:val="是否适用：关联方资产转让、债务重组情况[双击切换]"/>
            <w:tag w:val="_GBC_6f8fce72ce784c23aba8af28c51de336"/>
            <w:id w:val="86572688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关键管理人员报酬"/>
        <w:tag w:val="_SEC_3b5cc9d011f04ea3b064e0de02da00f5"/>
        <w:id w:val="865726893"/>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122"/>
            </w:numPr>
            <w:ind w:left="424" w:hanging="424" w:hangingChars="202"/>
          </w:pPr>
          <w:r>
            <w:rPr>
              <w:rFonts w:hint="eastAsia"/>
            </w:rPr>
            <w:t>关键管理人员报酬</w:t>
          </w:r>
        </w:p>
        <w:sdt>
          <w:sdtPr>
            <w:alias w:val="是否适用：关键管理人员报酬[双击切换]"/>
            <w:tag w:val="_GBC_4768ccd806f845f4b6f5f0ec038ec747"/>
            <w:id w:val="86572688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Cambria" w:hAnsi="Cambria" w:cs="Cambria"/>
            </w:rPr>
          </w:pPr>
          <w:r>
            <w:rPr>
              <w:rFonts w:hint="eastAsia" w:ascii="Cambria" w:hAnsi="Cambria" w:cs="Cambria"/>
            </w:rPr>
            <w:t>单位：</w:t>
          </w:r>
          <w:sdt>
            <w:sdtPr>
              <w:rPr>
                <w:rFonts w:hint="eastAsia" w:ascii="Cambria" w:hAnsi="Cambria" w:cs="Cambria"/>
              </w:rPr>
              <w:alias w:val="单位：财务附注：关键管理人员报酬"/>
              <w:tag w:val="_GBC_3dcac03c36954e5ab3dab539e6a2f735"/>
              <w:id w:val="8657268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万元</w:t>
              </w:r>
            </w:sdtContent>
          </w:sdt>
          <w:r>
            <w:rPr>
              <w:rFonts w:hint="eastAsia" w:ascii="Cambria" w:hAnsi="Cambria" w:cs="Cambria"/>
            </w:rPr>
            <w:t xml:space="preserve">  币种：</w:t>
          </w:r>
          <w:sdt>
            <w:sdtPr>
              <w:rPr>
                <w:rFonts w:hint="eastAsia" w:ascii="Cambria" w:hAnsi="Cambria" w:cs="Cambria"/>
              </w:rPr>
              <w:alias w:val="币种：财务附注：关键管理人员报酬"/>
              <w:tag w:val="_GBC_9bf846a4da0046829fd7baa3fd1fe348"/>
              <w:id w:val="8657268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3274"/>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38745be5c64397b1dab92289838da1"/>
                <w:id w:val="865726889"/>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项目</w:t>
                    </w:r>
                  </w:p>
                </w:tc>
              </w:sdtContent>
            </w:sdt>
            <w:sdt>
              <w:sdtPr>
                <w:tag w:val="_PLD_31133ff59dcf4a7b93a7991d1f435b05"/>
                <w:id w:val="865726890"/>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本期发生额</w:t>
                    </w:r>
                  </w:p>
                </w:tc>
              </w:sdtContent>
            </w:sdt>
            <w:sdt>
              <w:sdtPr>
                <w:tag w:val="_PLD_e08658a238f7419ca0d4ce3386ff565e"/>
                <w:id w:val="865726891"/>
                <w:lock w:val="sdtLocked"/>
              </w:sdtPr>
              <w:sdtContent>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51d1928c6ce40d2b5b46143c5f31f00"/>
                <w:id w:val="865726892"/>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hint="eastAsia" w:cs="Cambria"/>
                      </w:rPr>
                      <w:t>关键管理人员报酬</w:t>
                    </w:r>
                  </w:p>
                </w:tc>
              </w:sdtContent>
            </w:sdt>
            <w:tc>
              <w:tcPr>
                <w:tcW w:w="180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rPr>
                </w:pPr>
                <w:r>
                  <w:rPr>
                    <w:rFonts w:ascii="Times New Roman" w:hAnsi="Times New Roman" w:cs="Times New Roman"/>
                  </w:rPr>
                  <w:t>295.62</w:t>
                </w:r>
              </w:p>
            </w:tc>
            <w:tc>
              <w:tcPr>
                <w:tcW w:w="138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imes New Roman" w:hAnsi="Times New Roman" w:cs="Times New Roman"/>
                  </w:rPr>
                </w:pPr>
                <w:r>
                  <w:rPr>
                    <w:rFonts w:ascii="Times New Roman" w:hAnsi="Times New Roman" w:cs="Times New Roman"/>
                  </w:rPr>
                  <w:t>293.35</w:t>
                </w:r>
              </w:p>
            </w:tc>
          </w:tr>
        </w:tbl>
        <w:p/>
      </w:sdtContent>
    </w:sdt>
    <w:sdt>
      <w:sdtPr>
        <w:rPr>
          <w:rFonts w:hint="eastAsia" w:ascii="宋体" w:hAnsi="宋体" w:eastAsia="宋体" w:cs="宋体"/>
          <w:b w:val="0"/>
          <w:bCs w:val="0"/>
          <w:kern w:val="0"/>
          <w:szCs w:val="24"/>
        </w:rPr>
        <w:alias w:val="模块:其他关联交易"/>
        <w:tag w:val="_SEC_3ee0d5867a8b45ac909e0cf39151d6d4"/>
        <w:id w:val="865726895"/>
        <w:lock w:val="sdtLocked"/>
        <w:placeholder>
          <w:docPart w:val="GBC22222222222222222222222222222"/>
        </w:placeholder>
      </w:sdtPr>
      <w:sdtEndPr>
        <w:rPr>
          <w:rFonts w:hint="default" w:eastAsia="宋体" w:asciiTheme="minorHAnsi" w:hAnsiTheme="minorHAnsi" w:cstheme="minorBidi"/>
          <w:b w:val="0"/>
          <w:bCs w:val="0"/>
          <w:kern w:val="0"/>
          <w:szCs w:val="21"/>
        </w:rPr>
      </w:sdtEndPr>
      <w:sdtContent>
        <w:p>
          <w:pPr>
            <w:pStyle w:val="5"/>
            <w:numPr>
              <w:ilvl w:val="3"/>
              <w:numId w:val="122"/>
            </w:numPr>
            <w:ind w:left="424" w:hanging="424" w:hangingChars="202"/>
          </w:pPr>
          <w:r>
            <w:rPr>
              <w:rFonts w:hint="eastAsia"/>
            </w:rPr>
            <w:t>其他关联交易</w:t>
          </w:r>
        </w:p>
        <w:sdt>
          <w:sdtPr>
            <w:rPr>
              <w:rFonts w:hint="eastAsia"/>
              <w:szCs w:val="21"/>
            </w:rPr>
            <w:alias w:val="是否适用：其他关联交易[双击切换]"/>
            <w:tag w:val="_GBC_a1203a07d7684e08bdc2f1959f1cb9ae"/>
            <w:id w:val="86572689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0"/>
          <w:numId w:val="121"/>
        </w:numPr>
        <w:rPr>
          <w:rFonts w:ascii="宋体" w:hAnsi="宋体" w:cs="Arial"/>
          <w:szCs w:val="21"/>
        </w:rPr>
      </w:pPr>
      <w:r>
        <w:rPr>
          <w:rFonts w:hint="eastAsia" w:ascii="宋体" w:hAnsi="宋体" w:cs="Arial"/>
          <w:szCs w:val="21"/>
        </w:rPr>
        <w:t>关联方应收应付款项</w:t>
      </w:r>
    </w:p>
    <w:sdt>
      <w:sdtPr>
        <w:rPr>
          <w:rFonts w:hint="eastAsia" w:ascii="宋体" w:hAnsi="宋体" w:eastAsia="宋体" w:cs="Arial"/>
          <w:b w:val="0"/>
          <w:bCs w:val="0"/>
          <w:kern w:val="0"/>
          <w:szCs w:val="21"/>
        </w:rPr>
        <w:alias w:val="模块:上市公司应收关联方款项"/>
        <w:tag w:val="_SEC_7fd751377539429292ed4eb39a787549"/>
        <w:id w:val="865726911"/>
        <w:lock w:val="sdtLocked"/>
        <w:placeholder>
          <w:docPart w:val="GBC22222222222222222222222222222"/>
        </w:placeholder>
      </w:sdtPr>
      <w:sdtEndPr>
        <w:rPr>
          <w:rFonts w:hint="eastAsia" w:ascii="仿宋_GB2312" w:eastAsia="仿宋_GB2312" w:hAnsiTheme="minorHAnsi" w:cstheme="minorBidi"/>
          <w:b w:val="0"/>
          <w:bCs w:val="0"/>
          <w:kern w:val="0"/>
          <w:szCs w:val="21"/>
        </w:rPr>
      </w:sdtEndPr>
      <w:sdtContent>
        <w:p>
          <w:pPr>
            <w:pStyle w:val="5"/>
            <w:numPr>
              <w:ilvl w:val="3"/>
              <w:numId w:val="123"/>
            </w:numPr>
            <w:ind w:left="424" w:hanging="424" w:hangingChars="202"/>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86572689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上市公司应收关联方款项"/>
              <w:tag w:val="_GBC_83968b233566404db428b085bcb695b8"/>
              <w:id w:val="8657268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8657268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2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977"/>
            <w:gridCol w:w="1319"/>
            <w:gridCol w:w="1731"/>
            <w:gridCol w:w="1529"/>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c0c6dc2d23f94f929199b42c584f57ca"/>
                <w:id w:val="865726899"/>
                <w:lock w:val="sdtLocked"/>
              </w:sdtPr>
              <w:sdtEndPr>
                <w:rPr>
                  <w:rFonts w:ascii="Times New Roman" w:hAnsi="Times New Roman" w:cs="Times New Roman"/>
                </w:rPr>
              </w:sdtEndPr>
              <w:sdtContent>
                <w:tc>
                  <w:tcPr>
                    <w:tcW w:w="862"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项目名称</w:t>
                    </w:r>
                  </w:p>
                </w:tc>
              </w:sdtContent>
            </w:sdt>
            <w:sdt>
              <w:sdtPr>
                <w:rPr>
                  <w:rFonts w:ascii="Times New Roman" w:hAnsi="Times New Roman" w:cs="Times New Roman"/>
                </w:rPr>
                <w:tag w:val="_PLD_56aedf077d5c4d3b814d04d193f71af7"/>
                <w:id w:val="865726900"/>
                <w:lock w:val="sdtLocked"/>
              </w:sdtPr>
              <w:sdtEndPr>
                <w:rPr>
                  <w:rFonts w:ascii="Times New Roman" w:hAnsi="Times New Roman" w:cs="Times New Roman"/>
                </w:rPr>
              </w:sdtEndPr>
              <w:sdtContent>
                <w:tc>
                  <w:tcPr>
                    <w:tcW w:w="1068"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关联方</w:t>
                    </w:r>
                  </w:p>
                </w:tc>
              </w:sdtContent>
            </w:sdt>
            <w:sdt>
              <w:sdtPr>
                <w:rPr>
                  <w:rFonts w:ascii="Times New Roman" w:hAnsi="Times New Roman" w:cs="Times New Roman"/>
                </w:rPr>
                <w:tag w:val="_PLD_e8867e7b52fb42f4b447e445a20beebc"/>
                <w:id w:val="865726901"/>
                <w:lock w:val="sdtLocked"/>
              </w:sdtPr>
              <w:sdtEndPr>
                <w:rPr>
                  <w:rFonts w:ascii="Times New Roman" w:hAnsi="Times New Roman" w:cs="Times New Roman"/>
                </w:rPr>
              </w:sdtEndPr>
              <w:sdtContent>
                <w:tc>
                  <w:tcPr>
                    <w:tcW w:w="1658"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6a4888e558004037a5faac678bea523c"/>
                <w:id w:val="865726902"/>
                <w:lock w:val="sdtLocked"/>
              </w:sdtPr>
              <w:sdtEndPr>
                <w:rPr>
                  <w:rFonts w:ascii="Times New Roman" w:hAnsi="Times New Roman" w:cs="Times New Roman"/>
                </w:rPr>
              </w:sdtEndPr>
              <w:sdtContent>
                <w:tc>
                  <w:tcPr>
                    <w:tcW w:w="1412"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1068"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sdt>
              <w:sdtPr>
                <w:rPr>
                  <w:rFonts w:ascii="Times New Roman" w:hAnsi="Times New Roman" w:cs="Times New Roman"/>
                </w:rPr>
                <w:tag w:val="_PLD_0545f54235344f978e1e8356e1b05042"/>
                <w:id w:val="865726903"/>
                <w:lock w:val="sdtLocked"/>
              </w:sdtPr>
              <w:sdtEndPr>
                <w:rPr>
                  <w:rFonts w:ascii="Times New Roman" w:hAnsi="Times New Roman" w:cs="Times New Roman"/>
                </w:rPr>
              </w:sdtEndPr>
              <w:sdtContent>
                <w:tc>
                  <w:tcPr>
                    <w:tcW w:w="7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账面余额</w:t>
                    </w:r>
                  </w:p>
                </w:tc>
              </w:sdtContent>
            </w:sdt>
            <w:sdt>
              <w:sdtPr>
                <w:rPr>
                  <w:rFonts w:ascii="Times New Roman" w:hAnsi="Times New Roman" w:cs="Times New Roman"/>
                </w:rPr>
                <w:tag w:val="_PLD_9e6982f3b5cd46e9b3be23eda364cd7a"/>
                <w:id w:val="865726904"/>
                <w:lock w:val="sdtLocked"/>
              </w:sdtPr>
              <w:sdtEndPr>
                <w:rPr>
                  <w:rFonts w:ascii="Times New Roman" w:hAnsi="Times New Roman" w:cs="Times New Roman"/>
                </w:rPr>
              </w:sdtEndPr>
              <w:sdtContent>
                <w:tc>
                  <w:tcPr>
                    <w:tcW w:w="9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坏账准备</w:t>
                    </w:r>
                  </w:p>
                </w:tc>
              </w:sdtContent>
            </w:sdt>
            <w:sdt>
              <w:sdtPr>
                <w:rPr>
                  <w:rFonts w:ascii="Times New Roman" w:hAnsi="Times New Roman" w:cs="Times New Roman"/>
                </w:rPr>
                <w:tag w:val="_PLD_5c8e0a4ac99e4539bea932f77317d8de"/>
                <w:id w:val="865726905"/>
                <w:lock w:val="sdtLocked"/>
              </w:sdtPr>
              <w:sdtEndPr>
                <w:rPr>
                  <w:rFonts w:ascii="Times New Roman" w:hAnsi="Times New Roman" w:cs="Times New Roman"/>
                </w:rPr>
              </w:sdtEndPr>
              <w:sdtContent>
                <w:tc>
                  <w:tcPr>
                    <w:tcW w:w="80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账面余额</w:t>
                    </w:r>
                  </w:p>
                </w:tc>
              </w:sdtContent>
            </w:sdt>
            <w:sdt>
              <w:sdtPr>
                <w:rPr>
                  <w:rFonts w:ascii="Times New Roman" w:hAnsi="Times New Roman" w:cs="Times New Roman"/>
                </w:rPr>
                <w:tag w:val="_PLD_c5afa9908d794831a4bc715802a1061d"/>
                <w:id w:val="865726906"/>
                <w:lock w:val="sdtLocked"/>
              </w:sdtPr>
              <w:sdtEndPr>
                <w:rPr>
                  <w:rFonts w:ascii="Times New Roman" w:hAnsi="Times New Roman" w:cs="Times New Roman"/>
                </w:rPr>
              </w:sdtEndPr>
              <w:sdtContent>
                <w:tc>
                  <w:tcPr>
                    <w:tcW w:w="60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坏账准备</w:t>
                    </w:r>
                  </w:p>
                </w:tc>
              </w:sdtContent>
            </w:sdt>
          </w:tr>
          <w:sdt>
            <w:sdtPr>
              <w:rPr>
                <w:rFonts w:ascii="Times New Roman" w:hAnsi="Times New Roman" w:cs="Times New Roman"/>
                <w:szCs w:val="21"/>
              </w:rPr>
              <w:alias w:val="上市公司应收关联方款项明细"/>
              <w:tag w:val="_TUP_d4126a8f8e414ce2b32aead159dba06a"/>
              <w:id w:val="86572690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ascii="Times New Roman" w:hAnsi="Times New Roman" w:cs="Times New Roman"/>
                        <w:szCs w:val="21"/>
                      </w:rPr>
                    </w:pPr>
                    <w:r>
                      <w:rPr>
                        <w:rFonts w:ascii="Times New Roman" w:cs="Times New Roman"/>
                      </w:rPr>
                      <w:t>应收账款</w:t>
                    </w:r>
                  </w:p>
                </w:tc>
                <w:tc>
                  <w:tcPr>
                    <w:tcW w:w="106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rPr>
                      <w:t>成都同基医药有限公司</w:t>
                    </w:r>
                  </w:p>
                </w:tc>
                <w:tc>
                  <w:tcPr>
                    <w:tcW w:w="71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472,231.68</w:t>
                    </w:r>
                  </w:p>
                </w:tc>
                <w:tc>
                  <w:tcPr>
                    <w:tcW w:w="94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472,231.68</w:t>
                    </w:r>
                  </w:p>
                </w:tc>
                <w:tc>
                  <w:tcPr>
                    <w:tcW w:w="80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472,231.68</w:t>
                    </w:r>
                  </w:p>
                </w:tc>
                <w:tc>
                  <w:tcPr>
                    <w:tcW w:w="6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472,231.68</w:t>
                    </w:r>
                  </w:p>
                </w:tc>
              </w:tr>
            </w:sdtContent>
          </w:sdt>
          <w:sdt>
            <w:sdtPr>
              <w:rPr>
                <w:rFonts w:ascii="Times New Roman" w:hAnsi="Times New Roman" w:cs="Times New Roman"/>
                <w:szCs w:val="21"/>
              </w:rPr>
              <w:alias w:val="上市公司应收关联方款项明细"/>
              <w:tag w:val="_TUP_d4126a8f8e414ce2b32aead159dba06a"/>
              <w:id w:val="86572690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ascii="Times New Roman" w:hAnsi="Times New Roman" w:cs="Times New Roman"/>
                        <w:szCs w:val="21"/>
                      </w:rPr>
                    </w:pPr>
                    <w:r>
                      <w:rPr>
                        <w:rFonts w:ascii="Times New Roman" w:cs="Times New Roman"/>
                      </w:rPr>
                      <w:t>其他应收款</w:t>
                    </w:r>
                  </w:p>
                </w:tc>
                <w:tc>
                  <w:tcPr>
                    <w:tcW w:w="106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rPr>
                      <w:t>广西亿康南药药业种植有限责任公司</w:t>
                    </w:r>
                  </w:p>
                </w:tc>
                <w:tc>
                  <w:tcPr>
                    <w:tcW w:w="71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3,801,452.43</w:t>
                    </w:r>
                  </w:p>
                </w:tc>
                <w:tc>
                  <w:tcPr>
                    <w:tcW w:w="94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3,801,452.43</w:t>
                    </w:r>
                  </w:p>
                </w:tc>
                <w:tc>
                  <w:tcPr>
                    <w:tcW w:w="80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3,801,452.43</w:t>
                    </w:r>
                  </w:p>
                </w:tc>
                <w:tc>
                  <w:tcPr>
                    <w:tcW w:w="6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3,801,452.43</w:t>
                    </w:r>
                  </w:p>
                </w:tc>
              </w:tr>
            </w:sdtContent>
          </w:sdt>
          <w:sdt>
            <w:sdtPr>
              <w:rPr>
                <w:rFonts w:ascii="Times New Roman" w:hAnsi="Times New Roman" w:cs="Times New Roman"/>
                <w:szCs w:val="21"/>
              </w:rPr>
              <w:alias w:val="上市公司应收关联方款项明细"/>
              <w:tag w:val="_TUP_d4126a8f8e414ce2b32aead159dba06a"/>
              <w:id w:val="86572690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ascii="Times New Roman" w:hAnsi="Times New Roman" w:cs="Times New Roman"/>
                        <w:szCs w:val="21"/>
                      </w:rPr>
                    </w:pPr>
                    <w:r>
                      <w:rPr>
                        <w:rFonts w:ascii="Times New Roman" w:cs="Times New Roman"/>
                      </w:rPr>
                      <w:t>其他应收款</w:t>
                    </w:r>
                  </w:p>
                </w:tc>
                <w:tc>
                  <w:tcPr>
                    <w:tcW w:w="106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rPr>
                      <w:t>柳州市玉洁口腔卫生用品有限责任公司</w:t>
                    </w:r>
                  </w:p>
                </w:tc>
                <w:tc>
                  <w:tcPr>
                    <w:tcW w:w="71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379,755.30</w:t>
                    </w:r>
                  </w:p>
                </w:tc>
                <w:tc>
                  <w:tcPr>
                    <w:tcW w:w="94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379,755.30</w:t>
                    </w:r>
                  </w:p>
                </w:tc>
                <w:tc>
                  <w:tcPr>
                    <w:tcW w:w="80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379,755.30</w:t>
                    </w:r>
                  </w:p>
                </w:tc>
                <w:tc>
                  <w:tcPr>
                    <w:tcW w:w="6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379,755.30</w:t>
                    </w:r>
                  </w:p>
                </w:tc>
              </w:tr>
            </w:sdtContent>
          </w:sdt>
          <w:sdt>
            <w:sdtPr>
              <w:rPr>
                <w:rFonts w:ascii="Times New Roman" w:hAnsi="Times New Roman" w:cs="Times New Roman"/>
                <w:szCs w:val="21"/>
              </w:rPr>
              <w:alias w:val="上市公司应收关联方款项明细"/>
              <w:tag w:val="_TUP_d4126a8f8e414ce2b32aead159dba06a"/>
              <w:id w:val="865726910"/>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ascii="Times New Roman" w:hAnsi="Times New Roman" w:cs="Times New Roman"/>
                        <w:szCs w:val="21"/>
                      </w:rPr>
                    </w:pPr>
                    <w:r>
                      <w:rPr>
                        <w:rFonts w:ascii="Times New Roman" w:cs="Times New Roman"/>
                      </w:rPr>
                      <w:t>其他应收款</w:t>
                    </w:r>
                  </w:p>
                </w:tc>
                <w:tc>
                  <w:tcPr>
                    <w:tcW w:w="106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imes New Roman" w:hAnsi="Times New Roman" w:cs="Times New Roman"/>
                        <w:szCs w:val="21"/>
                      </w:rPr>
                    </w:pPr>
                    <w:r>
                      <w:rPr>
                        <w:rFonts w:ascii="Times New Roman" w:cs="Times New Roman"/>
                      </w:rPr>
                      <w:t>广西柳州市产业投资发展集团有限公司</w:t>
                    </w:r>
                  </w:p>
                </w:tc>
                <w:tc>
                  <w:tcPr>
                    <w:tcW w:w="71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p>
                </w:tc>
                <w:tc>
                  <w:tcPr>
                    <w:tcW w:w="94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p>
                </w:tc>
                <w:tc>
                  <w:tcPr>
                    <w:tcW w:w="80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r>
                      <w:rPr>
                        <w:rFonts w:ascii="Times New Roman" w:hAnsi="Times New Roman" w:cs="Times New Roman"/>
                      </w:rPr>
                      <w:t>615,873,712.57</w:t>
                    </w:r>
                  </w:p>
                </w:tc>
                <w:tc>
                  <w:tcPr>
                    <w:tcW w:w="6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Times New Roman" w:hAnsi="Times New Roman" w:cs="Times New Roman"/>
                        <w:szCs w:val="21"/>
                      </w:rPr>
                    </w:pPr>
                  </w:p>
                </w:tc>
              </w:tr>
            </w:sdtContent>
          </w:sdt>
        </w:tbl>
        <w:p/>
        <w:p>
          <w:pPr>
            <w:rPr>
              <w:rFonts w:ascii="仿宋_GB2312" w:eastAsia="仿宋_GB2312"/>
              <w:szCs w:val="21"/>
            </w:rPr>
          </w:pPr>
        </w:p>
      </w:sdtContent>
    </w:sdt>
    <w:sdt>
      <w:sdtPr>
        <w:rPr>
          <w:rFonts w:hint="eastAsia" w:ascii="宋体" w:hAnsi="宋体" w:eastAsia="宋体" w:cs="宋体"/>
          <w:b w:val="0"/>
          <w:bCs w:val="0"/>
          <w:kern w:val="0"/>
          <w:szCs w:val="24"/>
        </w:rPr>
        <w:alias w:val="模块:上市公司应付关联方款项"/>
        <w:tag w:val="_SEC_84b9cc5f716e4a019a46df88b355093c"/>
        <w:id w:val="865726913"/>
        <w:lock w:val="sdtLocked"/>
        <w:placeholder>
          <w:docPart w:val="GBC22222222222222222222222222222"/>
        </w:placeholder>
      </w:sdtPr>
      <w:sdtEndPr>
        <w:rPr>
          <w:rFonts w:hint="eastAsia" w:ascii="仿宋_GB2312" w:eastAsia="仿宋_GB2312" w:hAnsiTheme="minorHAnsi" w:cstheme="minorBidi"/>
          <w:b w:val="0"/>
          <w:bCs w:val="0"/>
          <w:kern w:val="0"/>
          <w:szCs w:val="21"/>
        </w:rPr>
      </w:sdtEndPr>
      <w:sdtContent>
        <w:p>
          <w:pPr>
            <w:pStyle w:val="5"/>
            <w:numPr>
              <w:ilvl w:val="3"/>
              <w:numId w:val="123"/>
            </w:numPr>
            <w:ind w:left="424" w:hanging="424" w:hangingChars="202"/>
          </w:pPr>
          <w:r>
            <w:rPr>
              <w:rFonts w:hint="eastAsia"/>
            </w:rPr>
            <w:t>应付项目</w:t>
          </w:r>
        </w:p>
        <w:sdt>
          <w:sdtPr>
            <w:rPr>
              <w:rFonts w:hint="eastAsia"/>
              <w:szCs w:val="21"/>
            </w:rPr>
            <w:alias w:val="是否适用：应付项目[双击切换]"/>
            <w:tag w:val="_GBC_41bc31a1fefb4e25918c1ece7c27be62"/>
            <w:id w:val="865726912"/>
            <w:lock w:val="sdtLocked"/>
            <w:placeholder>
              <w:docPart w:val="GBC22222222222222222222222222222"/>
            </w:placeholder>
          </w:sdtPr>
          <w:sdtEndPr>
            <w:rPr>
              <w:rFonts w:hint="eastAsia"/>
              <w:szCs w:val="21"/>
            </w:rPr>
          </w:sdtEndPr>
          <w:sdtContent>
            <w:p>
              <w:pPr>
                <w:rPr>
                  <w:rFonts w:ascii="仿宋_GB2312" w:eastAsia="仿宋_GB231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cs="宋体"/>
          <w:b w:val="0"/>
          <w:bCs w:val="0"/>
          <w:kern w:val="0"/>
          <w:szCs w:val="24"/>
        </w:rPr>
        <w:alias w:val="模块:关联方承诺"/>
        <w:tag w:val="_SEC_af8d9e9e43fe4f6c94313043ab032c00"/>
        <w:id w:val="865726915"/>
        <w:lock w:val="sdtLocked"/>
        <w:placeholder>
          <w:docPart w:val="GBC22222222222222222222222222222"/>
        </w:placeholder>
      </w:sdtPr>
      <w:sdtEndPr>
        <w:rPr>
          <w:rFonts w:hint="eastAsia" w:ascii="Cambria" w:hAnsi="Cambria" w:cs="Cambria" w:eastAsiaTheme="minorEastAsia"/>
          <w:b w:val="0"/>
          <w:bCs w:val="0"/>
          <w:kern w:val="0"/>
          <w:sz w:val="20"/>
          <w:szCs w:val="20"/>
        </w:rPr>
      </w:sdtEndPr>
      <w:sdtContent>
        <w:p>
          <w:pPr>
            <w:pStyle w:val="4"/>
            <w:numPr>
              <w:ilvl w:val="0"/>
              <w:numId w:val="121"/>
            </w:numPr>
          </w:pPr>
          <w:r>
            <w:rPr>
              <w:rFonts w:hint="eastAsia"/>
            </w:rPr>
            <w:t>关联方</w:t>
          </w:r>
          <w:r>
            <w:rPr>
              <w:rFonts w:hint="eastAsia" w:ascii="宋体" w:hAnsi="宋体" w:cs="Arial"/>
              <w:szCs w:val="21"/>
            </w:rPr>
            <w:t>承诺</w:t>
          </w:r>
        </w:p>
        <w:sdt>
          <w:sdtPr>
            <w:rPr>
              <w:rFonts w:hint="eastAsia"/>
              <w:szCs w:val="21"/>
            </w:rPr>
            <w:alias w:val="是否适用：关联方承诺[双击切换]"/>
            <w:tag w:val="_GBC_cf52a7b0760b4670b5fc5ea8d7363a6c"/>
            <w:id w:val="865726914"/>
            <w:lock w:val="sdtLocked"/>
            <w:placeholder>
              <w:docPart w:val="GBC22222222222222222222222222222"/>
            </w:placeholder>
          </w:sdtPr>
          <w:sdtEndPr>
            <w:rPr>
              <w:rFonts w:hint="eastAsia"/>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ascii="Cambria" w:hAnsi="Cambria" w:cs="Cambria" w:eastAsiaTheme="minorEastAsia"/>
              <w:sz w:val="20"/>
              <w:szCs w:val="20"/>
            </w:rPr>
          </w:pPr>
        </w:p>
      </w:sdtContent>
    </w:sdt>
    <w:sdt>
      <w:sdtPr>
        <w:rPr>
          <w:rFonts w:hint="eastAsia" w:ascii="宋体" w:hAnsi="宋体" w:cs="Arial"/>
          <w:b w:val="0"/>
          <w:bCs w:val="0"/>
          <w:kern w:val="0"/>
          <w:szCs w:val="21"/>
        </w:rPr>
        <w:alias w:val="模块:关联方及关联情况的其他说明"/>
        <w:tag w:val="_SEC_a11f8a68634b4b4a8cc63a6200f2d79c"/>
        <w:id w:val="865726917"/>
        <w:lock w:val="sdtLocked"/>
        <w:placeholder>
          <w:docPart w:val="GBC22222222222222222222222222222"/>
        </w:placeholder>
      </w:sdtPr>
      <w:sdtEndPr>
        <w:rPr>
          <w:rFonts w:hint="eastAsia" w:ascii="Cambria" w:hAnsi="Cambria" w:cs="Cambria" w:eastAsiaTheme="minorEastAsia"/>
          <w:b w:val="0"/>
          <w:bCs w:val="0"/>
          <w:kern w:val="0"/>
          <w:sz w:val="20"/>
          <w:szCs w:val="20"/>
        </w:rPr>
      </w:sdtEndPr>
      <w:sdtContent>
        <w:p>
          <w:pPr>
            <w:pStyle w:val="4"/>
            <w:numPr>
              <w:ilvl w:val="0"/>
              <w:numId w:val="121"/>
            </w:numPr>
            <w:rPr>
              <w:rFonts w:ascii="Cambria" w:hAnsi="Cambria" w:cs="Cambria" w:eastAsiaTheme="minorEastAsia"/>
              <w:sz w:val="20"/>
              <w:szCs w:val="20"/>
            </w:rPr>
          </w:pPr>
          <w:r>
            <w:rPr>
              <w:rFonts w:hint="eastAsia" w:ascii="宋体" w:hAnsi="宋体" w:cs="Arial"/>
              <w:szCs w:val="21"/>
            </w:rPr>
            <w:t>其他</w:t>
          </w:r>
        </w:p>
        <w:sdt>
          <w:sdtPr>
            <w:rPr>
              <w:rFonts w:hint="eastAsia"/>
            </w:rPr>
            <w:alias w:val="是否适用：关联方及关联情况的其他说明[双击切换]"/>
            <w:tag w:val="_GBC_0fbd096440c645128adaffccb05f4e2f"/>
            <w:id w:val="865726916"/>
            <w:lock w:val="sdtLocked"/>
            <w:placeholder>
              <w:docPart w:val="GBC22222222222222222222222222222"/>
            </w:placeholder>
          </w:sdtPr>
          <w:sdtEndPr>
            <w:rPr>
              <w:rFonts w:hint="eastAsia"/>
            </w:rPr>
          </w:sdtEndPr>
          <w:sdtContent>
            <w:p>
              <w:pPr>
                <w:tabs>
                  <w:tab w:val="left" w:pos="1134"/>
                </w:tabs>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tabs>
          <w:tab w:val="left" w:pos="1134"/>
        </w:tabs>
        <w:rPr>
          <w:rFonts w:cs="Cambria"/>
          <w:szCs w:val="21"/>
        </w:rPr>
      </w:pPr>
    </w:p>
    <w:p>
      <w:pPr>
        <w:pStyle w:val="3"/>
        <w:numPr>
          <w:ilvl w:val="0"/>
          <w:numId w:val="54"/>
        </w:numPr>
      </w:pPr>
      <w:r>
        <w:rPr>
          <w:rFonts w:hint="eastAsia"/>
        </w:rPr>
        <w:t>股份支付</w:t>
      </w:r>
    </w:p>
    <w:sdt>
      <w:sdtPr>
        <w:rPr>
          <w:rFonts w:hint="eastAsia" w:ascii="宋体" w:hAnsi="宋体" w:cs="宋体"/>
          <w:b w:val="0"/>
          <w:bCs w:val="0"/>
          <w:kern w:val="0"/>
          <w:szCs w:val="24"/>
        </w:rPr>
        <w:alias w:val="模块:股份支付总体情况"/>
        <w:tag w:val="_GBC_07972b1f6b5c4904b730c6b344e432ee"/>
        <w:id w:val="865726919"/>
        <w:lock w:val="sdtLocked"/>
        <w:placeholder>
          <w:docPart w:val="GBC22222222222222222222222222222"/>
        </w:placeholder>
      </w:sdtPr>
      <w:sdtEndPr>
        <w:rPr>
          <w:rFonts w:hint="eastAsia" w:asciiTheme="minorHAnsi" w:hAnsiTheme="minorHAnsi" w:eastAsiaTheme="minorEastAsia" w:cstheme="minorBidi"/>
          <w:b w:val="0"/>
          <w:bCs w:val="0"/>
          <w:kern w:val="0"/>
          <w:szCs w:val="21"/>
        </w:rPr>
      </w:sdtEndPr>
      <w:sdtContent>
        <w:p>
          <w:pPr>
            <w:pStyle w:val="4"/>
            <w:numPr>
              <w:ilvl w:val="0"/>
              <w:numId w:val="124"/>
            </w:numPr>
          </w:pPr>
          <w:r>
            <w:rPr>
              <w:rFonts w:hint="eastAsia"/>
            </w:rPr>
            <w:t>股份支付总体情况</w:t>
          </w:r>
        </w:p>
        <w:sdt>
          <w:sdtPr>
            <w:alias w:val="是否适用：股份支付总体情况[双击切换]"/>
            <w:tag w:val="_GBC_7d36569622d040fb870ad46d99420cd2"/>
            <w:id w:val="86572691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4"/>
        </w:rPr>
        <w:alias w:val="模块:以权益结算的股份支付情况"/>
        <w:tag w:val="_GBC_a6f090c303de426580c058a0a463c95f"/>
        <w:id w:val="865726921"/>
        <w:lock w:val="sdtLocked"/>
        <w:placeholder>
          <w:docPart w:val="GBC22222222222222222222222222222"/>
        </w:placeholder>
      </w:sdtPr>
      <w:sdtEndPr>
        <w:rPr>
          <w:rFonts w:hint="eastAsia" w:asciiTheme="minorHAnsi" w:hAnsiTheme="minorHAnsi" w:eastAsiaTheme="minorEastAsia" w:cstheme="minorBidi"/>
          <w:b w:val="0"/>
          <w:bCs w:val="0"/>
          <w:kern w:val="0"/>
          <w:szCs w:val="21"/>
        </w:rPr>
      </w:sdtEndPr>
      <w:sdtContent>
        <w:p>
          <w:pPr>
            <w:pStyle w:val="4"/>
            <w:numPr>
              <w:ilvl w:val="0"/>
              <w:numId w:val="124"/>
            </w:numPr>
          </w:pPr>
          <w:r>
            <w:rPr>
              <w:rFonts w:hint="eastAsia"/>
            </w:rPr>
            <w:t>以权益结算的股份支付情况</w:t>
          </w:r>
        </w:p>
        <w:sdt>
          <w:sdtPr>
            <w:alias w:val="是否适用：以权益结算的股份支付情况[双击切换]"/>
            <w:tag w:val="_GBC_5d901e3b36be4331aac030c8e4b9b1a5"/>
            <w:id w:val="86572692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p>
      <w:pPr>
        <w:rPr>
          <w:szCs w:val="21"/>
        </w:rPr>
      </w:pPr>
    </w:p>
    <w:sdt>
      <w:sdtPr>
        <w:rPr>
          <w:rFonts w:hint="eastAsia" w:ascii="宋体" w:hAnsi="宋体" w:cs="宋体"/>
          <w:b w:val="0"/>
          <w:bCs w:val="0"/>
          <w:kern w:val="0"/>
          <w:szCs w:val="24"/>
        </w:rPr>
        <w:alias w:val="模块:以现金结算的股份支付情况"/>
        <w:tag w:val="_GBC_e8a0c7296300463994744e877be96129"/>
        <w:id w:val="865726923"/>
        <w:lock w:val="sdtLocked"/>
        <w:placeholder>
          <w:docPart w:val="GBC22222222222222222222222222222"/>
        </w:placeholder>
      </w:sdtPr>
      <w:sdtEndPr>
        <w:rPr>
          <w:rFonts w:hint="eastAsia" w:asciiTheme="minorHAnsi" w:hAnsiTheme="minorHAnsi" w:eastAsiaTheme="minorEastAsia" w:cstheme="minorBidi"/>
          <w:b w:val="0"/>
          <w:bCs w:val="0"/>
          <w:kern w:val="0"/>
          <w:szCs w:val="21"/>
        </w:rPr>
      </w:sdtEndPr>
      <w:sdtContent>
        <w:p>
          <w:pPr>
            <w:pStyle w:val="4"/>
            <w:numPr>
              <w:ilvl w:val="0"/>
              <w:numId w:val="124"/>
            </w:numPr>
          </w:pPr>
          <w:r>
            <w:rPr>
              <w:rFonts w:hint="eastAsia"/>
            </w:rPr>
            <w:t>以现金结算的股份支付情况</w:t>
          </w:r>
        </w:p>
        <w:sdt>
          <w:sdtPr>
            <w:alias w:val="是否适用：以现金结算的股份支付情况[双击切换]"/>
            <w:tag w:val="_GBC_aa134f611909486bb3a2d6258058f88d"/>
            <w:id w:val="86572692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p>
      <w:pPr>
        <w:rPr>
          <w:szCs w:val="21"/>
        </w:rPr>
      </w:pPr>
    </w:p>
    <w:sdt>
      <w:sdtPr>
        <w:rPr>
          <w:rFonts w:hint="eastAsia" w:ascii="宋体" w:hAnsi="宋体" w:cs="宋体"/>
          <w:b w:val="0"/>
          <w:bCs w:val="0"/>
          <w:kern w:val="0"/>
          <w:szCs w:val="24"/>
        </w:rPr>
        <w:alias w:val="模块:股份支付的修改、终止情况"/>
        <w:tag w:val="_GBC_ae153862caea4ff5a57470b6f594f167"/>
        <w:id w:val="865726925"/>
        <w:lock w:val="sdtLocked"/>
        <w:placeholder>
          <w:docPart w:val="GBC22222222222222222222222222222"/>
        </w:placeholder>
      </w:sdtPr>
      <w:sdtEndPr>
        <w:rPr>
          <w:rFonts w:hint="default" w:asciiTheme="minorHAnsi" w:hAnsiTheme="minorHAnsi" w:eastAsiaTheme="minorEastAsia" w:cstheme="minorBidi"/>
          <w:b w:val="0"/>
          <w:bCs w:val="0"/>
          <w:kern w:val="0"/>
          <w:szCs w:val="21"/>
        </w:rPr>
      </w:sdtEndPr>
      <w:sdtContent>
        <w:p>
          <w:pPr>
            <w:pStyle w:val="4"/>
            <w:numPr>
              <w:ilvl w:val="0"/>
              <w:numId w:val="124"/>
            </w:numPr>
          </w:pPr>
          <w:r>
            <w:rPr>
              <w:rFonts w:hint="eastAsia"/>
            </w:rPr>
            <w:t>股份支付的修改、终止情况</w:t>
          </w:r>
        </w:p>
        <w:sdt>
          <w:sdtPr>
            <w:rPr>
              <w:rFonts w:hint="eastAsia"/>
              <w:szCs w:val="21"/>
            </w:rPr>
            <w:alias w:val="是否适用：股份支付的修改、终止情况[双击切换]"/>
            <w:tag w:val="_GBC_6da986e9834d42b9bb7548673f325962"/>
            <w:id w:val="865726924"/>
            <w:lock w:val="sdtLocked"/>
            <w:placeholder>
              <w:docPart w:val="GBC22222222222222222222222222222"/>
            </w:placeholder>
          </w:sdtPr>
          <w:sdtEndPr>
            <w:rPr>
              <w:rFonts w:hint="eastAsia"/>
              <w:szCs w:val="21"/>
            </w:rPr>
          </w:sdtEndPr>
          <w:sdtContent>
            <w:p>
              <w:pPr>
                <w:rPr>
                  <w:rFonts w:asciiTheme="minorHAnsi" w:hAnsiTheme="minorHAnsi" w:eastAsiaTheme="minorEastAsia"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ind w:firstLine="210" w:firstLineChars="100"/>
        <w:rPr>
          <w:szCs w:val="21"/>
        </w:rPr>
      </w:pPr>
    </w:p>
    <w:sdt>
      <w:sdtPr>
        <w:rPr>
          <w:rFonts w:ascii="宋体" w:hAnsi="宋体" w:cs="宋体"/>
          <w:b w:val="0"/>
          <w:bCs w:val="0"/>
          <w:kern w:val="0"/>
          <w:szCs w:val="21"/>
        </w:rPr>
        <w:alias w:val="模块:股份支付的其他情况说明"/>
        <w:tag w:val="_GBC_d9554f13d811474eab6fe8ab0c5c8811"/>
        <w:id w:val="865726927"/>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124"/>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86572692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3"/>
        <w:numPr>
          <w:ilvl w:val="0"/>
          <w:numId w:val="54"/>
        </w:numPr>
      </w:pPr>
      <w:r>
        <w:rPr>
          <w:rFonts w:hint="eastAsia"/>
        </w:rPr>
        <w:t>承诺及或有事项</w:t>
      </w:r>
    </w:p>
    <w:p>
      <w:pPr>
        <w:pStyle w:val="4"/>
        <w:numPr>
          <w:ilvl w:val="0"/>
          <w:numId w:val="125"/>
        </w:numPr>
        <w:rPr>
          <w:rFonts w:ascii="宋体" w:hAnsi="宋体"/>
        </w:rPr>
      </w:pPr>
      <w:r>
        <w:rPr>
          <w:rFonts w:hint="eastAsia" w:ascii="宋体" w:hAnsi="宋体"/>
        </w:rPr>
        <w:t>重要承诺事项</w:t>
      </w:r>
    </w:p>
    <w:sdt>
      <w:sdtPr>
        <w:alias w:val="是否适用：重要承诺事项[双击切换]"/>
        <w:tag w:val="_GBC_568be9a6805040a8b9fbd5c5d07b45dd"/>
        <w:id w:val="86572692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
      <w:pPr>
        <w:pStyle w:val="4"/>
        <w:numPr>
          <w:ilvl w:val="0"/>
          <w:numId w:val="125"/>
        </w:numPr>
      </w:pPr>
      <w:r>
        <w:rPr>
          <w:rFonts w:hint="eastAsia"/>
        </w:rPr>
        <w:t>或有事项</w:t>
      </w:r>
    </w:p>
    <w:sdt>
      <w:sdtPr>
        <w:rPr>
          <w:rFonts w:hint="eastAsia" w:ascii="宋体" w:hAnsi="宋体" w:eastAsia="宋体" w:cs="宋体"/>
          <w:b w:val="0"/>
          <w:bCs w:val="0"/>
          <w:kern w:val="0"/>
          <w:szCs w:val="24"/>
        </w:rPr>
        <w:alias w:val="模块:资产负债表日存在的或有事项"/>
        <w:tag w:val="_SEC_6da34404b73540309fc9634730ac0066"/>
        <w:id w:val="865726930"/>
        <w:lock w:val="sdtLocked"/>
        <w:placeholder>
          <w:docPart w:val="GBC22222222222222222222222222222"/>
        </w:placeholder>
      </w:sdtPr>
      <w:sdtEndPr>
        <w:rPr>
          <w:rFonts w:hint="eastAsia" w:eastAsia="宋体" w:asciiTheme="minorHAnsi" w:hAnsiTheme="minorHAnsi" w:cstheme="minorBidi"/>
          <w:b w:val="0"/>
          <w:bCs w:val="0"/>
          <w:kern w:val="0"/>
          <w:szCs w:val="24"/>
        </w:rPr>
      </w:sdtEndPr>
      <w:sdtContent>
        <w:p>
          <w:pPr>
            <w:pStyle w:val="5"/>
            <w:numPr>
              <w:ilvl w:val="3"/>
              <w:numId w:val="126"/>
            </w:numPr>
            <w:ind w:left="424" w:hanging="424" w:hangingChars="202"/>
          </w:pPr>
          <w:r>
            <w:rPr>
              <w:rFonts w:hint="eastAsia"/>
            </w:rPr>
            <w:t>资产负债表日存在的重要或有事项</w:t>
          </w:r>
        </w:p>
        <w:sdt>
          <w:sdtPr>
            <w:rPr>
              <w:rFonts w:hint="eastAsia"/>
            </w:rPr>
            <w:alias w:val="是否适用：资产负债表日存在的重要或有事项[双击切换]"/>
            <w:tag w:val="_GBC_d987504ad98e408986b4fc6f62089ffe"/>
            <w:id w:val="865726929"/>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eastAsia="宋体" w:cs="宋体"/>
          <w:b w:val="0"/>
          <w:bCs w:val="0"/>
          <w:kern w:val="0"/>
          <w:szCs w:val="24"/>
        </w:rPr>
        <w:alias w:val="模块:公司没有需要披露的或有事项，也应予以说明"/>
        <w:tag w:val="_SEC_07f5db79000646bfa85b73f1179896b8"/>
        <w:id w:val="865726932"/>
        <w:lock w:val="sdtLocked"/>
        <w:placeholder>
          <w:docPart w:val="GBC22222222222222222222222222222"/>
        </w:placeholder>
      </w:sdtPr>
      <w:sdtEndPr>
        <w:rPr>
          <w:rFonts w:hint="eastAsia" w:eastAsia="宋体" w:asciiTheme="minorHAnsi" w:hAnsiTheme="minorHAnsi" w:cstheme="minorBidi"/>
          <w:b w:val="0"/>
          <w:bCs w:val="0"/>
          <w:kern w:val="0"/>
          <w:szCs w:val="24"/>
        </w:rPr>
      </w:sdtEndPr>
      <w:sdtContent>
        <w:p>
          <w:pPr>
            <w:pStyle w:val="5"/>
            <w:numPr>
              <w:ilvl w:val="3"/>
              <w:numId w:val="126"/>
            </w:numPr>
            <w:ind w:left="424" w:hanging="424" w:hangingChars="202"/>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865726931"/>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865726934"/>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125"/>
            </w:numPr>
          </w:pPr>
          <w:r>
            <w:rPr>
              <w:rFonts w:hint="eastAsia"/>
            </w:rPr>
            <w:t>其他</w:t>
          </w:r>
        </w:p>
        <w:sdt>
          <w:sdtPr>
            <w:rPr>
              <w:rFonts w:hint="eastAsia"/>
            </w:rPr>
            <w:alias w:val="是否适用：承诺及或有事项的其他情况说明[双击切换]"/>
            <w:tag w:val="_GBC_cf5b3c02da904b4ea27843983d9a6248"/>
            <w:id w:val="865726933"/>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3"/>
        <w:numPr>
          <w:ilvl w:val="0"/>
          <w:numId w:val="54"/>
        </w:numPr>
      </w:pPr>
      <w:r>
        <w:rPr>
          <w:rFonts w:hint="eastAsia"/>
        </w:rPr>
        <w:t>资产负债表日后事项</w:t>
      </w:r>
    </w:p>
    <w:sdt>
      <w:sdtPr>
        <w:rPr>
          <w:rFonts w:hint="eastAsia" w:ascii="宋体" w:hAnsi="宋体" w:cs="宋体"/>
          <w:b w:val="0"/>
          <w:bCs w:val="0"/>
          <w:kern w:val="0"/>
          <w:szCs w:val="24"/>
        </w:rPr>
        <w:alias w:val="模块:重要的非调整事项"/>
        <w:tag w:val="_SEC_3654dcc239a241d4891042df05a6f256"/>
        <w:id w:val="865726936"/>
        <w:lock w:val="sdtLocked"/>
        <w:placeholder>
          <w:docPart w:val="GBC22222222222222222222222222222"/>
        </w:placeholder>
      </w:sdtPr>
      <w:sdtEndPr>
        <w:rPr>
          <w:rFonts w:hint="eastAsia" w:asciiTheme="minorHAnsi" w:hAnsiTheme="minorHAnsi" w:eastAsiaTheme="minorEastAsia" w:cstheme="minorBidi"/>
          <w:b w:val="0"/>
          <w:bCs w:val="0"/>
          <w:kern w:val="0"/>
          <w:szCs w:val="22"/>
        </w:rPr>
      </w:sdtEndPr>
      <w:sdtContent>
        <w:p>
          <w:pPr>
            <w:pStyle w:val="4"/>
            <w:numPr>
              <w:ilvl w:val="0"/>
              <w:numId w:val="127"/>
            </w:numPr>
          </w:pPr>
          <w:r>
            <w:rPr>
              <w:rFonts w:hint="eastAsia"/>
            </w:rPr>
            <w:t>重要的非调整事项</w:t>
          </w:r>
        </w:p>
        <w:sdt>
          <w:sdtPr>
            <w:alias w:val="是否适用：重要的非调整事项[双击切换]"/>
            <w:tag w:val="_GBC_5d94a9ce52454687be716014c1894fef"/>
            <w:id w:val="86572693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kern w:val="0"/>
          <w:szCs w:val="24"/>
        </w:rPr>
        <w:alias w:val="模块:资产负债表日后利润分配情况说明"/>
        <w:tag w:val="_SEC_a0182471338a435e9bfa33dc5b5d68ed"/>
        <w:id w:val="865726938"/>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127"/>
            </w:numPr>
          </w:pPr>
          <w:r>
            <w:rPr>
              <w:rFonts w:hint="eastAsia"/>
            </w:rPr>
            <w:t>利润分配情况</w:t>
          </w:r>
        </w:p>
        <w:sdt>
          <w:sdtPr>
            <w:alias w:val="是否适用：利润分配情况[双击切换]"/>
            <w:tag w:val="_GBC_9a91fb54a6c146e5b9ee1ecff3141237"/>
            <w:id w:val="86572693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1"/>
        </w:rPr>
        <w:alias w:val="模块:资产负债表日后事项-销售退回说明"/>
        <w:tag w:val="_SEC_6346fe8809f74901abff74c752033e25"/>
        <w:id w:val="865726940"/>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127"/>
            </w:numPr>
          </w:pPr>
          <w:r>
            <w:rPr>
              <w:rFonts w:hint="eastAsia"/>
              <w:szCs w:val="21"/>
            </w:rPr>
            <w:t>销售</w:t>
          </w:r>
          <w:r>
            <w:rPr>
              <w:rFonts w:hint="eastAsia"/>
            </w:rPr>
            <w:t>退回</w:t>
          </w:r>
        </w:p>
        <w:sdt>
          <w:sdtPr>
            <w:alias w:val="是否适用：销售退回[双击切换]"/>
            <w:tag w:val="_GBC_7fb2ecaa1ffb494486f4a8b2e94240d2"/>
            <w:id w:val="865726939"/>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4"/>
        </w:rPr>
        <w:alias w:val="模块:其他资产负债表日后事项说明"/>
        <w:tag w:val="_SEC_776c6ddc183543f7a3beb6d8a088d64e"/>
        <w:id w:val="865726942"/>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127"/>
            </w:numPr>
          </w:pPr>
          <w:r>
            <w:rPr>
              <w:rFonts w:hint="eastAsia"/>
            </w:rPr>
            <w:t>其他资产负债表日后事项说明</w:t>
          </w:r>
        </w:p>
        <w:sdt>
          <w:sdtPr>
            <w:rPr>
              <w:rFonts w:hint="eastAsia"/>
            </w:rPr>
            <w:alias w:val="是否适用：其他资产负债表日后事项说明[双击切换]"/>
            <w:tag w:val="_GBC_4fc0f824aaea4ed096cae3b9f97ff314"/>
            <w:id w:val="865726941"/>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3"/>
        <w:numPr>
          <w:ilvl w:val="0"/>
          <w:numId w:val="54"/>
        </w:numPr>
      </w:pPr>
      <w:r>
        <w:rPr>
          <w:rFonts w:hint="eastAsia"/>
        </w:rPr>
        <w:t>其他重要事项</w:t>
      </w:r>
    </w:p>
    <w:p>
      <w:pPr>
        <w:pStyle w:val="4"/>
        <w:numPr>
          <w:ilvl w:val="0"/>
          <w:numId w:val="128"/>
        </w:numPr>
      </w:pPr>
      <w:r>
        <w:rPr>
          <w:rFonts w:hint="eastAsia"/>
        </w:rPr>
        <w:t>前期会计差错更正</w:t>
      </w:r>
    </w:p>
    <w:sdt>
      <w:sdtPr>
        <w:rPr>
          <w:rFonts w:hint="eastAsia" w:ascii="宋体" w:hAnsi="宋体" w:eastAsia="宋体" w:cs="宋体"/>
          <w:b w:val="0"/>
          <w:bCs w:val="0"/>
          <w:kern w:val="0"/>
          <w:szCs w:val="21"/>
        </w:rPr>
        <w:alias w:val="模块:会计差错更正(追溯重述)"/>
        <w:tag w:val="_SEC_4c087918288648c6a9deb057067a9fc5"/>
        <w:id w:val="865726944"/>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129"/>
            </w:numPr>
            <w:ind w:left="424" w:hanging="424" w:hangingChars="202"/>
          </w:pPr>
          <w:r>
            <w:rPr>
              <w:rFonts w:hint="eastAsia"/>
            </w:rPr>
            <w:t>追溯重述法</w:t>
          </w:r>
        </w:p>
        <w:sdt>
          <w:sdtPr>
            <w:rPr>
              <w:rFonts w:hint="eastAsia"/>
              <w:szCs w:val="21"/>
            </w:rPr>
            <w:alias w:val="是否适用：追溯重述法[双击切换]"/>
            <w:tag w:val="_GBC_19d462bfe01047cd87b083dddf885193"/>
            <w:id w:val="865726943"/>
            <w:lock w:val="sdtLocked"/>
            <w:placeholder>
              <w:docPart w:val="GBC22222222222222222222222222222"/>
            </w:placeholder>
          </w:sdtPr>
          <w:sdtEndPr>
            <w:rPr>
              <w:rFonts w:hint="eastAsia"/>
              <w:szCs w:val="21"/>
            </w:rPr>
          </w:sdtEndPr>
          <w:sdtContent>
            <w:p>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eastAsia="宋体" w:cs="宋体"/>
          <w:b w:val="0"/>
          <w:bCs w:val="0"/>
          <w:kern w:val="0"/>
          <w:szCs w:val="24"/>
        </w:rPr>
        <w:alias w:val="模块:未来适用法本报告期是否发现采用未来适用法的前期会计差错：（..."/>
        <w:tag w:val="_SEC_77642b56d283484890d54c9ec194b354"/>
        <w:id w:val="865726946"/>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129"/>
            </w:numPr>
            <w:ind w:left="424" w:hanging="424" w:hangingChars="202"/>
          </w:pPr>
          <w:r>
            <w:rPr>
              <w:rFonts w:hint="eastAsia"/>
            </w:rPr>
            <w:t>未来适用法</w:t>
          </w:r>
        </w:p>
        <w:sdt>
          <w:sdtPr>
            <w:alias w:val="是否适用：未来适用法[双击切换]"/>
            <w:tag w:val="_GBC_6fd6421ddf524335aa8fac02bc322e70"/>
            <w:id w:val="86572694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cs="宋体"/>
          <w:b w:val="0"/>
          <w:bCs w:val="0"/>
          <w:kern w:val="0"/>
          <w:szCs w:val="24"/>
        </w:rPr>
        <w:alias w:val="模块:债务重组"/>
        <w:tag w:val="_SEC_010853a024e74ff2955558ced7301626"/>
        <w:id w:val="865726948"/>
        <w:lock w:val="sdtLocked"/>
        <w:placeholder>
          <w:docPart w:val="GBC22222222222222222222222222222"/>
        </w:placeholder>
      </w:sdtPr>
      <w:sdtEndPr>
        <w:rPr>
          <w:rFonts w:hint="eastAsia" w:asciiTheme="minorHAnsi" w:hAnsiTheme="minorHAnsi" w:eastAsiaTheme="minorEastAsia" w:cstheme="minorBidi"/>
          <w:b w:val="0"/>
          <w:bCs w:val="0"/>
          <w:kern w:val="0"/>
          <w:szCs w:val="21"/>
        </w:rPr>
      </w:sdtEndPr>
      <w:sdtContent>
        <w:p>
          <w:pPr>
            <w:pStyle w:val="4"/>
            <w:numPr>
              <w:ilvl w:val="0"/>
              <w:numId w:val="128"/>
            </w:numPr>
          </w:pPr>
          <w:r>
            <w:rPr>
              <w:rFonts w:hint="eastAsia"/>
            </w:rPr>
            <w:t>债务重组</w:t>
          </w:r>
        </w:p>
        <w:sdt>
          <w:sdtPr>
            <w:alias w:val="是否适用：债务重组[双击切换]"/>
            <w:tag w:val="_GBC_1697accce6f645f7a5b19e8e900eb26c"/>
            <w:id w:val="865726947"/>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4"/>
        <w:numPr>
          <w:ilvl w:val="0"/>
          <w:numId w:val="128"/>
        </w:numPr>
      </w:pPr>
      <w:r>
        <w:rPr>
          <w:rFonts w:hint="eastAsia"/>
        </w:rPr>
        <w:t>资产置换</w:t>
      </w:r>
    </w:p>
    <w:sdt>
      <w:sdtPr>
        <w:rPr>
          <w:rFonts w:hint="eastAsia" w:ascii="宋体" w:hAnsi="宋体" w:eastAsia="宋体" w:cs="宋体"/>
          <w:b w:val="0"/>
          <w:bCs w:val="0"/>
          <w:kern w:val="0"/>
          <w:szCs w:val="24"/>
        </w:rPr>
        <w:alias w:val="模块:非货币性资产交换"/>
        <w:tag w:val="_SEC_a959a47edc2446e5acfd29b49364046c"/>
        <w:id w:val="865726950"/>
        <w:lock w:val="sdtLocked"/>
        <w:placeholder>
          <w:docPart w:val="GBC22222222222222222222222222222"/>
        </w:placeholder>
      </w:sdtPr>
      <w:sdtEndPr>
        <w:rPr>
          <w:rFonts w:hint="eastAsia" w:eastAsia="宋体" w:asciiTheme="minorHAnsi" w:hAnsiTheme="minorHAnsi" w:cstheme="minorBidi"/>
          <w:b w:val="0"/>
          <w:bCs w:val="0"/>
          <w:kern w:val="0"/>
          <w:szCs w:val="21"/>
        </w:rPr>
      </w:sdtEndPr>
      <w:sdtContent>
        <w:p>
          <w:pPr>
            <w:pStyle w:val="5"/>
            <w:numPr>
              <w:ilvl w:val="3"/>
              <w:numId w:val="130"/>
            </w:numPr>
            <w:ind w:left="424" w:hanging="424" w:hangingChars="202"/>
          </w:pPr>
          <w:r>
            <w:rPr>
              <w:rFonts w:hint="eastAsia"/>
            </w:rPr>
            <w:t>非货币性资产交换</w:t>
          </w:r>
        </w:p>
        <w:sdt>
          <w:sdtPr>
            <w:rPr>
              <w:rFonts w:hint="eastAsia"/>
              <w:szCs w:val="21"/>
            </w:rPr>
            <w:alias w:val="是否适用：非货币性资产交换[双击切换]"/>
            <w:tag w:val="_GBC_480975ada702478dae8a1468d6e0c3cd"/>
            <w:id w:val="865726949"/>
            <w:lock w:val="sdtLocked"/>
            <w:placeholder>
              <w:docPart w:val="GBC22222222222222222222222222222"/>
            </w:placeholder>
          </w:sdtPr>
          <w:sdtEndPr>
            <w:rPr>
              <w:rFonts w:hint="eastAsia"/>
              <w:szCs w:val="21"/>
            </w:rPr>
          </w:sdtEndPr>
          <w:sdtContent>
            <w:p>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eastAsia="宋体" w:cs="宋体"/>
          <w:b w:val="0"/>
          <w:bCs w:val="0"/>
          <w:kern w:val="0"/>
          <w:szCs w:val="24"/>
        </w:rPr>
        <w:alias w:val="模块:其他资产置换资产说明"/>
        <w:tag w:val="_SEC_1d69b9d18d514fd19619562c4673a46d"/>
        <w:id w:val="865726952"/>
        <w:lock w:val="sdtLocked"/>
        <w:placeholder>
          <w:docPart w:val="GBC22222222222222222222222222222"/>
        </w:placeholder>
      </w:sdtPr>
      <w:sdtEndPr>
        <w:rPr>
          <w:rFonts w:hint="eastAsia" w:eastAsia="宋体" w:asciiTheme="minorHAnsi" w:hAnsiTheme="minorHAnsi" w:cstheme="minorBidi"/>
          <w:b w:val="0"/>
          <w:bCs w:val="0"/>
          <w:kern w:val="0"/>
          <w:szCs w:val="24"/>
        </w:rPr>
      </w:sdtEndPr>
      <w:sdtContent>
        <w:p>
          <w:pPr>
            <w:pStyle w:val="5"/>
            <w:numPr>
              <w:ilvl w:val="3"/>
              <w:numId w:val="130"/>
            </w:numPr>
            <w:ind w:left="424" w:hanging="424" w:hangingChars="202"/>
          </w:pPr>
          <w:r>
            <w:rPr>
              <w:rFonts w:hint="eastAsia"/>
            </w:rPr>
            <w:t>其他资产置换</w:t>
          </w:r>
        </w:p>
        <w:sdt>
          <w:sdtPr>
            <w:rPr>
              <w:rFonts w:hint="eastAsia"/>
              <w:szCs w:val="21"/>
            </w:rPr>
            <w:alias w:val="是否适用：其他资产置换[双击切换]"/>
            <w:tag w:val="_GBC_d4d75cf02549483681739e6eb10910ff"/>
            <w:id w:val="865726951"/>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ascii="宋体" w:hAnsi="宋体" w:cs="宋体"/>
          <w:b w:val="0"/>
          <w:bCs w:val="0"/>
          <w:kern w:val="0"/>
          <w:szCs w:val="24"/>
        </w:rPr>
        <w:alias w:val="模块:年金计划主要内容及重大变化"/>
        <w:tag w:val="_SEC_e99af52cf73147c3943e3f4044942350"/>
        <w:id w:val="865726954"/>
        <w:lock w:val="sdtLocked"/>
        <w:placeholder>
          <w:docPart w:val="GBC22222222222222222222222222222"/>
        </w:placeholder>
      </w:sdtPr>
      <w:sdtEndPr>
        <w:rPr>
          <w:rFonts w:hint="eastAsia" w:asciiTheme="minorHAnsi" w:hAnsiTheme="minorHAnsi" w:eastAsiaTheme="minorEastAsia" w:cstheme="minorBidi"/>
          <w:b w:val="0"/>
          <w:bCs w:val="0"/>
          <w:kern w:val="0"/>
          <w:szCs w:val="21"/>
        </w:rPr>
      </w:sdtEndPr>
      <w:sdtContent>
        <w:p>
          <w:pPr>
            <w:pStyle w:val="4"/>
            <w:numPr>
              <w:ilvl w:val="0"/>
              <w:numId w:val="128"/>
            </w:numPr>
          </w:pPr>
          <w:r>
            <w:rPr>
              <w:rFonts w:hint="eastAsia"/>
            </w:rPr>
            <w:t>年金计划</w:t>
          </w:r>
        </w:p>
        <w:sdt>
          <w:sdtPr>
            <w:alias w:val="是否适用：年金计划[双击切换]"/>
            <w:tag w:val="_GBC_7abcd6901bc848d8b58391e0ddd63034"/>
            <w:id w:val="865726953"/>
            <w:lock w:val="sdtLocked"/>
            <w:placeholder>
              <w:docPart w:val="GBC22222222222222222222222222222"/>
            </w:placeholder>
          </w:sdtPr>
          <w:sdtContent>
            <w:p>
              <w:pPr>
                <w:rPr>
                  <w:rFonts w:asciiTheme="minorHAnsi" w:hAnsiTheme="minorHAnsi" w:eastAsiaTheme="minorEastAsia"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终止经营"/>
        <w:tag w:val="_SEC_83c382ff9499445b86fea4e0e1e5715d"/>
        <w:id w:val="865726956"/>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128"/>
            </w:numPr>
            <w:rPr>
              <w:rFonts w:ascii="宋体" w:hAnsi="宋体"/>
              <w:szCs w:val="21"/>
            </w:rPr>
          </w:pPr>
          <w:r>
            <w:rPr>
              <w:rFonts w:hint="eastAsia" w:ascii="宋体" w:hAnsi="宋体"/>
              <w:szCs w:val="21"/>
            </w:rPr>
            <w:t>终止经营</w:t>
          </w:r>
        </w:p>
        <w:p>
          <w:sdt>
            <w:sdtPr>
              <w:alias w:val="是否适用：终止经营[双击切换]"/>
              <w:tag w:val="_GBC_667e81a5639a48488e957a55e45c7763"/>
              <w:id w:val="865726955"/>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rPr>
              <w:rFonts w:cstheme="minorBidi"/>
              <w:kern w:val="2"/>
              <w:szCs w:val="21"/>
            </w:rPr>
          </w:pPr>
        </w:p>
      </w:sdtContent>
    </w:sdt>
    <w:p>
      <w:pPr>
        <w:rPr>
          <w:szCs w:val="21"/>
        </w:rPr>
      </w:pPr>
    </w:p>
    <w:p>
      <w:pPr>
        <w:pStyle w:val="4"/>
        <w:numPr>
          <w:ilvl w:val="0"/>
          <w:numId w:val="128"/>
        </w:numPr>
        <w:rPr>
          <w:rFonts w:ascii="宋体" w:hAnsi="宋体"/>
          <w:szCs w:val="21"/>
        </w:rPr>
      </w:pPr>
      <w:r>
        <w:rPr>
          <w:rFonts w:hint="eastAsia" w:ascii="宋体" w:hAnsi="宋体"/>
          <w:szCs w:val="21"/>
        </w:rPr>
        <w:t>分部信息</w:t>
      </w:r>
    </w:p>
    <w:sdt>
      <w:sdtPr>
        <w:rPr>
          <w:rFonts w:hint="eastAsia" w:ascii="宋体" w:hAnsi="宋体" w:eastAsia="宋体" w:cs="宋体"/>
          <w:b w:val="0"/>
          <w:bCs w:val="0"/>
          <w:kern w:val="0"/>
          <w:szCs w:val="24"/>
        </w:rPr>
        <w:alias w:val="模块:分部信息报告分部的确定依据与会计政策"/>
        <w:tag w:val="_SEC_dfc3b46bd4f54afdb4c7d8f4cdf9baf2"/>
        <w:id w:val="865726958"/>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3"/>
              <w:numId w:val="131"/>
            </w:numPr>
            <w:ind w:left="424" w:hanging="424" w:hangingChars="202"/>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865726957"/>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eastAsia="宋体" w:cs="宋体"/>
          <w:b w:val="0"/>
          <w:bCs w:val="0"/>
          <w:kern w:val="0"/>
          <w:szCs w:val="24"/>
        </w:rPr>
        <w:alias w:val="模块:报告分部的财务信息"/>
        <w:tag w:val="_SEC_c88228a13efc40bf8facbaa3643e4cb3"/>
        <w:id w:val="865726960"/>
        <w:lock w:val="sdtLocked"/>
        <w:placeholder>
          <w:docPart w:val="GBC22222222222222222222222222222"/>
        </w:placeholder>
      </w:sdtPr>
      <w:sdtEndPr>
        <w:rPr>
          <w:rFonts w:hint="default" w:ascii="Calibri" w:hAnsi="Calibri" w:eastAsia="宋体" w:cs="Times New Roman"/>
          <w:b w:val="0"/>
          <w:bCs w:val="0"/>
          <w:kern w:val="2"/>
          <w:szCs w:val="21"/>
        </w:rPr>
      </w:sdtEndPr>
      <w:sdtContent>
        <w:p>
          <w:pPr>
            <w:pStyle w:val="5"/>
            <w:numPr>
              <w:ilvl w:val="3"/>
              <w:numId w:val="131"/>
            </w:numPr>
            <w:ind w:left="424" w:hanging="424" w:hangingChars="202"/>
          </w:pPr>
          <w:r>
            <w:rPr>
              <w:rFonts w:hint="eastAsia"/>
            </w:rPr>
            <w:t>报告分部的财务信息</w:t>
          </w:r>
        </w:p>
        <w:sdt>
          <w:sdtPr>
            <w:rPr>
              <w:rFonts w:hint="eastAsia" w:ascii="宋体" w:hAnsi="宋体"/>
              <w:szCs w:val="21"/>
            </w:rPr>
            <w:alias w:val="是否适用：报告分部的财务信息[双击切换]"/>
            <w:tag w:val="_GBC_560c7b592f324714b8c87339e43684af"/>
            <w:id w:val="865726959"/>
            <w:lock w:val="sdtLocked"/>
            <w:placeholder>
              <w:docPart w:val="GBC22222222222222222222222222222"/>
            </w:placeholder>
          </w:sdtPr>
          <w:sdtEndPr>
            <w:rPr>
              <w:rFonts w:hint="eastAsia" w:ascii="宋体" w:hAnsi="宋体"/>
              <w:szCs w:val="21"/>
            </w:rPr>
          </w:sdtEndPr>
          <w:sdtContent>
            <w:p>
              <w:pPr>
                <w:pStyle w:val="55"/>
                <w:ind w:firstLine="0" w:firstLineChars="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hint="eastAsia" w:ascii="宋体" w:hAnsi="宋体" w:eastAsia="宋体" w:cs="宋体"/>
          <w:b w:val="0"/>
          <w:bCs w:val="0"/>
          <w:kern w:val="0"/>
          <w:szCs w:val="24"/>
        </w:rPr>
        <w:alias w:val="模块:公司无报告分部的，或者不能披露各报告分部的资产总额和负债总额的，应说明原因"/>
        <w:tag w:val="_SEC_3849a00c602340b897b4e927f6a3c0d9"/>
        <w:id w:val="865726963"/>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3"/>
              <w:numId w:val="131"/>
            </w:numPr>
            <w:ind w:left="424" w:hanging="424" w:hangingChars="202"/>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865726961"/>
            <w:lock w:val="sdtLocked"/>
            <w:placeholder>
              <w:docPart w:val="GBC22222222222222222222222222222"/>
            </w:placeholder>
          </w:sdtPr>
          <w:sdtEndPr>
            <w:rPr>
              <w:rFonts w:hint="eastAsia"/>
              <w:szCs w:val="21"/>
            </w:rPr>
          </w:sdtEndPr>
          <w:sdtContent>
            <w:p>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eastAsia="宋体" w:cs="宋体"/>
          <w:b w:val="0"/>
          <w:bCs w:val="0"/>
          <w:kern w:val="0"/>
          <w:szCs w:val="24"/>
        </w:rPr>
        <w:alias w:val="模块:分部信息其他说明"/>
        <w:tag w:val="_SEC_83dbb92e05854ff09d00691d7141ac0b"/>
        <w:id w:val="865726965"/>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3"/>
              <w:numId w:val="131"/>
            </w:numPr>
            <w:ind w:left="424" w:hanging="424" w:hangingChars="202"/>
          </w:pPr>
          <w:r>
            <w:rPr>
              <w:rFonts w:hint="eastAsia"/>
            </w:rPr>
            <w:t>其他说明</w:t>
          </w:r>
        </w:p>
        <w:sdt>
          <w:sdtPr>
            <w:rPr>
              <w:rFonts w:hint="eastAsia"/>
              <w:szCs w:val="21"/>
            </w:rPr>
            <w:alias w:val="是否适用：分部信息的其他说明[双击切换]"/>
            <w:tag w:val="_GBC_a7173613038248df8d31b8ffe91e1e27"/>
            <w:id w:val="86572696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cs="宋体"/>
          <w:b w:val="0"/>
          <w:bCs w:val="0"/>
          <w:kern w:val="0"/>
          <w:szCs w:val="21"/>
        </w:rPr>
        <w:alias w:val="模块:其他重要事项说明"/>
        <w:tag w:val="_SEC_ba4247a6c1994dc98e0b1c339dfe0f23"/>
        <w:id w:val="865726967"/>
        <w:lock w:val="sdtLocked"/>
        <w:placeholder>
          <w:docPart w:val="GBC22222222222222222222222222222"/>
        </w:placeholder>
      </w:sdtPr>
      <w:sdtEndPr>
        <w:rPr>
          <w:rFonts w:hint="eastAsia" w:ascii="宋体" w:hAnsi="宋体" w:cstheme="minorBidi"/>
          <w:b w:val="0"/>
          <w:bCs w:val="0"/>
          <w:kern w:val="2"/>
          <w:szCs w:val="21"/>
        </w:rPr>
      </w:sdtEndPr>
      <w:sdtContent>
        <w:p>
          <w:pPr>
            <w:pStyle w:val="4"/>
            <w:numPr>
              <w:ilvl w:val="0"/>
              <w:numId w:val="128"/>
            </w:numPr>
          </w:pPr>
          <w:r>
            <w:rPr>
              <w:rFonts w:hint="eastAsia" w:ascii="宋体" w:hAnsi="宋体" w:cs="宋体"/>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65726966"/>
            <w:lock w:val="sdtLocked"/>
            <w:placeholder>
              <w:docPart w:val="GBC22222222222222222222222222222"/>
            </w:placeholder>
          </w:sdtPr>
          <w:sdtEndPr>
            <w:rPr>
              <w:rFonts w:hint="eastAsia"/>
              <w:szCs w:val="21"/>
            </w:rPr>
          </w:sdtEndPr>
          <w:sdtContent>
            <w:p>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其他"/>
        <w:tag w:val="_SEC_626a705e9bde404ab67dae61d8e62116"/>
        <w:id w:val="865726969"/>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128"/>
            </w:numPr>
            <w:rPr>
              <w:szCs w:val="21"/>
            </w:rPr>
          </w:pPr>
          <w:r>
            <w:rPr>
              <w:rFonts w:hint="eastAsia" w:ascii="宋体" w:hAnsi="宋体"/>
              <w:szCs w:val="21"/>
            </w:rPr>
            <w:t>其他</w:t>
          </w:r>
        </w:p>
        <w:sdt>
          <w:sdtPr>
            <w:rPr>
              <w:rFonts w:hint="eastAsia"/>
              <w:szCs w:val="21"/>
            </w:rPr>
            <w:alias w:val="是否适用：其他重要事项的说明[双击切换]"/>
            <w:tag w:val="_GBC_fb43f52ac5bc49a4b33e34d6b1758f09"/>
            <w:id w:val="86572696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pStyle w:val="3"/>
        <w:numPr>
          <w:ilvl w:val="0"/>
          <w:numId w:val="54"/>
        </w:numPr>
        <w:rPr>
          <w:rFonts w:ascii="宋体" w:hAnsi="宋体"/>
        </w:rPr>
      </w:pPr>
      <w:r>
        <w:rPr>
          <w:rFonts w:hint="eastAsia" w:ascii="宋体" w:hAnsi="宋体"/>
        </w:rPr>
        <w:t>母公司财务报表主要项目注释</w:t>
      </w:r>
    </w:p>
    <w:p>
      <w:pPr>
        <w:pStyle w:val="4"/>
        <w:numPr>
          <w:ilvl w:val="0"/>
          <w:numId w:val="132"/>
        </w:numPr>
      </w:pPr>
      <w:r>
        <w:rPr>
          <w:rFonts w:hint="eastAsia" w:ascii="宋体" w:hAnsi="宋体"/>
          <w:szCs w:val="21"/>
        </w:rPr>
        <w:t>应收账款</w:t>
      </w:r>
    </w:p>
    <w:sdt>
      <w:sdtPr>
        <w:rPr>
          <w:rFonts w:hint="eastAsia" w:ascii="宋体" w:hAnsi="宋体" w:eastAsia="宋体" w:cs="宋体"/>
          <w:b w:val="0"/>
          <w:bCs w:val="0"/>
          <w:kern w:val="0"/>
          <w:szCs w:val="24"/>
        </w:rPr>
        <w:alias w:val="模块:按账龄披露"/>
        <w:tag w:val="_SEC_9c6dac1b3bd94073bae16a9f5e7fe960"/>
        <w:id w:val="865726989"/>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133"/>
            </w:numPr>
            <w:ind w:left="424" w:hanging="424" w:hangingChars="202"/>
          </w:pPr>
          <w:bookmarkStart w:id="226" w:name="_Hlk533796665"/>
          <w:r>
            <w:rPr>
              <w:rFonts w:hint="eastAsia"/>
            </w:rPr>
            <w:t>按账龄披露</w:t>
          </w:r>
        </w:p>
        <w:sdt>
          <w:sdtPr>
            <w:alias w:val="是否适用：母公司应收账款按账龄披露[双击切换]"/>
            <w:tag w:val="_GBC_dafcd7d733014c4a8aaa9a9a4b6c92f1"/>
            <w:id w:val="86572697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应收账款按账龄披露"/>
              <w:tag w:val="_GBC_6f3238355b1f4a02b89a4d1aa10b0026"/>
              <w:id w:val="8657269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865726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450"/>
            <w:gridCol w:w="4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06ac63f3585491ab4c995e84aaeaae8"/>
                <w:id w:val="865726973"/>
                <w:lock w:val="sdtLocked"/>
              </w:sdtPr>
              <w:sdtContent>
                <w:tc>
                  <w:tcPr>
                    <w:tcW w:w="245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账龄</w:t>
                    </w:r>
                  </w:p>
                </w:tc>
              </w:sdtContent>
            </w:sdt>
            <w:sdt>
              <w:sdtPr>
                <w:tag w:val="_PLD_af5c2c2bfbf14ab3a9bc2f164f5d2a9c"/>
                <w:id w:val="865726974"/>
                <w:lock w:val="sdtLocked"/>
              </w:sdtPr>
              <w:sdtContent>
                <w:tc>
                  <w:tcPr>
                    <w:tcW w:w="2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7f5863b5059b4a88ba2215c89b2dad39"/>
                <w:id w:val="865726975"/>
                <w:lock w:val="sdtLocked"/>
              </w:sdtPr>
              <w:sdtEndPr>
                <w:rPr>
                  <w:rFonts w:ascii="Times New Roman" w:hAnsi="Times New Roman" w:cs="Times New Roman"/>
                </w:rPr>
              </w:sdtEndPr>
              <w:sdtContent>
                <w:tc>
                  <w:tcPr>
                    <w:tcW w:w="5000" w:type="pct"/>
                    <w:gridSpan w:val="2"/>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FF0000"/>
                        <w:szCs w:val="21"/>
                      </w:rPr>
                    </w:pPr>
                    <w:r>
                      <w:rPr>
                        <w:rFonts w:ascii="Times New Roman" w:hAnsi="Times New Roman" w:cs="Times New Roman"/>
                        <w:szCs w:val="21"/>
                      </w:rPr>
                      <w:t>1</w:t>
                    </w:r>
                    <w:r>
                      <w:rPr>
                        <w:rFonts w:ascii="Times New Roman" w:cs="Times New Roman"/>
                        <w:szCs w:val="21"/>
                      </w:rPr>
                      <w:t>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b978e1978e654c4cb4661534099479b9"/>
                <w:id w:val="865726976"/>
                <w:lock w:val="sdtLocked"/>
              </w:sdtPr>
              <w:sdtEndPr>
                <w:rPr>
                  <w:rFonts w:ascii="Times New Roman" w:hAnsi="Times New Roman" w:cs="Times New Roman"/>
                </w:rPr>
              </w:sdtEndPr>
              <w:sdtContent>
                <w:tc>
                  <w:tcPr>
                    <w:tcW w:w="5000" w:type="pct"/>
                    <w:gridSpan w:val="2"/>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其中：</w:t>
                    </w:r>
                    <w:r>
                      <w:rPr>
                        <w:rFonts w:ascii="Times New Roman" w:hAnsi="Times New Roman" w:cs="Times New Roman"/>
                        <w:szCs w:val="21"/>
                      </w:rPr>
                      <w:t>1</w:t>
                    </w:r>
                    <w:r>
                      <w:rPr>
                        <w:rFonts w:ascii="Times New Roman" w:cs="Times New Roman"/>
                        <w:szCs w:val="21"/>
                      </w:rPr>
                      <w:t>年以内分项</w:t>
                    </w:r>
                  </w:p>
                </w:tc>
              </w:sdtContent>
            </w:sdt>
          </w:tr>
          <w:sdt>
            <w:sdtPr>
              <w:rPr>
                <w:rFonts w:ascii="Times New Roman" w:hAnsi="Times New Roman" w:cs="Times New Roman"/>
                <w:szCs w:val="21"/>
              </w:rPr>
              <w:alias w:val="一年以内应收账款金额明细"/>
              <w:tag w:val="_TUP_b61cca260e7641f2bce034ce2df2cd0d"/>
              <w:id w:val="865726977"/>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0.5</w:t>
                    </w:r>
                    <w:r>
                      <w:rPr>
                        <w:rFonts w:ascii="Times New Roman" w:cs="Times New Roman"/>
                      </w:rPr>
                      <w:t>年以内</w:t>
                    </w:r>
                  </w:p>
                </w:tc>
                <w:tc>
                  <w:tcPr>
                    <w:tcW w:w="254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40,441,750.62</w:t>
                    </w:r>
                  </w:p>
                </w:tc>
              </w:tr>
            </w:sdtContent>
          </w:sdt>
          <w:sdt>
            <w:sdtPr>
              <w:rPr>
                <w:rFonts w:ascii="Times New Roman" w:hAnsi="Times New Roman" w:cs="Times New Roman"/>
                <w:szCs w:val="21"/>
              </w:rPr>
              <w:alias w:val="一年以内应收账款金额明细"/>
              <w:tag w:val="_TUP_b61cca260e7641f2bce034ce2df2cd0d"/>
              <w:id w:val="86572697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0.5</w:t>
                    </w:r>
                    <w:r>
                      <w:rPr>
                        <w:rFonts w:ascii="Times New Roman" w:cs="Times New Roman"/>
                      </w:rPr>
                      <w:t>年至</w:t>
                    </w:r>
                    <w:r>
                      <w:rPr>
                        <w:rFonts w:ascii="Times New Roman" w:hAnsi="Times New Roman" w:cs="Times New Roman"/>
                      </w:rPr>
                      <w:t>1</w:t>
                    </w:r>
                    <w:r>
                      <w:rPr>
                        <w:rFonts w:ascii="Times New Roman" w:cs="Times New Roman"/>
                      </w:rPr>
                      <w:t>年</w:t>
                    </w:r>
                  </w:p>
                </w:tc>
                <w:tc>
                  <w:tcPr>
                    <w:tcW w:w="254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rPr>
                      <w:t>2,732,408.83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8aef9ce83d614b3c8a918a411c19a08d"/>
                <w:id w:val="865726979"/>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年以内小计</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43,174,159.45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60171e3c09014ca6aa27c8d4e453d92d"/>
                <w:id w:val="865726980"/>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至</w:t>
                    </w:r>
                    <w:r>
                      <w:rPr>
                        <w:rFonts w:ascii="Times New Roman" w:hAnsi="Times New Roman" w:cs="Times New Roman"/>
                        <w:szCs w:val="21"/>
                      </w:rPr>
                      <w:t>2</w:t>
                    </w:r>
                    <w:r>
                      <w:rPr>
                        <w:rFonts w:ascii="Times New Roman" w:cs="Times New Roman"/>
                        <w:szCs w:val="21"/>
                      </w:rPr>
                      <w:t>年</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541,250.14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89731acfd60f443eba6c0e13bea601ba"/>
                <w:id w:val="865726981"/>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至</w:t>
                    </w:r>
                    <w:r>
                      <w:rPr>
                        <w:rFonts w:ascii="Times New Roman" w:hAnsi="Times New Roman" w:cs="Times New Roman"/>
                        <w:szCs w:val="21"/>
                      </w:rPr>
                      <w:t>3</w:t>
                    </w:r>
                    <w:r>
                      <w:rPr>
                        <w:rFonts w:ascii="Times New Roman" w:cs="Times New Roman"/>
                        <w:szCs w:val="21"/>
                      </w:rPr>
                      <w:t>年</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112,986.49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0a8b1ad1c8d741279fdfef343d4a9485"/>
                <w:id w:val="865726982"/>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年以上</w:t>
                    </w:r>
                  </w:p>
                </w:tc>
              </w:sdtContent>
            </w:sdt>
            <w:tc>
              <w:tcPr>
                <w:tcW w:w="254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szCs w:val="21"/>
                  </w:rPr>
                  <w:t>591,503.31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a5e068719bf940b2b449eb719c2ac726"/>
                <w:id w:val="865726983"/>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至</w:t>
                    </w:r>
                    <w:r>
                      <w:rPr>
                        <w:rFonts w:ascii="Times New Roman" w:hAnsi="Times New Roman" w:cs="Times New Roman"/>
                        <w:szCs w:val="21"/>
                      </w:rPr>
                      <w:t>4</w:t>
                    </w:r>
                    <w:r>
                      <w:rPr>
                        <w:rFonts w:ascii="Times New Roman" w:cs="Times New Roman"/>
                        <w:szCs w:val="21"/>
                      </w:rPr>
                      <w:t>年</w:t>
                    </w:r>
                  </w:p>
                </w:tc>
              </w:sdtContent>
            </w:sdt>
            <w:tc>
              <w:tcPr>
                <w:tcW w:w="254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2c21885973f74a85b1bcce595393c67c"/>
                <w:id w:val="865726984"/>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至</w:t>
                    </w:r>
                    <w:r>
                      <w:rPr>
                        <w:rFonts w:ascii="Times New Roman" w:hAnsi="Times New Roman" w:cs="Times New Roman"/>
                        <w:szCs w:val="21"/>
                      </w:rPr>
                      <w:t>5</w:t>
                    </w:r>
                    <w:r>
                      <w:rPr>
                        <w:rFonts w:ascii="Times New Roman" w:cs="Times New Roman"/>
                        <w:szCs w:val="21"/>
                      </w:rPr>
                      <w:t>年</w:t>
                    </w:r>
                  </w:p>
                </w:tc>
              </w:sdtContent>
            </w:sdt>
            <w:tc>
              <w:tcPr>
                <w:tcW w:w="254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02f976cd9e144b12bbb6cc4715ee8be6"/>
                <w:id w:val="865726985"/>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5</w:t>
                    </w:r>
                    <w:r>
                      <w:rPr>
                        <w:rFonts w:ascii="Times New Roman" w:cs="Times New Roman"/>
                        <w:szCs w:val="21"/>
                      </w:rPr>
                      <w:t>年以上</w:t>
                    </w:r>
                  </w:p>
                </w:tc>
              </w:sdtContent>
            </w:sdt>
            <w:tc>
              <w:tcPr>
                <w:tcW w:w="254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szCs w:val="21"/>
                  </w:rPr>
                  <w:t>30,308,580.75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imes New Roman" w:hAnsi="Times New Roman" w:cs="Times New Roman"/>
                </w:rPr>
                <w:tag w:val="_PLD_a4d3a76dbc2f4319a93b8e99313ee064"/>
                <w:id w:val="865726988"/>
                <w:lock w:val="sdtLocked"/>
              </w:sdtPr>
              <w:sdtEndPr>
                <w:rPr>
                  <w:rFonts w:ascii="Times New Roman" w:hAnsi="Times New Roman" w:cs="Times New Roman"/>
                </w:rPr>
              </w:sdtEndPr>
              <w:sdtContent>
                <w:tc>
                  <w:tcPr>
                    <w:tcW w:w="245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合计</w:t>
                    </w:r>
                  </w:p>
                </w:tc>
              </w:sdtContent>
            </w:sdt>
            <w:tc>
              <w:tcPr>
                <w:tcW w:w="2544" w:type="pct"/>
                <w:tcBorders>
                  <w:top w:val="single" w:color="auto" w:sz="4" w:space="0"/>
                  <w:left w:val="single" w:color="auto" w:sz="4" w:space="0"/>
                  <w:bottom w:val="single" w:color="auto" w:sz="4" w:space="0"/>
                  <w:right w:val="single" w:color="auto" w:sz="4" w:space="0"/>
                </w:tcBorders>
              </w:tcPr>
              <w:p>
                <w:pPr>
                  <w:jc w:val="right"/>
                  <w:rPr>
                    <w:rFonts w:ascii="Times New Roman" w:hAnsi="Times New Roman" w:cs="Times New Roman"/>
                    <w:szCs w:val="21"/>
                  </w:rPr>
                </w:pPr>
                <w:r>
                  <w:rPr>
                    <w:rFonts w:ascii="Times New Roman" w:hAnsi="Times New Roman" w:cs="Times New Roman"/>
                    <w:szCs w:val="21"/>
                  </w:rPr>
                  <w:t>74,728,480.14</w:t>
                </w:r>
              </w:p>
            </w:tc>
          </w:tr>
        </w:tbl>
        <w:p/>
        <w:p>
          <w:pPr>
            <w:sectPr>
              <w:pgSz w:w="11906" w:h="16838"/>
              <w:pgMar w:top="1440" w:right="1797" w:bottom="1525" w:left="1276" w:header="856" w:footer="992" w:gutter="0"/>
              <w:cols w:space="425" w:num="1"/>
              <w:docGrid w:linePitch="312" w:charSpace="0"/>
            </w:sectPr>
          </w:pPr>
        </w:p>
        <w:p/>
      </w:sdtContent>
    </w:sdt>
    <w:bookmarkEnd w:id="226"/>
    <w:sdt>
      <w:sdtPr>
        <w:rPr>
          <w:rFonts w:hint="eastAsia" w:ascii="宋体" w:hAnsi="宋体" w:eastAsia="宋体" w:cs="宋体"/>
          <w:b w:val="0"/>
          <w:bCs w:val="0"/>
          <w:kern w:val="0"/>
          <w:szCs w:val="24"/>
        </w:rPr>
        <w:alias w:val="模块:按坏账计提方法分类披露"/>
        <w:tag w:val="_SEC_131d28c67a9247ee8559c47dff9a25ad"/>
        <w:id w:val="865727023"/>
        <w:lock w:val="sdtLocked"/>
        <w:placeholder>
          <w:docPart w:val="GBC22222222222222222222222222222"/>
        </w:placeholder>
      </w:sdtPr>
      <w:sdtEndPr>
        <w:rPr>
          <w:rFonts w:hint="default" w:cs="Times New Roman" w:asciiTheme="minorEastAsia" w:hAnsiTheme="minorEastAsia" w:eastAsiaTheme="minorEastAsia"/>
          <w:b/>
          <w:bCs/>
          <w:kern w:val="2"/>
          <w:szCs w:val="28"/>
        </w:rPr>
      </w:sdtEndPr>
      <w:sdtContent>
        <w:p>
          <w:pPr>
            <w:pStyle w:val="5"/>
            <w:numPr>
              <w:ilvl w:val="3"/>
              <w:numId w:val="133"/>
            </w:numPr>
            <w:ind w:left="424" w:hanging="424" w:hangingChars="202"/>
          </w:pPr>
          <w:bookmarkStart w:id="227" w:name="_Hlk533796703"/>
          <w:r>
            <w:rPr>
              <w:rFonts w:hint="eastAsia"/>
            </w:rPr>
            <w:t>按坏账计提方法分类披露</w:t>
          </w:r>
        </w:p>
        <w:sdt>
          <w:sdtPr>
            <w:alias w:val="是否适用：母公司应收账款按坏账计提方法分类披露[双击切换]"/>
            <w:tag w:val="_GBC_7881b37ba62844928bb3a0f84fa1312c"/>
            <w:id w:val="-1162465994"/>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pStyle w:val="55"/>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坏账计提方法分类披露"/>
              <w:tag w:val="_GBC_b8d2fec8e15e43c8b9a141c04cb5fea0"/>
              <w:id w:val="17232485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1424"/>
            <w:gridCol w:w="975"/>
            <w:gridCol w:w="1424"/>
            <w:gridCol w:w="1004"/>
            <w:gridCol w:w="1424"/>
            <w:gridCol w:w="1424"/>
            <w:gridCol w:w="1005"/>
            <w:gridCol w:w="1424"/>
            <w:gridCol w:w="1027"/>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tag w:val="_PLD_0b6f94bf734a49f28ff9eb2211eccc4e"/>
                <w:id w:val="-166714802"/>
                <w:lock w:val="sdtLocked"/>
              </w:sdtPr>
              <w:sdtContent>
                <w:tc>
                  <w:tcPr>
                    <w:tcW w:w="776"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类别</w:t>
                    </w:r>
                  </w:p>
                </w:tc>
              </w:sdtContent>
            </w:sdt>
            <w:sdt>
              <w:sdtPr>
                <w:tag w:val="_PLD_cadda055920649559b4578dc73b6f05e"/>
                <w:id w:val="1529688754"/>
                <w:lock w:val="sdtLocked"/>
              </w:sdtPr>
              <w:sdtContent>
                <w:tc>
                  <w:tcPr>
                    <w:tcW w:w="2086"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640311157"/>
                <w:lock w:val="sdtLocked"/>
              </w:sdtPr>
              <w:sdtContent>
                <w:tc>
                  <w:tcPr>
                    <w:tcW w:w="2138"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776" w:type="pct"/>
                <w:vMerge w:val="continue"/>
                <w:tcBorders>
                  <w:left w:val="single" w:color="auto" w:sz="4" w:space="0"/>
                  <w:right w:val="single" w:color="auto" w:sz="4" w:space="0"/>
                </w:tcBorders>
                <w:vAlign w:val="center"/>
              </w:tcPr>
              <w:p>
                <w:pPr>
                  <w:rPr>
                    <w:szCs w:val="21"/>
                  </w:rPr>
                </w:pPr>
              </w:p>
            </w:tc>
            <w:sdt>
              <w:sdtPr>
                <w:tag w:val="_PLD_b6e4cad360f948d68bd5af2c3f52e83a"/>
                <w:id w:val="1473872378"/>
                <w:lock w:val="sdtLocked"/>
              </w:sdtPr>
              <w:sdtContent>
                <w:tc>
                  <w:tcPr>
                    <w:tcW w:w="835"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1812a70770914fa4b8145f493ad4c468"/>
                <w:id w:val="-1062859588"/>
                <w:lock w:val="sdtLocked"/>
              </w:sdtPr>
              <w:sdtContent>
                <w:tc>
                  <w:tcPr>
                    <w:tcW w:w="838"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970be2ae3a84456bb0feb4eb360d2b2f"/>
                <w:id w:val="-1044594703"/>
                <w:lock w:val="sdtLocked"/>
              </w:sdtPr>
              <w:sdtContent>
                <w:tc>
                  <w:tcPr>
                    <w:tcW w:w="413"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sdt>
              <w:sdtPr>
                <w:tag w:val="_PLD_be04f05fbfa341e1a7546ee304164c92"/>
                <w:id w:val="-379939796"/>
                <w:lock w:val="sdtLocked"/>
              </w:sdtPr>
              <w:sdtContent>
                <w:tc>
                  <w:tcPr>
                    <w:tcW w:w="861"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708baf88b6ab4f6ca208582ef2033d3e"/>
                <w:id w:val="-997103927"/>
                <w:lock w:val="sdtLocked"/>
              </w:sdtPr>
              <w:sdtContent>
                <w:tc>
                  <w:tcPr>
                    <w:tcW w:w="866"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7c2453d3d43547428eaaafae8df8b7d0"/>
                <w:id w:val="-1847857573"/>
                <w:lock w:val="sdtLocked"/>
              </w:sdtPr>
              <w:sdtContent>
                <w:tc>
                  <w:tcPr>
                    <w:tcW w:w="411"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76" w:type="pct"/>
                <w:vMerge w:val="continue"/>
                <w:tcBorders>
                  <w:left w:val="single" w:color="auto" w:sz="4" w:space="0"/>
                  <w:bottom w:val="single" w:color="auto" w:sz="4" w:space="0"/>
                  <w:right w:val="single" w:color="auto" w:sz="4" w:space="0"/>
                </w:tcBorders>
                <w:vAlign w:val="center"/>
              </w:tcPr>
              <w:p>
                <w:pPr>
                  <w:rPr>
                    <w:szCs w:val="21"/>
                  </w:rPr>
                </w:pPr>
              </w:p>
            </w:tc>
            <w:sdt>
              <w:sdtPr>
                <w:tag w:val="_PLD_c5c981ae53b144af90139d228c5285af"/>
                <w:id w:val="-2116127675"/>
                <w:lock w:val="sdtLocked"/>
              </w:sdtPr>
              <w:sdtContent>
                <w:tc>
                  <w:tcPr>
                    <w:tcW w:w="420"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c62cdb22fba648808acfebda9f29289b"/>
                <w:id w:val="-809088748"/>
                <w:lock w:val="sdtLocked"/>
              </w:sdtPr>
              <w:sdtContent>
                <w:tc>
                  <w:tcPr>
                    <w:tcW w:w="415"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d259a31756a946a6a441328cc78413fc"/>
                <w:id w:val="-549928909"/>
                <w:lock w:val="sdtLocked"/>
              </w:sdtPr>
              <w:sdtContent>
                <w:tc>
                  <w:tcPr>
                    <w:tcW w:w="41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f74078100e7348efb6fa93b2ac934809"/>
                <w:id w:val="-817646643"/>
                <w:lock w:val="sdtLocked"/>
              </w:sdtPr>
              <w:sdtContent>
                <w:tc>
                  <w:tcPr>
                    <w:tcW w:w="425"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413" w:type="pct"/>
                <w:vMerge w:val="continue"/>
                <w:tcBorders>
                  <w:left w:val="single" w:color="auto" w:sz="4" w:space="0"/>
                  <w:bottom w:val="single" w:color="auto" w:sz="4" w:space="0"/>
                  <w:right w:val="single" w:color="auto" w:sz="4" w:space="0"/>
                </w:tcBorders>
                <w:vAlign w:val="center"/>
              </w:tcPr>
              <w:p>
                <w:pPr>
                  <w:jc w:val="center"/>
                  <w:rPr>
                    <w:szCs w:val="21"/>
                  </w:rPr>
                </w:pPr>
              </w:p>
            </w:tc>
            <w:sdt>
              <w:sdtPr>
                <w:tag w:val="_PLD_4b188b463cd04b5f935c04bb97091ad7"/>
                <w:id w:val="641861184"/>
                <w:lock w:val="sdtLocked"/>
              </w:sdtPr>
              <w:sdtContent>
                <w:tc>
                  <w:tcPr>
                    <w:tcW w:w="436"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0eb49b8077f24050b883fe1c83156c6a"/>
                <w:id w:val="107787639"/>
                <w:lock w:val="sdtLocked"/>
              </w:sdtPr>
              <w:sdtContent>
                <w:tc>
                  <w:tcPr>
                    <w:tcW w:w="425"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97b959dafb2649fe9097ba91d4d77a2f"/>
                <w:id w:val="-82072680"/>
                <w:lock w:val="sdtLocked"/>
              </w:sdtPr>
              <w:sdtContent>
                <w:tc>
                  <w:tcPr>
                    <w:tcW w:w="43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99dda048c2a04725a5d8bfac8b356378"/>
                <w:id w:val="1059521961"/>
                <w:lock w:val="sdtLocked"/>
              </w:sdtPr>
              <w:sdtContent>
                <w:tc>
                  <w:tcPr>
                    <w:tcW w:w="43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411" w:type="pct"/>
                <w:vMerge w:val="continue"/>
                <w:tcBorders>
                  <w:left w:val="single" w:color="auto" w:sz="4" w:space="0"/>
                  <w:bottom w:val="single" w:color="auto" w:sz="4" w:space="0"/>
                  <w:right w:val="single" w:color="auto" w:sz="4" w:space="0"/>
                </w:tcBorders>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7a3f21ad6f864652825afd18ffbed3d5"/>
                <w:id w:val="1587812769"/>
                <w:lock w:val="sdtLocked"/>
              </w:sdtPr>
              <w:sdtContent>
                <w:tc>
                  <w:tcPr>
                    <w:tcW w:w="776"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按单项计提坏账准备</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19,770,146.05</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26.46</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19,770,146.05</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19,770,146.05</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30.16</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19,770,146.05</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100</w:t>
                </w: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b482c2c63c82442b8be7b0cffa7694c4"/>
                <w:id w:val="35019131"/>
                <w:lock w:val="sdtLocked"/>
              </w:sdtPr>
              <w:sdtEndPr>
                <w:rPr>
                  <w:rFonts w:ascii="Times New Roman" w:hAnsi="Times New Roman" w:cs="Times New Roman"/>
                </w:rPr>
              </w:sdtEndPr>
              <w:sdtContent>
                <w:tc>
                  <w:tcPr>
                    <w:tcW w:w="5000" w:type="pct"/>
                    <w:gridSpan w:val="11"/>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szCs w:val="21"/>
                      </w:rPr>
                      <w:t>其中：</w:t>
                    </w:r>
                  </w:p>
                </w:tc>
              </w:sdtContent>
            </w:sdt>
          </w:tr>
          <w:sdt>
            <w:sdtPr>
              <w:rPr>
                <w:szCs w:val="21"/>
              </w:rPr>
              <w:alias w:val="按单项计提坏账准备的应收账款明细"/>
              <w:tag w:val="_TUP_fad94924adde49daa7a25c341a0ed979"/>
              <w:id w:val="50286352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单项计提坏账准备的应收账款明细-类别"/>
                    <w:tag w:val="_GBC_8bce54839ffd46eb912136d37cd80cc4"/>
                    <w:id w:val="906113141"/>
                    <w:lock w:val="sdtLocked"/>
                  </w:sdtPr>
                  <w:sdtEndPr>
                    <w:rPr>
                      <w:szCs w:val="21"/>
                    </w:rPr>
                  </w:sdtEndPr>
                  <w:sdtContent>
                    <w:tc>
                      <w:tcPr>
                        <w:tcW w:w="776"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szCs w:val="21"/>
                          </w:rPr>
                          <w:t>单项计提预期信用损失的应收账款</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19,770,146.05</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26.46</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19,770,146.05</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100</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19,770,146.05</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30.16</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19,770,146.05</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100</w:t>
                    </w: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sdtContent>
          </w:sdt>
          <w:sdt>
            <w:sdtPr>
              <w:rPr>
                <w:szCs w:val="21"/>
              </w:rPr>
              <w:alias w:val="按单项计提坏账准备的应收账款明细"/>
              <w:tag w:val="_TUP_fad94924adde49daa7a25c341a0ed979"/>
              <w:id w:val="20105693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单项计提坏账准备的应收账款明细-类别"/>
                    <w:tag w:val="_GBC_8bce54839ffd46eb912136d37cd80cc4"/>
                    <w:id w:val="201056931"/>
                    <w:lock w:val="sdtLocked"/>
                    <w:showingPlcHdr/>
                  </w:sdtPr>
                  <w:sdtEndPr>
                    <w:rPr>
                      <w:szCs w:val="21"/>
                    </w:rPr>
                  </w:sdtEndPr>
                  <w:sdtContent>
                    <w:tc>
                      <w:tcPr>
                        <w:tcW w:w="776"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rFonts w:hint="eastAsia"/>
                          </w:rPr>
                          <w:t>　</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2bffe1f94e84163b993cc9c68974aa3"/>
                <w:id w:val="919912611"/>
                <w:lock w:val="sdtLocked"/>
              </w:sdtPr>
              <w:sdtContent>
                <w:tc>
                  <w:tcPr>
                    <w:tcW w:w="776"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按组合计提坏账准备</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54,958,334.09</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73.54</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10,988,378.77</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19.99</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43,969,955.32</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45,780,544.42</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69.84</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10,426,145.84</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22.77</w:t>
                </w: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3e90aa50b20c494dafda2d9726e46570"/>
                <w:id w:val="1777983559"/>
                <w:lock w:val="sdtLocked"/>
              </w:sdtPr>
              <w:sdtEndPr>
                <w:rPr>
                  <w:rFonts w:ascii="Times New Roman" w:hAnsi="Times New Roman" w:cs="Times New Roman"/>
                </w:rPr>
              </w:sdtEndPr>
              <w:sdtContent>
                <w:tc>
                  <w:tcPr>
                    <w:tcW w:w="5000" w:type="pct"/>
                    <w:gridSpan w:val="11"/>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Cs w:val="21"/>
                      </w:rPr>
                    </w:pPr>
                    <w:r>
                      <w:rPr>
                        <w:rFonts w:ascii="Times New Roman" w:cs="Times New Roman"/>
                        <w:szCs w:val="21"/>
                      </w:rPr>
                      <w:t>其中：</w:t>
                    </w:r>
                  </w:p>
                </w:tc>
              </w:sdtContent>
            </w:sdt>
          </w:tr>
          <w:sdt>
            <w:sdtPr>
              <w:rPr>
                <w:szCs w:val="21"/>
              </w:rPr>
              <w:alias w:val="按组合计提坏账准备的应收账款明细"/>
              <w:tag w:val="_TUP_7a6c39545aaf46e8a7ac5c180ce248c9"/>
              <w:id w:val="184929750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组合计提坏账准备的应收账款明细-组合名称"/>
                    <w:tag w:val="_GBC_bb95ca191c6548418732405aecc5c303"/>
                    <w:id w:val="448054863"/>
                    <w:lock w:val="sdtLocked"/>
                  </w:sdtPr>
                  <w:sdtEndPr>
                    <w:rPr>
                      <w:szCs w:val="21"/>
                    </w:rPr>
                  </w:sdtEndPr>
                  <w:sdtContent>
                    <w:tc>
                      <w:tcPr>
                        <w:tcW w:w="776"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szCs w:val="21"/>
                          </w:rPr>
                          <w:t>（1）按账龄组合计提坏账准备的应收账款</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26,765,983.19</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35.82</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10,988,378.77</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41.05</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15,777,604.42</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28,108,167.49</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42.88</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10,426,145.84</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37.09</w:t>
                    </w: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sdtContent>
          </w:sdt>
          <w:sdt>
            <w:sdtPr>
              <w:rPr>
                <w:szCs w:val="21"/>
              </w:rPr>
              <w:alias w:val="按组合计提坏账准备的应收账款明细"/>
              <w:tag w:val="_TUP_7a6c39545aaf46e8a7ac5c180ce248c9"/>
              <w:id w:val="20105693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alias w:val="按组合计提坏账准备的应收账款明细-组合名称"/>
                    <w:tag w:val="_GBC_bb95ca191c6548418732405aecc5c303"/>
                    <w:id w:val="201056933"/>
                    <w:lock w:val="sdtLocked"/>
                  </w:sdtPr>
                  <w:sdtEndPr>
                    <w:rPr>
                      <w:szCs w:val="21"/>
                    </w:rPr>
                  </w:sdtEndPr>
                  <w:sdtContent>
                    <w:tc>
                      <w:tcPr>
                        <w:tcW w:w="776" w:type="pct"/>
                        <w:tcBorders>
                          <w:top w:val="single" w:color="auto" w:sz="4" w:space="0"/>
                          <w:left w:val="single" w:color="auto" w:sz="4" w:space="0"/>
                          <w:bottom w:val="single" w:color="auto" w:sz="4" w:space="0"/>
                          <w:right w:val="single" w:color="auto" w:sz="4" w:space="0"/>
                        </w:tcBorders>
                      </w:tcPr>
                      <w:p>
                        <w:pPr>
                          <w:jc w:val="both"/>
                          <w:rPr>
                            <w:color w:val="808080"/>
                            <w:szCs w:val="21"/>
                          </w:rPr>
                        </w:pPr>
                        <w:r>
                          <w:rPr>
                            <w:szCs w:val="21"/>
                          </w:rPr>
                          <w:t>（2）合并范围关联方</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28,192,350.90</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37.72</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28,192,350.90</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17,672,376.93</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26.96</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e313afc46a9f4b128ed746e538550a57"/>
                <w:id w:val="1604461546"/>
                <w:lock w:val="sdtLocked"/>
              </w:sdtPr>
              <w:sdtContent>
                <w:tc>
                  <w:tcPr>
                    <w:tcW w:w="7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合计</w:t>
                    </w:r>
                  </w:p>
                </w:tc>
              </w:sdtContent>
            </w:sdt>
            <w:tc>
              <w:tcPr>
                <w:tcW w:w="42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74,728,480.14</w:t>
                </w:r>
              </w:p>
            </w:tc>
            <w:tc>
              <w:tcPr>
                <w:tcW w:w="41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30,758,524.82</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43,969,955.32</w:t>
                </w: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65,550,690.47</w:t>
                </w:r>
              </w:p>
            </w:tc>
            <w:tc>
              <w:tcPr>
                <w:tcW w:w="42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30,196,291.89</w:t>
                </w:r>
              </w:p>
            </w:tc>
            <w:tc>
              <w:tcPr>
                <w:tcW w:w="43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szCs w:val="21"/>
                  </w:rPr>
                  <w:t>/</w:t>
                </w:r>
              </w:p>
            </w:tc>
            <w:tc>
              <w:tcPr>
                <w:tcW w:w="411" w:type="pct"/>
                <w:tcBorders>
                  <w:top w:val="single" w:color="auto" w:sz="4" w:space="0"/>
                  <w:left w:val="single" w:color="auto" w:sz="4" w:space="0"/>
                  <w:bottom w:val="single" w:color="auto" w:sz="4" w:space="0"/>
                  <w:right w:val="single" w:color="auto" w:sz="4" w:space="0"/>
                </w:tcBorders>
              </w:tcPr>
              <w:p>
                <w:pPr>
                  <w:jc w:val="right"/>
                  <w:rPr>
                    <w:szCs w:val="21"/>
                  </w:rPr>
                </w:pPr>
              </w:p>
            </w:tc>
          </w:tr>
        </w:tbl>
        <w:p/>
        <w:p>
          <w:pPr>
            <w:pStyle w:val="5"/>
            <w:sectPr>
              <w:pgSz w:w="16838" w:h="11906" w:orient="landscape"/>
              <w:pgMar w:top="1276" w:right="1440" w:bottom="1797" w:left="1525" w:header="856" w:footer="992" w:gutter="0"/>
              <w:cols w:space="425" w:num="1"/>
              <w:docGrid w:linePitch="312" w:charSpace="0"/>
            </w:sectPr>
          </w:pPr>
        </w:p>
        <w:p>
          <w:pPr>
            <w:pStyle w:val="5"/>
          </w:pPr>
        </w:p>
      </w:sdtContent>
    </w:sdt>
    <w:bookmarkEnd w:id="227"/>
    <w:sdt>
      <w:sdtPr>
        <w:rPr>
          <w:rFonts w:hint="eastAsia"/>
          <w:szCs w:val="21"/>
        </w:rPr>
        <w:alias w:val="模块:按单项计提坏账准备"/>
        <w:tag w:val="_SEC_8c8d26b6244849bea9eb936271eeb8f9"/>
        <w:id w:val="865727049"/>
        <w:lock w:val="sdtLocked"/>
        <w:placeholder>
          <w:docPart w:val="GBC22222222222222222222222222222"/>
        </w:placeholder>
      </w:sdtPr>
      <w:sdtEndPr>
        <w:rPr>
          <w:rFonts w:hint="default"/>
          <w:szCs w:val="24"/>
        </w:rPr>
      </w:sdtEndPr>
      <w:sdtContent>
        <w:p>
          <w:pPr>
            <w:rPr>
              <w:szCs w:val="21"/>
            </w:rPr>
          </w:pPr>
          <w:bookmarkStart w:id="228" w:name="_Hlk533796752"/>
          <w:r>
            <w:rPr>
              <w:rFonts w:hint="eastAsia"/>
              <w:szCs w:val="21"/>
            </w:rPr>
            <w:t>按单项计提坏账准备：</w:t>
          </w:r>
        </w:p>
        <w:sdt>
          <w:sdtPr>
            <w:alias w:val="是否适用：母公司应收账款按单项计提坏账准备[双击切换]"/>
            <w:tag w:val="_GBC_1cd34dae0bf14ebba3d99534844e7d95"/>
            <w:id w:val="86572702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位：</w:t>
          </w:r>
          <w:sdt>
            <w:sdtPr>
              <w:rPr>
                <w:rFonts w:hint="eastAsia"/>
                <w:szCs w:val="21"/>
              </w:rPr>
              <w:alias w:val="单位：母公司应收账款按单项计提坏账准备"/>
              <w:tag w:val="_GBC_92bc20ad98a2451daf91a5a49b199fd6"/>
              <w:id w:val="865727025"/>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86572702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699"/>
            <w:gridCol w:w="1701"/>
            <w:gridCol w:w="1699"/>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bf06f48741cf4f8683629bc86fe4253a"/>
                <w:id w:val="865727027"/>
                <w:lock w:val="sdtLocked"/>
              </w:sdtPr>
              <w:sdtEndPr>
                <w:rPr>
                  <w:rFonts w:ascii="Times New Roman" w:hAnsi="Times New Roman" w:cs="Times New Roman"/>
                </w:rPr>
              </w:sdtEndPr>
              <w:sdtContent>
                <w:tc>
                  <w:tcPr>
                    <w:tcW w:w="1160" w:type="pct"/>
                    <w:vMerge w:val="restart"/>
                    <w:vAlign w:val="center"/>
                  </w:tcPr>
                  <w:p>
                    <w:pPr>
                      <w:jc w:val="center"/>
                      <w:rPr>
                        <w:rFonts w:ascii="Times New Roman" w:hAnsi="Times New Roman" w:cs="Times New Roman"/>
                        <w:szCs w:val="21"/>
                      </w:rPr>
                    </w:pPr>
                    <w:r>
                      <w:rPr>
                        <w:rFonts w:ascii="Times New Roman" w:cs="Times New Roman"/>
                        <w:szCs w:val="21"/>
                      </w:rPr>
                      <w:t>名称</w:t>
                    </w:r>
                  </w:p>
                </w:tc>
              </w:sdtContent>
            </w:sdt>
            <w:sdt>
              <w:sdtPr>
                <w:rPr>
                  <w:rFonts w:ascii="Times New Roman" w:hAnsi="Times New Roman" w:cs="Times New Roman"/>
                </w:rPr>
                <w:tag w:val="_PLD_e8eabae632cb4a738dba30bece28c3a8"/>
                <w:id w:val="865727028"/>
                <w:lock w:val="sdtLocked"/>
              </w:sdtPr>
              <w:sdtEndPr>
                <w:rPr>
                  <w:rFonts w:ascii="Times New Roman" w:hAnsi="Times New Roman" w:cs="Times New Roman"/>
                </w:rPr>
              </w:sdtEndPr>
              <w:sdtContent>
                <w:tc>
                  <w:tcPr>
                    <w:tcW w:w="3840" w:type="pct"/>
                    <w:gridSpan w:val="4"/>
                    <w:vAlign w:val="center"/>
                  </w:tcPr>
                  <w:p>
                    <w:pPr>
                      <w:jc w:val="center"/>
                      <w:rPr>
                        <w:rFonts w:ascii="Times New Roman" w:hAnsi="Times New Roman" w:cs="Times New Roman"/>
                        <w:szCs w:val="21"/>
                      </w:rPr>
                    </w:pPr>
                    <w:r>
                      <w:rPr>
                        <w:rFonts w:ascii="Times New Roman" w:cs="Times New Roman"/>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Merge w:val="continue"/>
              </w:tcPr>
              <w:p>
                <w:pPr>
                  <w:jc w:val="center"/>
                  <w:rPr>
                    <w:rFonts w:ascii="Times New Roman" w:hAnsi="Times New Roman" w:cs="Times New Roman"/>
                    <w:szCs w:val="21"/>
                  </w:rPr>
                </w:pPr>
              </w:p>
            </w:tc>
            <w:sdt>
              <w:sdtPr>
                <w:rPr>
                  <w:rFonts w:ascii="Times New Roman" w:hAnsi="Times New Roman" w:cs="Times New Roman"/>
                </w:rPr>
                <w:tag w:val="_PLD_0ea49c9284ac4750b9c5ffe19ec4732c"/>
                <w:id w:val="865727029"/>
                <w:lock w:val="sdtLocked"/>
              </w:sdtPr>
              <w:sdtEndPr>
                <w:rPr>
                  <w:rFonts w:ascii="Times New Roman" w:hAnsi="Times New Roman" w:cs="Times New Roman"/>
                </w:rPr>
              </w:sdtEndPr>
              <w:sdtContent>
                <w:tc>
                  <w:tcPr>
                    <w:tcW w:w="939" w:type="pct"/>
                    <w:vAlign w:val="center"/>
                  </w:tcPr>
                  <w:p>
                    <w:pPr>
                      <w:jc w:val="center"/>
                      <w:rPr>
                        <w:rFonts w:ascii="Times New Roman" w:hAnsi="Times New Roman" w:cs="Times New Roman"/>
                        <w:szCs w:val="21"/>
                      </w:rPr>
                    </w:pPr>
                    <w:r>
                      <w:rPr>
                        <w:rFonts w:ascii="Times New Roman" w:cs="Times New Roman"/>
                        <w:szCs w:val="21"/>
                      </w:rPr>
                      <w:t>账面余额</w:t>
                    </w:r>
                  </w:p>
                </w:tc>
              </w:sdtContent>
            </w:sdt>
            <w:sdt>
              <w:sdtPr>
                <w:rPr>
                  <w:rFonts w:ascii="Times New Roman" w:hAnsi="Times New Roman" w:cs="Times New Roman"/>
                </w:rPr>
                <w:tag w:val="_PLD_4e5b035254d34ab286177f908a392849"/>
                <w:id w:val="865727030"/>
                <w:lock w:val="sdtLocked"/>
              </w:sdtPr>
              <w:sdtEndPr>
                <w:rPr>
                  <w:rFonts w:ascii="Times New Roman" w:hAnsi="Times New Roman" w:cs="Times New Roman"/>
                </w:rPr>
              </w:sdtEndPr>
              <w:sdtContent>
                <w:tc>
                  <w:tcPr>
                    <w:tcW w:w="940" w:type="pct"/>
                    <w:vAlign w:val="center"/>
                  </w:tcPr>
                  <w:p>
                    <w:pPr>
                      <w:jc w:val="center"/>
                      <w:rPr>
                        <w:rFonts w:ascii="Times New Roman" w:hAnsi="Times New Roman" w:cs="Times New Roman"/>
                        <w:szCs w:val="21"/>
                      </w:rPr>
                    </w:pPr>
                    <w:r>
                      <w:rPr>
                        <w:rFonts w:ascii="Times New Roman" w:cs="Times New Roman"/>
                        <w:szCs w:val="21"/>
                      </w:rPr>
                      <w:t>坏账准备</w:t>
                    </w:r>
                  </w:p>
                </w:tc>
              </w:sdtContent>
            </w:sdt>
            <w:sdt>
              <w:sdtPr>
                <w:rPr>
                  <w:rFonts w:ascii="Times New Roman" w:hAnsi="Times New Roman" w:cs="Times New Roman"/>
                </w:rPr>
                <w:tag w:val="_PLD_9316156bac3c45f593fc5f35e8e28833"/>
                <w:id w:val="865727031"/>
                <w:lock w:val="sdtLocked"/>
              </w:sdtPr>
              <w:sdtEndPr>
                <w:rPr>
                  <w:rFonts w:ascii="Times New Roman" w:hAnsi="Times New Roman" w:cs="Times New Roman"/>
                </w:rPr>
              </w:sdtEndPr>
              <w:sdtContent>
                <w:tc>
                  <w:tcPr>
                    <w:tcW w:w="939" w:type="pct"/>
                    <w:vAlign w:val="center"/>
                  </w:tcPr>
                  <w:p>
                    <w:pPr>
                      <w:jc w:val="center"/>
                      <w:rPr>
                        <w:rFonts w:ascii="Times New Roman" w:hAnsi="Times New Roman" w:cs="Times New Roman"/>
                        <w:szCs w:val="21"/>
                      </w:rPr>
                    </w:pPr>
                    <w:r>
                      <w:rPr>
                        <w:rFonts w:ascii="Times New Roman" w:cs="Times New Roman"/>
                        <w:szCs w:val="21"/>
                      </w:rPr>
                      <w:t>计提比例（</w:t>
                    </w:r>
                    <w:r>
                      <w:rPr>
                        <w:rFonts w:ascii="Times New Roman" w:hAnsi="Times New Roman" w:cs="Times New Roman"/>
                        <w:szCs w:val="21"/>
                      </w:rPr>
                      <w:t>%</w:t>
                    </w:r>
                    <w:r>
                      <w:rPr>
                        <w:rFonts w:ascii="Times New Roman" w:cs="Times New Roman"/>
                        <w:szCs w:val="21"/>
                      </w:rPr>
                      <w:t>）</w:t>
                    </w:r>
                  </w:p>
                </w:tc>
              </w:sdtContent>
            </w:sdt>
            <w:sdt>
              <w:sdtPr>
                <w:rPr>
                  <w:rFonts w:ascii="Times New Roman" w:hAnsi="Times New Roman" w:cs="Times New Roman"/>
                </w:rPr>
                <w:tag w:val="_PLD_20dce80930bd4c9eb9bd96af960a880b"/>
                <w:id w:val="865727032"/>
                <w:lock w:val="sdtLocked"/>
              </w:sdtPr>
              <w:sdtEndPr>
                <w:rPr>
                  <w:rFonts w:ascii="Times New Roman" w:hAnsi="Times New Roman" w:cs="Times New Roman"/>
                </w:rPr>
              </w:sdtEndPr>
              <w:sdtContent>
                <w:tc>
                  <w:tcPr>
                    <w:tcW w:w="1023" w:type="pct"/>
                    <w:vAlign w:val="center"/>
                  </w:tcPr>
                  <w:p>
                    <w:pPr>
                      <w:jc w:val="center"/>
                      <w:rPr>
                        <w:rFonts w:ascii="Times New Roman" w:hAnsi="Times New Roman" w:cs="Times New Roman"/>
                        <w:szCs w:val="21"/>
                      </w:rPr>
                    </w:pPr>
                    <w:r>
                      <w:rPr>
                        <w:rFonts w:ascii="Times New Roman" w:cs="Times New Roman"/>
                        <w:szCs w:val="21"/>
                      </w:rPr>
                      <w:t>计提理由</w:t>
                    </w:r>
                  </w:p>
                </w:tc>
              </w:sdtContent>
            </w:sdt>
          </w:tr>
          <w:sdt>
            <w:sdtPr>
              <w:rPr>
                <w:rFonts w:ascii="Times New Roman" w:hAnsi="Times New Roman" w:cs="Times New Roman"/>
                <w:color w:val="008000"/>
                <w:szCs w:val="21"/>
              </w:rPr>
              <w:alias w:val="按单项计提坏账准备的应收账款详细名称明细"/>
              <w:tag w:val="_TUP_a538d0f9ff944b9a81ddc273839cdc90"/>
              <w:id w:val="865727033"/>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上海诗玛尔家居用品有限公司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15,609,244.47</w:t>
                    </w:r>
                  </w:p>
                </w:tc>
                <w:tc>
                  <w:tcPr>
                    <w:tcW w:w="940" w:type="pct"/>
                    <w:vAlign w:val="center"/>
                  </w:tcPr>
                  <w:p>
                    <w:pPr>
                      <w:jc w:val="right"/>
                      <w:rPr>
                        <w:rFonts w:ascii="Times New Roman" w:hAnsi="Times New Roman" w:cs="Times New Roman"/>
                        <w:szCs w:val="21"/>
                      </w:rPr>
                    </w:pPr>
                    <w:r>
                      <w:rPr>
                        <w:rFonts w:ascii="Times New Roman" w:hAnsi="Times New Roman" w:cs="Times New Roman"/>
                      </w:rPr>
                      <w:t>15,609,244.47</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34"/>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柳州市泓博纸业有限公司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738,022.05</w:t>
                    </w:r>
                  </w:p>
                </w:tc>
                <w:tc>
                  <w:tcPr>
                    <w:tcW w:w="940" w:type="pct"/>
                    <w:vAlign w:val="center"/>
                  </w:tcPr>
                  <w:p>
                    <w:pPr>
                      <w:jc w:val="right"/>
                      <w:rPr>
                        <w:rFonts w:ascii="Times New Roman" w:hAnsi="Times New Roman" w:cs="Times New Roman"/>
                        <w:szCs w:val="21"/>
                      </w:rPr>
                    </w:pPr>
                    <w:r>
                      <w:rPr>
                        <w:rFonts w:ascii="Times New Roman" w:hAnsi="Times New Roman" w:cs="Times New Roman"/>
                      </w:rPr>
                      <w:t>738,022.05</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35"/>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玉林日用品经营部</w:t>
                    </w:r>
                  </w:p>
                </w:tc>
                <w:tc>
                  <w:tcPr>
                    <w:tcW w:w="939" w:type="pct"/>
                    <w:vAlign w:val="center"/>
                  </w:tcPr>
                  <w:p>
                    <w:pPr>
                      <w:jc w:val="right"/>
                      <w:rPr>
                        <w:rFonts w:ascii="Times New Roman" w:hAnsi="Times New Roman" w:cs="Times New Roman"/>
                        <w:szCs w:val="21"/>
                      </w:rPr>
                    </w:pPr>
                    <w:r>
                      <w:rPr>
                        <w:rFonts w:ascii="Times New Roman" w:hAnsi="Times New Roman" w:cs="Times New Roman"/>
                      </w:rPr>
                      <w:t>616,115.30</w:t>
                    </w:r>
                  </w:p>
                </w:tc>
                <w:tc>
                  <w:tcPr>
                    <w:tcW w:w="940" w:type="pct"/>
                    <w:vAlign w:val="center"/>
                  </w:tcPr>
                  <w:p>
                    <w:pPr>
                      <w:jc w:val="right"/>
                      <w:rPr>
                        <w:rFonts w:ascii="Times New Roman" w:hAnsi="Times New Roman" w:cs="Times New Roman"/>
                        <w:szCs w:val="21"/>
                      </w:rPr>
                    </w:pPr>
                    <w:r>
                      <w:rPr>
                        <w:rFonts w:ascii="Times New Roman" w:hAnsi="Times New Roman" w:cs="Times New Roman"/>
                      </w:rPr>
                      <w:t>616,115.30</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36"/>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长春市粤惠洗涤化妆品公司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554,277.71</w:t>
                    </w:r>
                  </w:p>
                </w:tc>
                <w:tc>
                  <w:tcPr>
                    <w:tcW w:w="940" w:type="pct"/>
                    <w:vAlign w:val="center"/>
                  </w:tcPr>
                  <w:p>
                    <w:pPr>
                      <w:jc w:val="right"/>
                      <w:rPr>
                        <w:rFonts w:ascii="Times New Roman" w:hAnsi="Times New Roman" w:cs="Times New Roman"/>
                        <w:szCs w:val="21"/>
                      </w:rPr>
                    </w:pPr>
                    <w:r>
                      <w:rPr>
                        <w:rFonts w:ascii="Times New Roman" w:hAnsi="Times New Roman" w:cs="Times New Roman"/>
                      </w:rPr>
                      <w:t>554,277.71</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37"/>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苏果超市有限公司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401,957.93</w:t>
                    </w:r>
                  </w:p>
                </w:tc>
                <w:tc>
                  <w:tcPr>
                    <w:tcW w:w="940" w:type="pct"/>
                    <w:vAlign w:val="center"/>
                  </w:tcPr>
                  <w:p>
                    <w:pPr>
                      <w:jc w:val="right"/>
                      <w:rPr>
                        <w:rFonts w:ascii="Times New Roman" w:hAnsi="Times New Roman" w:cs="Times New Roman"/>
                        <w:szCs w:val="21"/>
                      </w:rPr>
                    </w:pPr>
                    <w:r>
                      <w:rPr>
                        <w:rFonts w:ascii="Times New Roman" w:hAnsi="Times New Roman" w:cs="Times New Roman"/>
                      </w:rPr>
                      <w:t>401,957.93</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38"/>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杭州星城百货有限公司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315,454.79</w:t>
                    </w:r>
                  </w:p>
                </w:tc>
                <w:tc>
                  <w:tcPr>
                    <w:tcW w:w="940" w:type="pct"/>
                    <w:vAlign w:val="center"/>
                  </w:tcPr>
                  <w:p>
                    <w:pPr>
                      <w:jc w:val="right"/>
                      <w:rPr>
                        <w:rFonts w:ascii="Times New Roman" w:hAnsi="Times New Roman" w:cs="Times New Roman"/>
                        <w:szCs w:val="21"/>
                      </w:rPr>
                    </w:pPr>
                    <w:r>
                      <w:rPr>
                        <w:rFonts w:ascii="Times New Roman" w:hAnsi="Times New Roman" w:cs="Times New Roman"/>
                      </w:rPr>
                      <w:t>315,454.79</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39"/>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梧州雅惠商贸有限公司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199,126.81</w:t>
                    </w:r>
                  </w:p>
                </w:tc>
                <w:tc>
                  <w:tcPr>
                    <w:tcW w:w="940" w:type="pct"/>
                    <w:vAlign w:val="center"/>
                  </w:tcPr>
                  <w:p>
                    <w:pPr>
                      <w:jc w:val="right"/>
                      <w:rPr>
                        <w:rFonts w:ascii="Times New Roman" w:hAnsi="Times New Roman" w:cs="Times New Roman"/>
                        <w:szCs w:val="21"/>
                      </w:rPr>
                    </w:pPr>
                    <w:r>
                      <w:rPr>
                        <w:rFonts w:ascii="Times New Roman" w:hAnsi="Times New Roman" w:cs="Times New Roman"/>
                      </w:rPr>
                      <w:t>199,126.81</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40"/>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贵港市永兴百货经营部</w:t>
                    </w:r>
                  </w:p>
                </w:tc>
                <w:tc>
                  <w:tcPr>
                    <w:tcW w:w="939" w:type="pct"/>
                    <w:vAlign w:val="center"/>
                  </w:tcPr>
                  <w:p>
                    <w:pPr>
                      <w:jc w:val="right"/>
                      <w:rPr>
                        <w:rFonts w:ascii="Times New Roman" w:hAnsi="Times New Roman" w:cs="Times New Roman"/>
                        <w:szCs w:val="21"/>
                      </w:rPr>
                    </w:pPr>
                    <w:r>
                      <w:rPr>
                        <w:rFonts w:ascii="Times New Roman" w:hAnsi="Times New Roman" w:cs="Times New Roman"/>
                      </w:rPr>
                      <w:t>178,605.59</w:t>
                    </w:r>
                  </w:p>
                </w:tc>
                <w:tc>
                  <w:tcPr>
                    <w:tcW w:w="940" w:type="pct"/>
                    <w:vAlign w:val="center"/>
                  </w:tcPr>
                  <w:p>
                    <w:pPr>
                      <w:jc w:val="right"/>
                      <w:rPr>
                        <w:rFonts w:ascii="Times New Roman" w:hAnsi="Times New Roman" w:cs="Times New Roman"/>
                        <w:szCs w:val="21"/>
                      </w:rPr>
                    </w:pPr>
                    <w:r>
                      <w:rPr>
                        <w:rFonts w:ascii="Times New Roman" w:hAnsi="Times New Roman" w:cs="Times New Roman"/>
                      </w:rPr>
                      <w:t>178,605.59</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41"/>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沈阳市益霆商贸公司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168,917.94</w:t>
                    </w:r>
                  </w:p>
                </w:tc>
                <w:tc>
                  <w:tcPr>
                    <w:tcW w:w="940" w:type="pct"/>
                    <w:vAlign w:val="center"/>
                  </w:tcPr>
                  <w:p>
                    <w:pPr>
                      <w:jc w:val="right"/>
                      <w:rPr>
                        <w:rFonts w:ascii="Times New Roman" w:hAnsi="Times New Roman" w:cs="Times New Roman"/>
                        <w:szCs w:val="21"/>
                      </w:rPr>
                    </w:pPr>
                    <w:r>
                      <w:rPr>
                        <w:rFonts w:ascii="Times New Roman" w:hAnsi="Times New Roman" w:cs="Times New Roman"/>
                      </w:rPr>
                      <w:t>168,917.94</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42"/>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广西百家惠商贸有限公司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138,664.68</w:t>
                    </w:r>
                  </w:p>
                </w:tc>
                <w:tc>
                  <w:tcPr>
                    <w:tcW w:w="940" w:type="pct"/>
                    <w:vAlign w:val="center"/>
                  </w:tcPr>
                  <w:p>
                    <w:pPr>
                      <w:jc w:val="right"/>
                      <w:rPr>
                        <w:rFonts w:ascii="Times New Roman" w:hAnsi="Times New Roman" w:cs="Times New Roman"/>
                        <w:szCs w:val="21"/>
                      </w:rPr>
                    </w:pPr>
                    <w:r>
                      <w:rPr>
                        <w:rFonts w:ascii="Times New Roman" w:hAnsi="Times New Roman" w:cs="Times New Roman"/>
                      </w:rPr>
                      <w:t>138,664.68</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43"/>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哈市秀梅商贸公司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133,022.68</w:t>
                    </w:r>
                  </w:p>
                </w:tc>
                <w:tc>
                  <w:tcPr>
                    <w:tcW w:w="940" w:type="pct"/>
                    <w:vAlign w:val="center"/>
                  </w:tcPr>
                  <w:p>
                    <w:pPr>
                      <w:jc w:val="right"/>
                      <w:rPr>
                        <w:rFonts w:ascii="Times New Roman" w:hAnsi="Times New Roman" w:cs="Times New Roman"/>
                        <w:szCs w:val="21"/>
                      </w:rPr>
                    </w:pPr>
                    <w:r>
                      <w:rPr>
                        <w:rFonts w:ascii="Times New Roman" w:hAnsi="Times New Roman" w:cs="Times New Roman"/>
                      </w:rPr>
                      <w:t>133,022.68</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44"/>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呼市玉泉区雪菲利百货经销部</w:t>
                    </w:r>
                  </w:p>
                </w:tc>
                <w:tc>
                  <w:tcPr>
                    <w:tcW w:w="939" w:type="pct"/>
                    <w:vAlign w:val="center"/>
                  </w:tcPr>
                  <w:p>
                    <w:pPr>
                      <w:jc w:val="right"/>
                      <w:rPr>
                        <w:rFonts w:ascii="Times New Roman" w:hAnsi="Times New Roman" w:cs="Times New Roman"/>
                        <w:szCs w:val="21"/>
                      </w:rPr>
                    </w:pPr>
                    <w:r>
                      <w:rPr>
                        <w:rFonts w:ascii="Times New Roman" w:hAnsi="Times New Roman" w:cs="Times New Roman"/>
                      </w:rPr>
                      <w:t>129,099.28</w:t>
                    </w:r>
                  </w:p>
                </w:tc>
                <w:tc>
                  <w:tcPr>
                    <w:tcW w:w="940" w:type="pct"/>
                    <w:vAlign w:val="center"/>
                  </w:tcPr>
                  <w:p>
                    <w:pPr>
                      <w:jc w:val="right"/>
                      <w:rPr>
                        <w:rFonts w:ascii="Times New Roman" w:hAnsi="Times New Roman" w:cs="Times New Roman"/>
                        <w:szCs w:val="21"/>
                      </w:rPr>
                    </w:pPr>
                    <w:r>
                      <w:rPr>
                        <w:rFonts w:ascii="Times New Roman" w:hAnsi="Times New Roman" w:cs="Times New Roman"/>
                      </w:rPr>
                      <w:t>129,099.28</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45"/>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南宁市大泽</w:t>
                    </w:r>
                    <w:r>
                      <w:rPr>
                        <w:rFonts w:ascii="Times New Roman" w:hAnsi="Times New Roman" w:cs="Times New Roman"/>
                      </w:rPr>
                      <w:t>(</w:t>
                    </w:r>
                    <w:r>
                      <w:rPr>
                        <w:rFonts w:ascii="Times New Roman" w:cs="Times New Roman"/>
                      </w:rPr>
                      <w:t>联合</w:t>
                    </w:r>
                    <w:r>
                      <w:rPr>
                        <w:rFonts w:ascii="Times New Roman" w:hAnsi="Times New Roman" w:cs="Times New Roman"/>
                      </w:rPr>
                      <w:t>)</w:t>
                    </w:r>
                    <w:r>
                      <w:rPr>
                        <w:rFonts w:ascii="Times New Roman" w:cs="Times New Roman"/>
                      </w:rPr>
                      <w:t>商贸有限公司</w:t>
                    </w:r>
                  </w:p>
                </w:tc>
                <w:tc>
                  <w:tcPr>
                    <w:tcW w:w="939" w:type="pct"/>
                    <w:vAlign w:val="center"/>
                  </w:tcPr>
                  <w:p>
                    <w:pPr>
                      <w:jc w:val="right"/>
                      <w:rPr>
                        <w:rFonts w:ascii="Times New Roman" w:hAnsi="Times New Roman" w:cs="Times New Roman"/>
                        <w:szCs w:val="21"/>
                      </w:rPr>
                    </w:pPr>
                    <w:r>
                      <w:rPr>
                        <w:rFonts w:ascii="Times New Roman" w:hAnsi="Times New Roman" w:cs="Times New Roman"/>
                      </w:rPr>
                      <w:t>125,982.01</w:t>
                    </w:r>
                  </w:p>
                </w:tc>
                <w:tc>
                  <w:tcPr>
                    <w:tcW w:w="940" w:type="pct"/>
                    <w:vAlign w:val="center"/>
                  </w:tcPr>
                  <w:p>
                    <w:pPr>
                      <w:jc w:val="right"/>
                      <w:rPr>
                        <w:rFonts w:ascii="Times New Roman" w:hAnsi="Times New Roman" w:cs="Times New Roman"/>
                        <w:szCs w:val="21"/>
                      </w:rPr>
                    </w:pPr>
                    <w:r>
                      <w:rPr>
                        <w:rFonts w:ascii="Times New Roman" w:hAnsi="Times New Roman" w:cs="Times New Roman"/>
                      </w:rPr>
                      <w:t>125,982.01</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65727046"/>
              <w:lock w:val="sdtLocked"/>
            </w:sdtPr>
            <w:sdtEndPr>
              <w:rPr>
                <w:rFonts w:ascii="Times New Roman" w:hAnsi="Times New Roman" w:cs="Times New Roman"/>
                <w:color w:val="008000"/>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rPr>
                        <w:rFonts w:ascii="Times New Roman" w:hAnsi="Times New Roman" w:cs="Times New Roman"/>
                        <w:szCs w:val="21"/>
                      </w:rPr>
                    </w:pPr>
                    <w:r>
                      <w:rPr>
                        <w:rFonts w:ascii="Times New Roman" w:cs="Times New Roman"/>
                      </w:rPr>
                      <w:t>其他</w:t>
                    </w:r>
                  </w:p>
                </w:tc>
                <w:tc>
                  <w:tcPr>
                    <w:tcW w:w="939" w:type="pct"/>
                    <w:vAlign w:val="center"/>
                  </w:tcPr>
                  <w:p>
                    <w:pPr>
                      <w:jc w:val="right"/>
                      <w:rPr>
                        <w:rFonts w:ascii="Times New Roman" w:hAnsi="Times New Roman" w:cs="Times New Roman"/>
                        <w:szCs w:val="21"/>
                      </w:rPr>
                    </w:pPr>
                    <w:r>
                      <w:rPr>
                        <w:rFonts w:ascii="Times New Roman" w:hAnsi="Times New Roman" w:cs="Times New Roman"/>
                      </w:rPr>
                      <w:t>461,654.81</w:t>
                    </w:r>
                  </w:p>
                </w:tc>
                <w:tc>
                  <w:tcPr>
                    <w:tcW w:w="940" w:type="pct"/>
                    <w:vAlign w:val="center"/>
                  </w:tcPr>
                  <w:p>
                    <w:pPr>
                      <w:jc w:val="right"/>
                      <w:rPr>
                        <w:rFonts w:ascii="Times New Roman" w:hAnsi="Times New Roman" w:cs="Times New Roman"/>
                        <w:szCs w:val="21"/>
                      </w:rPr>
                    </w:pPr>
                    <w:r>
                      <w:rPr>
                        <w:rFonts w:ascii="Times New Roman" w:hAnsi="Times New Roman" w:cs="Times New Roman"/>
                      </w:rPr>
                      <w:t>461,654.81</w:t>
                    </w:r>
                  </w:p>
                </w:tc>
                <w:tc>
                  <w:tcPr>
                    <w:tcW w:w="939" w:type="pct"/>
                    <w:vAlign w:val="center"/>
                  </w:tcPr>
                  <w:p>
                    <w:pPr>
                      <w:jc w:val="center"/>
                      <w:rPr>
                        <w:rFonts w:ascii="Times New Roman" w:hAnsi="Times New Roman" w:cs="Times New Roman"/>
                        <w:szCs w:val="21"/>
                      </w:rPr>
                    </w:pPr>
                    <w:r>
                      <w:rPr>
                        <w:rFonts w:ascii="Times New Roman" w:hAnsi="Times New Roman" w:cs="Times New Roman"/>
                      </w:rPr>
                      <w:t>100</w:t>
                    </w:r>
                  </w:p>
                </w:tc>
                <w:tc>
                  <w:tcPr>
                    <w:tcW w:w="1023" w:type="pct"/>
                    <w:vAlign w:val="center"/>
                  </w:tcPr>
                  <w:p>
                    <w:pPr>
                      <w:jc w:val="center"/>
                      <w:rPr>
                        <w:rFonts w:ascii="Times New Roman" w:hAnsi="Times New Roman" w:cs="Times New Roman"/>
                        <w:szCs w:val="21"/>
                        <w:highlight w:val="yellow"/>
                      </w:rPr>
                    </w:pPr>
                    <w:r>
                      <w:rPr>
                        <w:rFonts w:ascii="Times New Roman" w:cs="Times New Roman"/>
                      </w:rPr>
                      <w:t>预计不能收回</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415f708a8fb49448dfd4cf9ea54fa13"/>
                <w:id w:val="865727047"/>
                <w:lock w:val="sdtLocked"/>
              </w:sdtPr>
              <w:sdtEndPr>
                <w:rPr>
                  <w:rFonts w:ascii="Times New Roman" w:hAnsi="Times New Roman" w:cs="Times New Roman"/>
                </w:rPr>
              </w:sdtEndPr>
              <w:sdtContent>
                <w:tc>
                  <w:tcPr>
                    <w:tcW w:w="1160" w:type="pct"/>
                    <w:vAlign w:val="center"/>
                  </w:tcPr>
                  <w:p>
                    <w:pPr>
                      <w:jc w:val="center"/>
                      <w:rPr>
                        <w:rFonts w:ascii="Times New Roman" w:hAnsi="Times New Roman" w:cs="Times New Roman"/>
                        <w:szCs w:val="21"/>
                      </w:rPr>
                    </w:pPr>
                    <w:r>
                      <w:rPr>
                        <w:rFonts w:ascii="Times New Roman" w:cs="Times New Roman"/>
                        <w:szCs w:val="21"/>
                      </w:rPr>
                      <w:t>合计</w:t>
                    </w:r>
                  </w:p>
                </w:tc>
              </w:sdtContent>
            </w:sdt>
            <w:tc>
              <w:tcPr>
                <w:tcW w:w="939" w:type="pct"/>
                <w:vAlign w:val="center"/>
              </w:tcPr>
              <w:p>
                <w:pPr>
                  <w:jc w:val="right"/>
                  <w:rPr>
                    <w:rFonts w:ascii="Times New Roman" w:hAnsi="Times New Roman" w:cs="Times New Roman"/>
                    <w:szCs w:val="21"/>
                  </w:rPr>
                </w:pPr>
                <w:r>
                  <w:rPr>
                    <w:rFonts w:ascii="Times New Roman" w:hAnsi="Times New Roman" w:cs="Times New Roman"/>
                  </w:rPr>
                  <w:t>19,770,146.05</w:t>
                </w:r>
              </w:p>
            </w:tc>
            <w:tc>
              <w:tcPr>
                <w:tcW w:w="940" w:type="pct"/>
                <w:vAlign w:val="center"/>
              </w:tcPr>
              <w:p>
                <w:pPr>
                  <w:jc w:val="right"/>
                  <w:rPr>
                    <w:rFonts w:ascii="Times New Roman" w:hAnsi="Times New Roman" w:cs="Times New Roman"/>
                    <w:szCs w:val="21"/>
                  </w:rPr>
                </w:pPr>
                <w:r>
                  <w:rPr>
                    <w:rFonts w:ascii="Times New Roman" w:hAnsi="Times New Roman" w:cs="Times New Roman"/>
                  </w:rPr>
                  <w:t>19,770,146.05</w:t>
                </w:r>
              </w:p>
            </w:tc>
            <w:tc>
              <w:tcPr>
                <w:tcW w:w="939" w:type="pct"/>
                <w:vAlign w:val="center"/>
              </w:tcPr>
              <w:p>
                <w:pPr>
                  <w:jc w:val="right"/>
                  <w:rPr>
                    <w:rFonts w:ascii="Times New Roman" w:hAnsi="Times New Roman" w:cs="Times New Roman"/>
                    <w:szCs w:val="21"/>
                  </w:rPr>
                </w:pPr>
                <w:r>
                  <w:rPr>
                    <w:rFonts w:hint="eastAsia" w:ascii="Times New Roman" w:hAnsi="Times New Roman" w:cs="Times New Roman"/>
                    <w:szCs w:val="21"/>
                  </w:rPr>
                  <w:t>100</w:t>
                </w:r>
              </w:p>
            </w:tc>
            <w:tc>
              <w:tcPr>
                <w:tcW w:w="1023" w:type="pct"/>
                <w:vAlign w:val="center"/>
              </w:tcPr>
              <w:p>
                <w:pPr>
                  <w:jc w:val="right"/>
                  <w:rPr>
                    <w:rFonts w:ascii="Times New Roman" w:hAnsi="Times New Roman" w:cs="Times New Roman"/>
                    <w:szCs w:val="21"/>
                  </w:rPr>
                </w:pPr>
                <w:r>
                  <w:rPr>
                    <w:rFonts w:ascii="Times New Roman" w:hAnsi="Times New Roman" w:cs="Times New Roman"/>
                    <w:szCs w:val="21"/>
                  </w:rPr>
                  <w:t> </w:t>
                </w:r>
              </w:p>
            </w:tc>
          </w:tr>
        </w:tbl>
        <w:p/>
        <w:p>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865727048"/>
            <w:lock w:val="sdtLocked"/>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sdtContent>
    </w:sdt>
    <w:bookmarkEnd w:id="228"/>
    <w:sdt>
      <w:sdtPr>
        <w:rPr>
          <w:rFonts w:hint="eastAsia"/>
          <w:szCs w:val="21"/>
        </w:rPr>
        <w:tag w:val="_PLD_23aec57fe4b34ac2aa7d42cb52467101"/>
        <w:id w:val="865727050"/>
        <w:lock w:val="sdtLocked"/>
        <w:placeholder>
          <w:docPart w:val="GBC22222222222222222222222222222"/>
        </w:placeholder>
      </w:sdtPr>
      <w:sdtEndPr>
        <w:rPr>
          <w:rFonts w:hint="eastAsia"/>
          <w:szCs w:val="21"/>
        </w:rPr>
      </w:sdtEndPr>
      <w:sdtContent>
        <w:p>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86572705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bookmarkStart w:id="229" w:name="_Hlk533796778"/>
    </w:p>
    <w:bookmarkEnd w:id="229"/>
    <w:sdt>
      <w:sdtPr>
        <w:alias w:val="模块:如按照一般预计信用损失模型计提坏账，请参照其他应收款的披露方式披露"/>
        <w:tag w:val="_SEC_204080107f654b539d9fcb8781629182"/>
        <w:id w:val="865727053"/>
        <w:lock w:val="sdtLocked"/>
        <w:placeholder>
          <w:docPart w:val="GBC22222222222222222222222222222"/>
        </w:placeholder>
      </w:sdtPr>
      <w:sdtContent>
        <w:p>
          <w:bookmarkStart w:id="230" w:name="_Hlk534616017"/>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86572705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30"/>
    <w:sdt>
      <w:sdtPr>
        <w:rPr>
          <w:rFonts w:hint="eastAsia" w:ascii="宋体" w:hAnsi="宋体" w:eastAsia="宋体" w:cs="宋体"/>
          <w:b w:val="0"/>
          <w:bCs w:val="0"/>
          <w:kern w:val="0"/>
          <w:szCs w:val="22"/>
        </w:rPr>
        <w:alias w:val="模块:应收账款坏账准备的情况"/>
        <w:tag w:val="_SEC_d03baee572c2484a8896573f749f99a5"/>
        <w:id w:val="865727069"/>
        <w:lock w:val="sdtLocked"/>
        <w:placeholder>
          <w:docPart w:val="GBC22222222222222222222222222222"/>
        </w:placeholder>
      </w:sdtPr>
      <w:sdtEndPr>
        <w:rPr>
          <w:rFonts w:hint="default" w:ascii="Calibri" w:hAnsi="Calibri" w:eastAsia="宋体" w:cs="Times New Roman"/>
          <w:b w:val="0"/>
          <w:bCs w:val="0"/>
          <w:kern w:val="2"/>
          <w:szCs w:val="21"/>
        </w:rPr>
      </w:sdtEndPr>
      <w:sdtContent>
        <w:p>
          <w:pPr>
            <w:pStyle w:val="5"/>
            <w:numPr>
              <w:ilvl w:val="3"/>
              <w:numId w:val="133"/>
            </w:numPr>
            <w:ind w:left="424" w:hanging="424" w:hangingChars="202"/>
          </w:pPr>
          <w:bookmarkStart w:id="231" w:name="_Hlk534890665"/>
          <w:r>
            <w:rPr>
              <w:rFonts w:hint="eastAsia"/>
            </w:rPr>
            <w:t>坏账准备的情况</w:t>
          </w:r>
        </w:p>
        <w:sdt>
          <w:sdtPr>
            <w:alias w:val="是否适用：母公司应收账款坏账准备情况[双击切换]"/>
            <w:tag w:val="_GBC_c4b273c4d86b423ea0abe5794b3a9a07"/>
            <w:id w:val="86572705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5"/>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应收账款坏账准备情况"/>
              <w:tag w:val="_GBC_297876b5a195460cabc3796e317c400c"/>
              <w:id w:val="8657270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坏账准备情况"/>
              <w:tag w:val="_GBC_e88786d88c2b4853820fef447c6f542a"/>
              <w:id w:val="8657270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05"/>
            <w:gridCol w:w="1434"/>
            <w:gridCol w:w="1275"/>
            <w:gridCol w:w="1169"/>
            <w:gridCol w:w="1173"/>
            <w:gridCol w:w="1169"/>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rFonts w:ascii="Times New Roman" w:hAnsi="Times New Roman" w:cs="Times New Roman"/>
                </w:rPr>
                <w:tag w:val="_PLD_98300d230c0347eb87a2635ad51c1d00"/>
                <w:id w:val="865727057"/>
                <w:lock w:val="sdtLocked"/>
              </w:sdtPr>
              <w:sdtEndPr>
                <w:rPr>
                  <w:rFonts w:ascii="Times New Roman" w:hAnsi="Times New Roman" w:cs="Times New Roman"/>
                </w:rPr>
              </w:sdtEndPr>
              <w:sdtContent>
                <w:tc>
                  <w:tcPr>
                    <w:tcW w:w="818" w:type="pct"/>
                    <w:vMerge w:val="restart"/>
                    <w:shd w:val="clear" w:color="auto" w:fill="FFFFFF"/>
                    <w:vAlign w:val="center"/>
                  </w:tcPr>
                  <w:p>
                    <w:pPr>
                      <w:jc w:val="center"/>
                      <w:rPr>
                        <w:rFonts w:ascii="Times New Roman" w:hAnsi="Times New Roman" w:cs="Times New Roman"/>
                      </w:rPr>
                    </w:pPr>
                    <w:r>
                      <w:rPr>
                        <w:rFonts w:ascii="Times New Roman" w:cs="Times New Roman"/>
                      </w:rPr>
                      <w:t>类别</w:t>
                    </w:r>
                  </w:p>
                </w:tc>
              </w:sdtContent>
            </w:sdt>
            <w:sdt>
              <w:sdtPr>
                <w:rPr>
                  <w:rFonts w:ascii="Times New Roman" w:hAnsi="Times New Roman" w:cs="Times New Roman"/>
                </w:rPr>
                <w:tag w:val="_PLD_7769f2b383ef45cea01b90026bb353c2"/>
                <w:id w:val="865727058"/>
                <w:lock w:val="sdtLocked"/>
              </w:sdtPr>
              <w:sdtEndPr>
                <w:rPr>
                  <w:rFonts w:ascii="Times New Roman" w:hAnsi="Times New Roman" w:cs="Times New Roman"/>
                </w:rPr>
              </w:sdtEndPr>
              <w:sdtContent>
                <w:tc>
                  <w:tcPr>
                    <w:tcW w:w="687" w:type="pct"/>
                    <w:vMerge w:val="restart"/>
                    <w:shd w:val="clear" w:color="auto" w:fill="FFFFFF"/>
                    <w:vAlign w:val="center"/>
                  </w:tcPr>
                  <w:p>
                    <w:pPr>
                      <w:jc w:val="center"/>
                      <w:rPr>
                        <w:rFonts w:ascii="Times New Roman" w:hAnsi="Times New Roman" w:cs="Times New Roman"/>
                      </w:rPr>
                    </w:pPr>
                    <w:r>
                      <w:rPr>
                        <w:rFonts w:ascii="Times New Roman" w:cs="Times New Roman"/>
                      </w:rPr>
                      <w:t>期初余额</w:t>
                    </w:r>
                  </w:p>
                </w:tc>
              </w:sdtContent>
            </w:sdt>
            <w:sdt>
              <w:sdtPr>
                <w:rPr>
                  <w:rFonts w:ascii="Times New Roman" w:hAnsi="Times New Roman" w:cs="Times New Roman"/>
                </w:rPr>
                <w:tag w:val="_PLD_cd024d723ca84c77aded9d7b7313563b"/>
                <w:id w:val="865727059"/>
                <w:lock w:val="sdtLocked"/>
              </w:sdtPr>
              <w:sdtEndPr>
                <w:rPr>
                  <w:rFonts w:ascii="Times New Roman" w:hAnsi="Times New Roman" w:cs="Times New Roman"/>
                </w:rPr>
              </w:sdtEndPr>
              <w:sdtContent>
                <w:tc>
                  <w:tcPr>
                    <w:tcW w:w="2809" w:type="pct"/>
                    <w:gridSpan w:val="4"/>
                    <w:shd w:val="clear" w:color="auto" w:fill="FFFFFF"/>
                    <w:vAlign w:val="center"/>
                  </w:tcPr>
                  <w:p>
                    <w:pPr>
                      <w:jc w:val="center"/>
                      <w:rPr>
                        <w:rFonts w:ascii="Times New Roman" w:hAnsi="Times New Roman" w:cs="Times New Roman"/>
                      </w:rPr>
                    </w:pPr>
                    <w:r>
                      <w:rPr>
                        <w:rFonts w:ascii="Times New Roman" w:cs="Times New Roman"/>
                      </w:rPr>
                      <w:t>本期变动金额</w:t>
                    </w:r>
                  </w:p>
                </w:tc>
              </w:sdtContent>
            </w:sdt>
            <w:sdt>
              <w:sdtPr>
                <w:rPr>
                  <w:rFonts w:ascii="Times New Roman" w:hAnsi="Times New Roman" w:cs="Times New Roman"/>
                </w:rPr>
                <w:tag w:val="_PLD_1225558b3fd34599bc2c3f9eb23fba1e"/>
                <w:id w:val="865727060"/>
                <w:lock w:val="sdtLocked"/>
              </w:sdtPr>
              <w:sdtEndPr>
                <w:rPr>
                  <w:rFonts w:ascii="Times New Roman" w:hAnsi="Times New Roman" w:cs="Times New Roman"/>
                </w:rPr>
              </w:sdtEndPr>
              <w:sdtContent>
                <w:tc>
                  <w:tcPr>
                    <w:tcW w:w="685" w:type="pct"/>
                    <w:vMerge w:val="restart"/>
                    <w:shd w:val="clear" w:color="auto" w:fill="FFFFFF"/>
                    <w:vAlign w:val="center"/>
                  </w:tcPr>
                  <w:p>
                    <w:pPr>
                      <w:jc w:val="center"/>
                      <w:rPr>
                        <w:rFonts w:ascii="Times New Roman" w:hAnsi="Times New Roman" w:cs="Times New Roman"/>
                      </w:rPr>
                    </w:pPr>
                    <w:r>
                      <w:rPr>
                        <w:rFonts w:ascii="Times New Roman" w:cs="Times New Roman"/>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818" w:type="pct"/>
                <w:vMerge w:val="continue"/>
                <w:shd w:val="clear" w:color="auto" w:fill="FFFFFF"/>
              </w:tcPr>
              <w:p>
                <w:pPr>
                  <w:jc w:val="center"/>
                  <w:rPr>
                    <w:rFonts w:ascii="Times New Roman" w:hAnsi="Times New Roman" w:cs="Times New Roman"/>
                  </w:rPr>
                </w:pPr>
              </w:p>
            </w:tc>
            <w:tc>
              <w:tcPr>
                <w:tcW w:w="687" w:type="pct"/>
                <w:vMerge w:val="continue"/>
                <w:shd w:val="clear" w:color="auto" w:fill="FFFFFF"/>
              </w:tcPr>
              <w:p>
                <w:pPr>
                  <w:jc w:val="center"/>
                  <w:rPr>
                    <w:rFonts w:ascii="Times New Roman" w:hAnsi="Times New Roman" w:cs="Times New Roman"/>
                  </w:rPr>
                </w:pPr>
              </w:p>
            </w:tc>
            <w:sdt>
              <w:sdtPr>
                <w:rPr>
                  <w:rFonts w:ascii="Times New Roman" w:hAnsi="Times New Roman" w:cs="Times New Roman"/>
                </w:rPr>
                <w:tag w:val="_PLD_3e1ba6e4785f430c89e70b3081ee1f0a"/>
                <w:id w:val="865727061"/>
                <w:lock w:val="sdtLocked"/>
              </w:sdtPr>
              <w:sdtEndPr>
                <w:rPr>
                  <w:rFonts w:ascii="Times New Roman" w:hAnsi="Times New Roman" w:cs="Times New Roman"/>
                </w:rPr>
              </w:sdtEndPr>
              <w:sdtContent>
                <w:tc>
                  <w:tcPr>
                    <w:tcW w:w="746" w:type="pct"/>
                    <w:shd w:val="clear" w:color="auto" w:fill="FFFFFF"/>
                    <w:vAlign w:val="center"/>
                  </w:tcPr>
                  <w:p>
                    <w:pPr>
                      <w:jc w:val="center"/>
                      <w:rPr>
                        <w:rFonts w:ascii="Times New Roman" w:hAnsi="Times New Roman" w:cs="Times New Roman"/>
                      </w:rPr>
                    </w:pPr>
                    <w:r>
                      <w:rPr>
                        <w:rFonts w:ascii="Times New Roman" w:cs="Times New Roman"/>
                      </w:rPr>
                      <w:t>计提</w:t>
                    </w:r>
                  </w:p>
                </w:tc>
              </w:sdtContent>
            </w:sdt>
            <w:sdt>
              <w:sdtPr>
                <w:rPr>
                  <w:rFonts w:ascii="Times New Roman" w:hAnsi="Times New Roman" w:cs="Times New Roman"/>
                </w:rPr>
                <w:tag w:val="_PLD_e1238ab8ec634edb975aa51e169f4488"/>
                <w:id w:val="865727062"/>
                <w:lock w:val="sdtLocked"/>
              </w:sdtPr>
              <w:sdtEndPr>
                <w:rPr>
                  <w:rFonts w:ascii="Times New Roman" w:hAnsi="Times New Roman" w:cs="Times New Roman"/>
                </w:rPr>
              </w:sdtEndPr>
              <w:sdtContent>
                <w:tc>
                  <w:tcPr>
                    <w:tcW w:w="687" w:type="pct"/>
                    <w:shd w:val="clear" w:color="auto" w:fill="FFFFFF"/>
                    <w:vAlign w:val="center"/>
                  </w:tcPr>
                  <w:p>
                    <w:pPr>
                      <w:jc w:val="center"/>
                      <w:rPr>
                        <w:rFonts w:ascii="Times New Roman" w:hAnsi="Times New Roman" w:cs="Times New Roman"/>
                      </w:rPr>
                    </w:pPr>
                    <w:r>
                      <w:rPr>
                        <w:rFonts w:ascii="Times New Roman" w:cs="Times New Roman"/>
                      </w:rPr>
                      <w:t>收回或转回</w:t>
                    </w:r>
                  </w:p>
                </w:tc>
              </w:sdtContent>
            </w:sdt>
            <w:tc>
              <w:tcPr>
                <w:tcW w:w="689" w:type="pct"/>
                <w:shd w:val="clear" w:color="auto" w:fill="FFFFFF"/>
                <w:vAlign w:val="center"/>
              </w:tcPr>
              <w:sdt>
                <w:sdtPr>
                  <w:rPr>
                    <w:rFonts w:ascii="Times New Roman" w:hAnsi="Times New Roman" w:cs="Times New Roman"/>
                  </w:rPr>
                  <w:tag w:val="_PLD_4909ee6a3062412caf5e93a150ca2e23"/>
                  <w:id w:val="865727063"/>
                  <w:lock w:val="sdtLocked"/>
                </w:sdtPr>
                <w:sdtEndPr>
                  <w:rPr>
                    <w:rFonts w:ascii="Times New Roman" w:hAnsi="Times New Roman" w:cs="Times New Roman"/>
                  </w:rPr>
                </w:sdtEndPr>
                <w:sdtContent>
                  <w:p>
                    <w:pPr>
                      <w:jc w:val="center"/>
                      <w:rPr>
                        <w:rFonts w:ascii="Times New Roman" w:hAnsi="Times New Roman" w:cs="Times New Roman"/>
                      </w:rPr>
                    </w:pPr>
                    <w:r>
                      <w:rPr>
                        <w:rFonts w:ascii="Times New Roman" w:cs="Times New Roman"/>
                      </w:rPr>
                      <w:t>转销或核销</w:t>
                    </w:r>
                  </w:p>
                </w:sdtContent>
              </w:sdt>
            </w:tc>
            <w:tc>
              <w:tcPr>
                <w:tcW w:w="686" w:type="pct"/>
                <w:shd w:val="clear" w:color="auto" w:fill="FFFFFF"/>
                <w:vAlign w:val="center"/>
              </w:tcPr>
              <w:sdt>
                <w:sdtPr>
                  <w:rPr>
                    <w:rFonts w:ascii="Times New Roman" w:hAnsi="Times New Roman" w:cs="Times New Roman"/>
                  </w:rPr>
                  <w:tag w:val="_PLD_b95e9591908443ef8eef29a18814ebfa"/>
                  <w:id w:val="865727064"/>
                  <w:lock w:val="sdtLocked"/>
                </w:sdtPr>
                <w:sdtEndPr>
                  <w:rPr>
                    <w:rFonts w:ascii="Times New Roman" w:hAnsi="Times New Roman" w:cs="Times New Roman"/>
                  </w:rPr>
                </w:sdtEndPr>
                <w:sdtContent>
                  <w:p>
                    <w:pPr>
                      <w:jc w:val="right"/>
                      <w:rPr>
                        <w:rFonts w:ascii="Times New Roman" w:hAnsi="Times New Roman" w:cs="Times New Roman"/>
                      </w:rPr>
                    </w:pPr>
                    <w:r>
                      <w:rPr>
                        <w:rFonts w:ascii="Times New Roman" w:cs="Times New Roman"/>
                      </w:rPr>
                      <w:t>其他变动</w:t>
                    </w:r>
                  </w:p>
                </w:sdtContent>
              </w:sdt>
            </w:tc>
            <w:tc>
              <w:tcPr>
                <w:tcW w:w="685" w:type="pct"/>
                <w:vMerge w:val="continue"/>
                <w:shd w:val="clear" w:color="auto" w:fill="FFFFFF"/>
              </w:tcPr>
              <w:p>
                <w:pPr>
                  <w:jc w:val="right"/>
                  <w:rPr>
                    <w:rFonts w:ascii="Times New Roman" w:hAnsi="Times New Roman" w:cs="Times New Roman"/>
                  </w:rPr>
                </w:pPr>
              </w:p>
            </w:tc>
          </w:tr>
          <w:sdt>
            <w:sdtPr>
              <w:rPr>
                <w:rFonts w:ascii="Times New Roman" w:hAnsi="Times New Roman" w:cs="Times New Roman"/>
              </w:rPr>
              <w:alias w:val="应收账款坏账准备明细"/>
              <w:tag w:val="_TUP_7b3a53982d9c49ed80b7a656931aaf2b"/>
              <w:id w:val="865727065"/>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818" w:type="pct"/>
                    <w:shd w:val="clear" w:color="auto" w:fill="auto"/>
                  </w:tcPr>
                  <w:p>
                    <w:pPr>
                      <w:rPr>
                        <w:rFonts w:ascii="Times New Roman" w:hAnsi="Times New Roman" w:cs="Times New Roman"/>
                      </w:rPr>
                    </w:pPr>
                    <w:r>
                      <w:rPr>
                        <w:rFonts w:ascii="Times New Roman" w:cs="Times New Roman"/>
                      </w:rPr>
                      <w:t>单项计提预期信用损失的应收账款</w:t>
                    </w:r>
                  </w:p>
                </w:tc>
                <w:tc>
                  <w:tcPr>
                    <w:tcW w:w="687" w:type="pct"/>
                    <w:shd w:val="clear" w:color="auto" w:fill="auto"/>
                    <w:vAlign w:val="center"/>
                  </w:tcPr>
                  <w:p>
                    <w:pPr>
                      <w:jc w:val="right"/>
                      <w:rPr>
                        <w:rFonts w:ascii="Times New Roman" w:hAnsi="Times New Roman" w:cs="Times New Roman"/>
                      </w:rPr>
                    </w:pPr>
                    <w:r>
                      <w:rPr>
                        <w:rFonts w:ascii="Times New Roman" w:hAnsi="Times New Roman" w:cs="Times New Roman"/>
                      </w:rPr>
                      <w:t>19,770,146.05</w:t>
                    </w:r>
                  </w:p>
                </w:tc>
                <w:tc>
                  <w:tcPr>
                    <w:tcW w:w="746" w:type="pct"/>
                    <w:shd w:val="clear" w:color="auto" w:fill="auto"/>
                    <w:vAlign w:val="center"/>
                  </w:tcPr>
                  <w:p>
                    <w:pPr>
                      <w:jc w:val="right"/>
                      <w:rPr>
                        <w:rFonts w:ascii="Times New Roman" w:hAnsi="Times New Roman" w:cs="Times New Roman"/>
                      </w:rPr>
                    </w:pPr>
                  </w:p>
                </w:tc>
                <w:tc>
                  <w:tcPr>
                    <w:tcW w:w="687" w:type="pct"/>
                    <w:shd w:val="clear" w:color="auto" w:fill="auto"/>
                    <w:vAlign w:val="center"/>
                  </w:tcPr>
                  <w:p>
                    <w:pPr>
                      <w:jc w:val="right"/>
                      <w:rPr>
                        <w:rFonts w:ascii="Times New Roman" w:hAnsi="Times New Roman" w:cs="Times New Roman"/>
                      </w:rPr>
                    </w:pPr>
                  </w:p>
                </w:tc>
                <w:tc>
                  <w:tcPr>
                    <w:tcW w:w="689" w:type="pct"/>
                    <w:vAlign w:val="center"/>
                  </w:tcPr>
                  <w:p>
                    <w:pPr>
                      <w:jc w:val="right"/>
                      <w:rPr>
                        <w:rFonts w:ascii="Times New Roman" w:hAnsi="Times New Roman" w:cs="Times New Roman"/>
                      </w:rPr>
                    </w:pPr>
                  </w:p>
                </w:tc>
                <w:tc>
                  <w:tcPr>
                    <w:tcW w:w="686" w:type="pct"/>
                    <w:vAlign w:val="center"/>
                  </w:tcPr>
                  <w:p>
                    <w:pPr>
                      <w:jc w:val="right"/>
                      <w:rPr>
                        <w:rFonts w:ascii="Times New Roman" w:hAnsi="Times New Roman" w:cs="Times New Roman"/>
                      </w:rPr>
                    </w:pPr>
                  </w:p>
                </w:tc>
                <w:tc>
                  <w:tcPr>
                    <w:tcW w:w="685" w:type="pct"/>
                    <w:shd w:val="clear" w:color="auto" w:fill="auto"/>
                    <w:vAlign w:val="center"/>
                  </w:tcPr>
                  <w:p>
                    <w:pPr>
                      <w:jc w:val="right"/>
                      <w:rPr>
                        <w:rFonts w:ascii="Times New Roman" w:hAnsi="Times New Roman" w:cs="Times New Roman"/>
                      </w:rPr>
                    </w:pPr>
                    <w:r>
                      <w:rPr>
                        <w:rFonts w:ascii="Times New Roman" w:hAnsi="Times New Roman" w:cs="Times New Roman"/>
                      </w:rPr>
                      <w:t>19,770,146.05</w:t>
                    </w:r>
                  </w:p>
                </w:tc>
              </w:tr>
            </w:sdtContent>
          </w:sdt>
          <w:sdt>
            <w:sdtPr>
              <w:rPr>
                <w:rFonts w:ascii="Times New Roman" w:hAnsi="Times New Roman" w:cs="Times New Roman"/>
              </w:rPr>
              <w:alias w:val="应收账款坏账准备明细"/>
              <w:tag w:val="_TUP_7b3a53982d9c49ed80b7a656931aaf2b"/>
              <w:id w:val="865727066"/>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818" w:type="pct"/>
                    <w:shd w:val="clear" w:color="auto" w:fill="auto"/>
                  </w:tcPr>
                  <w:p>
                    <w:pPr>
                      <w:rPr>
                        <w:rFonts w:ascii="Times New Roman" w:hAnsi="Times New Roman" w:cs="Times New Roman"/>
                      </w:rPr>
                    </w:pPr>
                    <w:r>
                      <w:rPr>
                        <w:rFonts w:ascii="Times New Roman" w:cs="Times New Roman"/>
                      </w:rPr>
                      <w:t>按组合计提预期信用损失的应收账款</w:t>
                    </w:r>
                  </w:p>
                </w:tc>
                <w:tc>
                  <w:tcPr>
                    <w:tcW w:w="687" w:type="pct"/>
                    <w:shd w:val="clear" w:color="auto" w:fill="auto"/>
                    <w:vAlign w:val="center"/>
                  </w:tcPr>
                  <w:p>
                    <w:pPr>
                      <w:jc w:val="right"/>
                      <w:rPr>
                        <w:rFonts w:ascii="Times New Roman" w:hAnsi="Times New Roman" w:cs="Times New Roman"/>
                      </w:rPr>
                    </w:pPr>
                    <w:r>
                      <w:rPr>
                        <w:rFonts w:ascii="Times New Roman" w:hAnsi="Times New Roman" w:cs="Times New Roman"/>
                      </w:rPr>
                      <w:t>10,426,145.84</w:t>
                    </w:r>
                  </w:p>
                </w:tc>
                <w:tc>
                  <w:tcPr>
                    <w:tcW w:w="746" w:type="pct"/>
                    <w:shd w:val="clear" w:color="auto" w:fill="auto"/>
                    <w:vAlign w:val="center"/>
                  </w:tcPr>
                  <w:p>
                    <w:pPr>
                      <w:jc w:val="right"/>
                      <w:rPr>
                        <w:rFonts w:ascii="Times New Roman" w:hAnsi="Times New Roman" w:cs="Times New Roman"/>
                      </w:rPr>
                    </w:pPr>
                    <w:r>
                      <w:rPr>
                        <w:rFonts w:ascii="Times New Roman" w:hAnsi="Times New Roman" w:cs="Times New Roman"/>
                      </w:rPr>
                      <w:t>562,232.93</w:t>
                    </w:r>
                  </w:p>
                </w:tc>
                <w:tc>
                  <w:tcPr>
                    <w:tcW w:w="687" w:type="pct"/>
                    <w:shd w:val="clear" w:color="auto" w:fill="auto"/>
                    <w:vAlign w:val="center"/>
                  </w:tcPr>
                  <w:p>
                    <w:pPr>
                      <w:jc w:val="right"/>
                      <w:rPr>
                        <w:rFonts w:ascii="Times New Roman" w:hAnsi="Times New Roman" w:cs="Times New Roman"/>
                      </w:rPr>
                    </w:pPr>
                  </w:p>
                </w:tc>
                <w:tc>
                  <w:tcPr>
                    <w:tcW w:w="689" w:type="pct"/>
                    <w:vAlign w:val="center"/>
                  </w:tcPr>
                  <w:p>
                    <w:pPr>
                      <w:jc w:val="right"/>
                      <w:rPr>
                        <w:rFonts w:ascii="Times New Roman" w:hAnsi="Times New Roman" w:cs="Times New Roman"/>
                      </w:rPr>
                    </w:pPr>
                  </w:p>
                </w:tc>
                <w:tc>
                  <w:tcPr>
                    <w:tcW w:w="686" w:type="pct"/>
                    <w:vAlign w:val="center"/>
                  </w:tcPr>
                  <w:p>
                    <w:pPr>
                      <w:jc w:val="right"/>
                      <w:rPr>
                        <w:rFonts w:ascii="Times New Roman" w:hAnsi="Times New Roman" w:cs="Times New Roman"/>
                      </w:rPr>
                    </w:pPr>
                  </w:p>
                </w:tc>
                <w:tc>
                  <w:tcPr>
                    <w:tcW w:w="685" w:type="pct"/>
                    <w:shd w:val="clear" w:color="auto" w:fill="auto"/>
                    <w:vAlign w:val="center"/>
                  </w:tcPr>
                  <w:p>
                    <w:pPr>
                      <w:jc w:val="right"/>
                      <w:rPr>
                        <w:rFonts w:ascii="Times New Roman" w:hAnsi="Times New Roman" w:cs="Times New Roman"/>
                      </w:rPr>
                    </w:pPr>
                    <w:r>
                      <w:rPr>
                        <w:rFonts w:ascii="Times New Roman" w:hAnsi="Times New Roman" w:cs="Times New Roman"/>
                      </w:rPr>
                      <w:t>10,988,378.77</w:t>
                    </w:r>
                  </w:p>
                </w:tc>
              </w:tr>
            </w:sdtContent>
          </w:sdt>
          <w:sdt>
            <w:sdtPr>
              <w:rPr>
                <w:rFonts w:ascii="Times New Roman" w:hAnsi="Times New Roman" w:cs="Times New Roman"/>
              </w:rPr>
              <w:alias w:val="应收账款坏账准备明细"/>
              <w:tag w:val="_TUP_7b3a53982d9c49ed80b7a656931aaf2b"/>
              <w:id w:val="865727067"/>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818" w:type="pct"/>
                    <w:shd w:val="clear" w:color="auto" w:fill="auto"/>
                  </w:tcPr>
                  <w:p>
                    <w:pPr>
                      <w:rPr>
                        <w:rFonts w:ascii="Times New Roman" w:hAnsi="Times New Roman" w:cs="Times New Roman"/>
                      </w:rPr>
                    </w:pPr>
                    <w:r>
                      <w:rPr>
                        <w:rFonts w:ascii="Times New Roman" w:cs="Times New Roman"/>
                      </w:rPr>
                      <w:t>其中：按账龄组合计提坏账准备的应收账款</w:t>
                    </w:r>
                  </w:p>
                </w:tc>
                <w:tc>
                  <w:tcPr>
                    <w:tcW w:w="687" w:type="pct"/>
                    <w:shd w:val="clear" w:color="auto" w:fill="auto"/>
                    <w:vAlign w:val="center"/>
                  </w:tcPr>
                  <w:p>
                    <w:pPr>
                      <w:jc w:val="right"/>
                      <w:rPr>
                        <w:rFonts w:ascii="Times New Roman" w:hAnsi="Times New Roman" w:cs="Times New Roman"/>
                      </w:rPr>
                    </w:pPr>
                    <w:r>
                      <w:rPr>
                        <w:rFonts w:ascii="Times New Roman" w:hAnsi="Times New Roman" w:cs="Times New Roman"/>
                      </w:rPr>
                      <w:t>10,426,145.84</w:t>
                    </w:r>
                  </w:p>
                </w:tc>
                <w:tc>
                  <w:tcPr>
                    <w:tcW w:w="746" w:type="pct"/>
                    <w:shd w:val="clear" w:color="auto" w:fill="auto"/>
                    <w:vAlign w:val="center"/>
                  </w:tcPr>
                  <w:p>
                    <w:pPr>
                      <w:jc w:val="right"/>
                      <w:rPr>
                        <w:rFonts w:ascii="Times New Roman" w:hAnsi="Times New Roman" w:cs="Times New Roman"/>
                      </w:rPr>
                    </w:pPr>
                    <w:r>
                      <w:rPr>
                        <w:rFonts w:ascii="Times New Roman" w:hAnsi="Times New Roman" w:cs="Times New Roman"/>
                      </w:rPr>
                      <w:t>562,232.93</w:t>
                    </w:r>
                  </w:p>
                </w:tc>
                <w:tc>
                  <w:tcPr>
                    <w:tcW w:w="687" w:type="pct"/>
                    <w:shd w:val="clear" w:color="auto" w:fill="auto"/>
                    <w:vAlign w:val="center"/>
                  </w:tcPr>
                  <w:p>
                    <w:pPr>
                      <w:jc w:val="right"/>
                      <w:rPr>
                        <w:rFonts w:ascii="Times New Roman" w:hAnsi="Times New Roman" w:cs="Times New Roman"/>
                      </w:rPr>
                    </w:pPr>
                  </w:p>
                </w:tc>
                <w:tc>
                  <w:tcPr>
                    <w:tcW w:w="689" w:type="pct"/>
                    <w:vAlign w:val="center"/>
                  </w:tcPr>
                  <w:p>
                    <w:pPr>
                      <w:jc w:val="right"/>
                      <w:rPr>
                        <w:rFonts w:ascii="Times New Roman" w:hAnsi="Times New Roman" w:cs="Times New Roman"/>
                      </w:rPr>
                    </w:pPr>
                  </w:p>
                </w:tc>
                <w:tc>
                  <w:tcPr>
                    <w:tcW w:w="686" w:type="pct"/>
                    <w:vAlign w:val="center"/>
                  </w:tcPr>
                  <w:p>
                    <w:pPr>
                      <w:jc w:val="right"/>
                      <w:rPr>
                        <w:rFonts w:ascii="Times New Roman" w:hAnsi="Times New Roman" w:cs="Times New Roman"/>
                      </w:rPr>
                    </w:pPr>
                  </w:p>
                </w:tc>
                <w:tc>
                  <w:tcPr>
                    <w:tcW w:w="685" w:type="pct"/>
                    <w:shd w:val="clear" w:color="auto" w:fill="auto"/>
                    <w:vAlign w:val="center"/>
                  </w:tcPr>
                  <w:p>
                    <w:pPr>
                      <w:jc w:val="right"/>
                      <w:rPr>
                        <w:rFonts w:ascii="Times New Roman" w:hAnsi="Times New Roman" w:cs="Times New Roman"/>
                      </w:rPr>
                    </w:pPr>
                    <w:r>
                      <w:rPr>
                        <w:rFonts w:ascii="Times New Roman" w:hAnsi="Times New Roman" w:cs="Times New Roman"/>
                      </w:rPr>
                      <w:t>10,988,378.77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rFonts w:ascii="Times New Roman" w:hAnsi="Times New Roman" w:cs="Times New Roman"/>
                </w:rPr>
                <w:tag w:val="_PLD_5eaa03fd78014651ae8a44c156a7fde3"/>
                <w:id w:val="865727068"/>
                <w:lock w:val="sdtLocked"/>
              </w:sdtPr>
              <w:sdtEndPr>
                <w:rPr>
                  <w:rFonts w:ascii="Times New Roman" w:hAnsi="Times New Roman" w:cs="Times New Roman"/>
                </w:rPr>
              </w:sdtEndPr>
              <w:sdtContent>
                <w:tc>
                  <w:tcPr>
                    <w:tcW w:w="818" w:type="pct"/>
                    <w:shd w:val="clear" w:color="auto" w:fill="auto"/>
                  </w:tcPr>
                  <w:p>
                    <w:pPr>
                      <w:jc w:val="center"/>
                      <w:rPr>
                        <w:rFonts w:ascii="Times New Roman" w:hAnsi="Times New Roman" w:cs="Times New Roman"/>
                      </w:rPr>
                    </w:pPr>
                    <w:r>
                      <w:rPr>
                        <w:rFonts w:ascii="Times New Roman" w:cs="Times New Roman"/>
                      </w:rPr>
                      <w:t>合计</w:t>
                    </w:r>
                  </w:p>
                </w:tc>
              </w:sdtContent>
            </w:sdt>
            <w:tc>
              <w:tcPr>
                <w:tcW w:w="687" w:type="pct"/>
                <w:shd w:val="clear" w:color="auto" w:fill="auto"/>
                <w:vAlign w:val="center"/>
              </w:tcPr>
              <w:p>
                <w:pPr>
                  <w:jc w:val="right"/>
                  <w:rPr>
                    <w:rFonts w:ascii="Times New Roman" w:hAnsi="Times New Roman" w:cs="Times New Roman"/>
                  </w:rPr>
                </w:pPr>
                <w:r>
                  <w:rPr>
                    <w:rFonts w:ascii="Times New Roman" w:hAnsi="Times New Roman" w:cs="Times New Roman"/>
                  </w:rPr>
                  <w:t>30,196,291.89</w:t>
                </w:r>
              </w:p>
            </w:tc>
            <w:tc>
              <w:tcPr>
                <w:tcW w:w="746" w:type="pct"/>
                <w:shd w:val="clear" w:color="auto" w:fill="auto"/>
                <w:vAlign w:val="center"/>
              </w:tcPr>
              <w:p>
                <w:pPr>
                  <w:jc w:val="right"/>
                  <w:rPr>
                    <w:rFonts w:ascii="Times New Roman" w:hAnsi="Times New Roman" w:cs="Times New Roman"/>
                  </w:rPr>
                </w:pPr>
                <w:r>
                  <w:rPr>
                    <w:rFonts w:ascii="Times New Roman" w:hAnsi="Times New Roman" w:cs="Times New Roman"/>
                  </w:rPr>
                  <w:t>562,232.93</w:t>
                </w:r>
              </w:p>
            </w:tc>
            <w:tc>
              <w:tcPr>
                <w:tcW w:w="687" w:type="pct"/>
                <w:shd w:val="clear" w:color="auto" w:fill="auto"/>
                <w:vAlign w:val="center"/>
              </w:tcPr>
              <w:p>
                <w:pPr>
                  <w:jc w:val="right"/>
                  <w:rPr>
                    <w:rFonts w:ascii="Times New Roman" w:hAnsi="Times New Roman" w:cs="Times New Roman"/>
                  </w:rPr>
                </w:pPr>
              </w:p>
            </w:tc>
            <w:tc>
              <w:tcPr>
                <w:tcW w:w="689" w:type="pct"/>
                <w:vAlign w:val="center"/>
              </w:tcPr>
              <w:p>
                <w:pPr>
                  <w:jc w:val="right"/>
                  <w:rPr>
                    <w:rFonts w:ascii="Times New Roman" w:hAnsi="Times New Roman" w:cs="Times New Roman"/>
                  </w:rPr>
                </w:pPr>
              </w:p>
            </w:tc>
            <w:tc>
              <w:tcPr>
                <w:tcW w:w="686" w:type="pct"/>
                <w:vAlign w:val="center"/>
              </w:tcPr>
              <w:p>
                <w:pPr>
                  <w:jc w:val="right"/>
                  <w:rPr>
                    <w:rFonts w:ascii="Times New Roman" w:hAnsi="Times New Roman" w:cs="Times New Roman"/>
                  </w:rPr>
                </w:pPr>
              </w:p>
            </w:tc>
            <w:tc>
              <w:tcPr>
                <w:tcW w:w="685" w:type="pct"/>
                <w:shd w:val="clear" w:color="auto" w:fill="auto"/>
                <w:vAlign w:val="center"/>
              </w:tcPr>
              <w:p>
                <w:pPr>
                  <w:jc w:val="right"/>
                  <w:rPr>
                    <w:rFonts w:ascii="Times New Roman" w:hAnsi="Times New Roman" w:cs="Times New Roman"/>
                  </w:rPr>
                </w:pPr>
                <w:r>
                  <w:rPr>
                    <w:rFonts w:ascii="Times New Roman" w:hAnsi="Times New Roman" w:cs="Times New Roman"/>
                  </w:rPr>
                  <w:t>30,758,524.82</w:t>
                </w:r>
              </w:p>
            </w:tc>
          </w:tr>
        </w:tbl>
        <w:p/>
        <w:p>
          <w:pPr>
            <w:pStyle w:val="72"/>
          </w:pPr>
        </w:p>
      </w:sdtContent>
    </w:sdt>
    <w:bookmarkEnd w:id="231"/>
    <w:sdt>
      <w:sdtPr>
        <w:rPr>
          <w:rFonts w:asciiTheme="minorHAnsi" w:hAnsiTheme="minorHAnsi"/>
          <w:b/>
          <w:bCs/>
          <w:szCs w:val="22"/>
        </w:rPr>
        <w:alias w:val="模块:本期转回或收回情况"/>
        <w:tag w:val="_GBC_4659654dc3bf4a4eba447daf2829f609"/>
        <w:id w:val="865727071"/>
        <w:lock w:val="sdtLocked"/>
        <w:placeholder>
          <w:docPart w:val="GBC22222222222222222222222222222"/>
        </w:placeholder>
      </w:sdtPr>
      <w:sdtEndPr>
        <w:rPr>
          <w:rFonts w:ascii="Times New Roman" w:hAnsi="Times New Roman" w:cs="Times New Roman"/>
          <w:b w:val="0"/>
          <w:bCs w:val="0"/>
          <w:kern w:val="2"/>
          <w:szCs w:val="24"/>
        </w:rPr>
      </w:sdtEndPr>
      <w:sdtContent>
        <w:p>
          <w:r>
            <w:rPr>
              <w:rFonts w:hint="eastAsia"/>
            </w:rPr>
            <w:t>其中本期坏账准备收回或转回金额重要的：</w:t>
          </w:r>
        </w:p>
        <w:sdt>
          <w:sdtPr>
            <w:alias w:val="是否适用：母公司其中本期坏账准备收回或转回金额重要的[双击切换]"/>
            <w:tag w:val="_GBC_5f9ff028d97f4757bc779516f257bedd"/>
            <w:id w:val="865727070"/>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1594" w:rightChars="-759"/>
            <w:rPr>
              <w:szCs w:val="21"/>
            </w:rPr>
          </w:pPr>
        </w:p>
        <w:p>
          <w:pPr>
            <w:ind w:right="-1594" w:rightChars="-759"/>
          </w:pPr>
        </w:p>
      </w:sdtContent>
    </w:sdt>
    <w:sdt>
      <w:sdtPr>
        <w:rPr>
          <w:rFonts w:hint="eastAsia" w:ascii="Times New Roman" w:hAnsi="Times New Roman" w:eastAsia="宋体" w:cs="宋体"/>
          <w:b w:val="0"/>
          <w:bCs w:val="0"/>
          <w:kern w:val="0"/>
          <w:szCs w:val="24"/>
        </w:rPr>
        <w:alias w:val="模块:本报告期实际核销的应收账款情况"/>
        <w:tag w:val="_GBC_72fe1bcd09e2470f910107f1e159af49"/>
        <w:id w:val="865727074"/>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133"/>
            </w:numPr>
            <w:ind w:left="424" w:hanging="424" w:hangingChars="202"/>
          </w:pPr>
          <w:r>
            <w:t>本期实际核销的应收</w:t>
          </w:r>
          <w:r>
            <w:rPr>
              <w:rFonts w:hint="eastAsia"/>
            </w:rPr>
            <w:t>账款</w:t>
          </w:r>
          <w:r>
            <w:t>情况</w:t>
          </w:r>
        </w:p>
        <w:sdt>
          <w:sdtPr>
            <w:alias w:val="是否适用：母公司本期实际核销的应收账款情况[双击切换]"/>
            <w:tag w:val="_GBC_a30d476ac6184bc98f9b334fa55067ac"/>
            <w:id w:val="865727072"/>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86572707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ascii="Times New Roman" w:hAnsi="Times New Roman" w:eastAsia="宋体" w:cs="宋体"/>
          <w:b w:val="0"/>
          <w:bCs w:val="0"/>
          <w:kern w:val="0"/>
          <w:szCs w:val="24"/>
        </w:rPr>
        <w:alias w:val="模块:按欠款方归集的期末余额前五名的应收账款情况："/>
        <w:tag w:val="_SEC_93f8cf3ec4204ee79716a5cc7e9c978b"/>
        <w:id w:val="865727089"/>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3"/>
              <w:numId w:val="133"/>
            </w:numPr>
            <w:ind w:left="424" w:hanging="424" w:hangingChars="202"/>
          </w:pPr>
          <w:bookmarkStart w:id="232" w:name="_Hlk90023019"/>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865727075"/>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865727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865727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2259"/>
            <w:gridCol w:w="2260"/>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szCs w:val="21"/>
                </w:rPr>
                <w:tag w:val="_PLD_ba8e081a146b4929b94b1e7860a07612"/>
                <w:id w:val="115236765"/>
                <w:lock w:val="sdtLocked"/>
              </w:sdtPr>
              <w:sdtEndPr>
                <w:rPr>
                  <w:rFonts w:ascii="Times New Roman" w:hAnsi="Times New Roman"/>
                  <w:szCs w:val="21"/>
                </w:rPr>
              </w:sdtEndPr>
              <w:sdtContent>
                <w:tc>
                  <w:tcPr>
                    <w:tcW w:w="1250" w:type="pct"/>
                    <w:vAlign w:val="center"/>
                  </w:tcPr>
                  <w:p>
                    <w:pPr>
                      <w:ind w:right="105"/>
                      <w:jc w:val="center"/>
                      <w:rPr>
                        <w:rFonts w:ascii="Times New Roman" w:hAnsi="Times New Roman"/>
                        <w:szCs w:val="21"/>
                      </w:rPr>
                    </w:pPr>
                    <w:r>
                      <w:rPr>
                        <w:rFonts w:ascii="Times New Roman"/>
                        <w:szCs w:val="21"/>
                      </w:rPr>
                      <w:t>单位名称</w:t>
                    </w:r>
                  </w:p>
                </w:tc>
              </w:sdtContent>
            </w:sdt>
            <w:sdt>
              <w:sdtPr>
                <w:rPr>
                  <w:rFonts w:ascii="Times New Roman" w:hAnsi="Times New Roman"/>
                  <w:szCs w:val="21"/>
                </w:rPr>
                <w:tag w:val="_PLD_7f0743e057334ea5b63a706ec512478e"/>
                <w:id w:val="115236766"/>
                <w:lock w:val="sdtLocked"/>
              </w:sdtPr>
              <w:sdtEndPr>
                <w:rPr>
                  <w:rFonts w:ascii="Times New Roman" w:hAnsi="Times New Roman"/>
                  <w:szCs w:val="21"/>
                </w:rPr>
              </w:sdtEndPr>
              <w:sdtContent>
                <w:tc>
                  <w:tcPr>
                    <w:tcW w:w="1250" w:type="pct"/>
                    <w:vAlign w:val="center"/>
                  </w:tcPr>
                  <w:p>
                    <w:pPr>
                      <w:ind w:right="73"/>
                      <w:jc w:val="center"/>
                      <w:rPr>
                        <w:rFonts w:ascii="Times New Roman" w:hAnsi="Times New Roman"/>
                        <w:szCs w:val="21"/>
                      </w:rPr>
                    </w:pPr>
                    <w:r>
                      <w:rPr>
                        <w:rFonts w:ascii="Times New Roman"/>
                        <w:szCs w:val="21"/>
                      </w:rPr>
                      <w:t>期末余额</w:t>
                    </w:r>
                  </w:p>
                </w:tc>
              </w:sdtContent>
            </w:sdt>
            <w:sdt>
              <w:sdtPr>
                <w:rPr>
                  <w:rFonts w:ascii="Times New Roman" w:hAnsi="Times New Roman"/>
                  <w:szCs w:val="21"/>
                </w:rPr>
                <w:tag w:val="_PLD_e75877d256a147ac9d9df384e8fa830b"/>
                <w:id w:val="115236767"/>
                <w:lock w:val="sdtLocked"/>
              </w:sdtPr>
              <w:sdtEndPr>
                <w:rPr>
                  <w:rFonts w:ascii="Times New Roman" w:hAnsi="Times New Roman"/>
                  <w:szCs w:val="21"/>
                </w:rPr>
              </w:sdtEndPr>
              <w:sdtContent>
                <w:tc>
                  <w:tcPr>
                    <w:tcW w:w="1250" w:type="pct"/>
                    <w:vAlign w:val="center"/>
                  </w:tcPr>
                  <w:p>
                    <w:pPr>
                      <w:jc w:val="center"/>
                      <w:rPr>
                        <w:rFonts w:ascii="Times New Roman" w:hAnsi="Times New Roman"/>
                        <w:szCs w:val="21"/>
                      </w:rPr>
                    </w:pPr>
                    <w:r>
                      <w:rPr>
                        <w:rFonts w:ascii="Times New Roman"/>
                        <w:szCs w:val="21"/>
                      </w:rPr>
                      <w:t>占应收账款期末余额合计数的比例</w:t>
                    </w:r>
                    <w:r>
                      <w:rPr>
                        <w:rFonts w:ascii="Times New Roman" w:hAnsi="Times New Roman"/>
                        <w:szCs w:val="21"/>
                      </w:rPr>
                      <w:t>(%)</w:t>
                    </w:r>
                  </w:p>
                </w:tc>
              </w:sdtContent>
            </w:sdt>
            <w:sdt>
              <w:sdtPr>
                <w:rPr>
                  <w:rFonts w:ascii="Times New Roman" w:hAnsi="Times New Roman"/>
                  <w:szCs w:val="21"/>
                </w:rPr>
                <w:tag w:val="_PLD_d764ee0f6fc342709f76bbf8c692aaa3"/>
                <w:id w:val="115236768"/>
                <w:lock w:val="sdtLocked"/>
              </w:sdtPr>
              <w:sdtEndPr>
                <w:rPr>
                  <w:rFonts w:ascii="Times New Roman" w:hAnsi="Times New Roman"/>
                  <w:szCs w:val="21"/>
                </w:rPr>
              </w:sdtEndPr>
              <w:sdtContent>
                <w:tc>
                  <w:tcPr>
                    <w:tcW w:w="1250" w:type="pct"/>
                    <w:vAlign w:val="center"/>
                  </w:tcPr>
                  <w:p>
                    <w:pPr>
                      <w:jc w:val="center"/>
                      <w:rPr>
                        <w:rFonts w:ascii="Times New Roman" w:hAnsi="Times New Roman"/>
                        <w:szCs w:val="21"/>
                      </w:rPr>
                    </w:pPr>
                    <w:r>
                      <w:rPr>
                        <w:rFonts w:ascii="Times New Roman"/>
                        <w:szCs w:val="21"/>
                      </w:rPr>
                      <w:t>坏账准备期末余额</w:t>
                    </w:r>
                  </w:p>
                </w:tc>
              </w:sdtContent>
            </w:sdt>
          </w:tr>
          <w:sdt>
            <w:sdtPr>
              <w:rPr>
                <w:rFonts w:ascii="Times New Roman" w:hAnsi="Times New Roman" w:eastAsiaTheme="minorEastAsia" w:cstheme="minorBidi"/>
                <w:kern w:val="2"/>
                <w:szCs w:val="21"/>
              </w:rPr>
              <w:alias w:val="应收账款欠款户"/>
              <w:tag w:val="_TUP_82ab10c1600a45a088bba002258a622f"/>
              <w:id w:val="115236769"/>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rPr>
                        <w:rFonts w:ascii="Times New Roman" w:hAnsi="Times New Roman"/>
                        <w:szCs w:val="21"/>
                      </w:rPr>
                    </w:pPr>
                    <w:r>
                      <w:rPr>
                        <w:rFonts w:ascii="Times New Roman"/>
                      </w:rPr>
                      <w:t>第一名</w:t>
                    </w:r>
                  </w:p>
                </w:tc>
                <w:tc>
                  <w:tcPr>
                    <w:tcW w:w="1250" w:type="pct"/>
                  </w:tcPr>
                  <w:p>
                    <w:pPr>
                      <w:ind w:right="73"/>
                      <w:jc w:val="right"/>
                      <w:rPr>
                        <w:rFonts w:ascii="Times New Roman" w:hAnsi="Times New Roman"/>
                        <w:szCs w:val="21"/>
                      </w:rPr>
                    </w:pPr>
                    <w:r>
                      <w:rPr>
                        <w:rFonts w:ascii="Times New Roman" w:hAnsi="Times New Roman"/>
                      </w:rPr>
                      <w:t>27,496,648.81</w:t>
                    </w:r>
                  </w:p>
                </w:tc>
                <w:tc>
                  <w:tcPr>
                    <w:tcW w:w="1250" w:type="pct"/>
                  </w:tcPr>
                  <w:p>
                    <w:pPr>
                      <w:jc w:val="right"/>
                      <w:rPr>
                        <w:rFonts w:ascii="Times New Roman" w:hAnsi="Times New Roman"/>
                        <w:szCs w:val="21"/>
                      </w:rPr>
                    </w:pPr>
                    <w:r>
                      <w:rPr>
                        <w:rFonts w:ascii="Times New Roman" w:hAnsi="Times New Roman"/>
                      </w:rPr>
                      <w:t>36.80</w:t>
                    </w:r>
                  </w:p>
                </w:tc>
                <w:tc>
                  <w:tcPr>
                    <w:tcW w:w="1250" w:type="pct"/>
                  </w:tcPr>
                  <w:p>
                    <w:pPr>
                      <w:jc w:val="right"/>
                      <w:rPr>
                        <w:rFonts w:ascii="Times New Roman" w:hAnsi="Times New Roman"/>
                        <w:szCs w:val="21"/>
                      </w:rPr>
                    </w:pPr>
                  </w:p>
                </w:tc>
              </w:tr>
            </w:sdtContent>
          </w:sdt>
          <w:sdt>
            <w:sdtPr>
              <w:rPr>
                <w:rFonts w:ascii="Times New Roman" w:hAnsi="Times New Roman" w:eastAsiaTheme="minorEastAsia" w:cstheme="minorBidi"/>
                <w:kern w:val="2"/>
                <w:szCs w:val="21"/>
              </w:rPr>
              <w:alias w:val="应收账款欠款户"/>
              <w:tag w:val="_TUP_82ab10c1600a45a088bba002258a622f"/>
              <w:id w:val="115236770"/>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rPr>
                        <w:rFonts w:ascii="Times New Roman" w:hAnsi="Times New Roman"/>
                        <w:szCs w:val="21"/>
                      </w:rPr>
                    </w:pPr>
                    <w:r>
                      <w:rPr>
                        <w:rFonts w:ascii="Times New Roman"/>
                      </w:rPr>
                      <w:t>第二名</w:t>
                    </w:r>
                  </w:p>
                </w:tc>
                <w:tc>
                  <w:tcPr>
                    <w:tcW w:w="1250" w:type="pct"/>
                  </w:tcPr>
                  <w:p>
                    <w:pPr>
                      <w:ind w:right="73"/>
                      <w:jc w:val="right"/>
                      <w:rPr>
                        <w:rFonts w:ascii="Times New Roman" w:hAnsi="Times New Roman"/>
                        <w:szCs w:val="21"/>
                      </w:rPr>
                    </w:pPr>
                    <w:r>
                      <w:rPr>
                        <w:rFonts w:ascii="Times New Roman" w:hAnsi="Times New Roman"/>
                      </w:rPr>
                      <w:t>15,609,244.47</w:t>
                    </w:r>
                  </w:p>
                </w:tc>
                <w:tc>
                  <w:tcPr>
                    <w:tcW w:w="1250" w:type="pct"/>
                  </w:tcPr>
                  <w:p>
                    <w:pPr>
                      <w:jc w:val="right"/>
                      <w:rPr>
                        <w:rFonts w:ascii="Times New Roman" w:hAnsi="Times New Roman"/>
                        <w:szCs w:val="21"/>
                      </w:rPr>
                    </w:pPr>
                    <w:r>
                      <w:rPr>
                        <w:rFonts w:ascii="Times New Roman" w:hAnsi="Times New Roman"/>
                      </w:rPr>
                      <w:t>20.89</w:t>
                    </w:r>
                  </w:p>
                </w:tc>
                <w:tc>
                  <w:tcPr>
                    <w:tcW w:w="1250" w:type="pct"/>
                  </w:tcPr>
                  <w:p>
                    <w:pPr>
                      <w:jc w:val="right"/>
                      <w:rPr>
                        <w:rFonts w:ascii="Times New Roman" w:hAnsi="Times New Roman"/>
                        <w:szCs w:val="21"/>
                      </w:rPr>
                    </w:pPr>
                    <w:r>
                      <w:rPr>
                        <w:rFonts w:ascii="Times New Roman" w:hAnsi="Times New Roman"/>
                      </w:rPr>
                      <w:t>15,609,244.47</w:t>
                    </w:r>
                  </w:p>
                </w:tc>
              </w:tr>
            </w:sdtContent>
          </w:sdt>
          <w:sdt>
            <w:sdtPr>
              <w:rPr>
                <w:rFonts w:ascii="Times New Roman" w:hAnsi="Times New Roman" w:eastAsiaTheme="minorEastAsia" w:cstheme="minorBidi"/>
                <w:kern w:val="2"/>
                <w:szCs w:val="21"/>
              </w:rPr>
              <w:alias w:val="应收账款欠款户"/>
              <w:tag w:val="_TUP_82ab10c1600a45a088bba002258a622f"/>
              <w:id w:val="115236771"/>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rPr>
                        <w:rFonts w:ascii="Times New Roman" w:hAnsi="Times New Roman"/>
                        <w:szCs w:val="21"/>
                      </w:rPr>
                    </w:pPr>
                    <w:r>
                      <w:rPr>
                        <w:rFonts w:ascii="Times New Roman"/>
                      </w:rPr>
                      <w:t>第三名</w:t>
                    </w:r>
                  </w:p>
                </w:tc>
                <w:tc>
                  <w:tcPr>
                    <w:tcW w:w="1250" w:type="pct"/>
                  </w:tcPr>
                  <w:p>
                    <w:pPr>
                      <w:ind w:right="73"/>
                      <w:jc w:val="right"/>
                      <w:rPr>
                        <w:rFonts w:ascii="Times New Roman" w:hAnsi="Times New Roman"/>
                        <w:szCs w:val="21"/>
                      </w:rPr>
                    </w:pPr>
                    <w:r>
                      <w:rPr>
                        <w:rFonts w:ascii="Times New Roman" w:hAnsi="Times New Roman"/>
                      </w:rPr>
                      <w:t>2,101,073.23</w:t>
                    </w:r>
                  </w:p>
                </w:tc>
                <w:tc>
                  <w:tcPr>
                    <w:tcW w:w="1250" w:type="pct"/>
                  </w:tcPr>
                  <w:p>
                    <w:pPr>
                      <w:jc w:val="right"/>
                      <w:rPr>
                        <w:rFonts w:ascii="Times New Roman" w:hAnsi="Times New Roman"/>
                        <w:szCs w:val="21"/>
                      </w:rPr>
                    </w:pPr>
                    <w:r>
                      <w:rPr>
                        <w:rFonts w:ascii="Times New Roman" w:hAnsi="Times New Roman"/>
                      </w:rPr>
                      <w:t>2.81</w:t>
                    </w:r>
                  </w:p>
                </w:tc>
                <w:tc>
                  <w:tcPr>
                    <w:tcW w:w="1250" w:type="pct"/>
                  </w:tcPr>
                  <w:p>
                    <w:pPr>
                      <w:jc w:val="right"/>
                      <w:rPr>
                        <w:rFonts w:ascii="Times New Roman" w:hAnsi="Times New Roman"/>
                        <w:szCs w:val="21"/>
                      </w:rPr>
                    </w:pPr>
                    <w:r>
                      <w:rPr>
                        <w:rFonts w:ascii="Times New Roman" w:hAnsi="Times New Roman"/>
                      </w:rPr>
                      <w:t>5,258.81</w:t>
                    </w:r>
                  </w:p>
                </w:tc>
              </w:tr>
            </w:sdtContent>
          </w:sdt>
          <w:sdt>
            <w:sdtPr>
              <w:rPr>
                <w:rFonts w:ascii="Times New Roman" w:hAnsi="Times New Roman" w:eastAsiaTheme="minorEastAsia" w:cstheme="minorBidi"/>
                <w:kern w:val="2"/>
                <w:szCs w:val="21"/>
              </w:rPr>
              <w:alias w:val="应收账款欠款户"/>
              <w:tag w:val="_TUP_82ab10c1600a45a088bba002258a622f"/>
              <w:id w:val="115236772"/>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rPr>
                        <w:rFonts w:ascii="Times New Roman" w:hAnsi="Times New Roman"/>
                        <w:szCs w:val="21"/>
                      </w:rPr>
                    </w:pPr>
                    <w:r>
                      <w:rPr>
                        <w:rFonts w:ascii="Times New Roman"/>
                      </w:rPr>
                      <w:t>第四名</w:t>
                    </w:r>
                  </w:p>
                </w:tc>
                <w:tc>
                  <w:tcPr>
                    <w:tcW w:w="1250" w:type="pct"/>
                  </w:tcPr>
                  <w:p>
                    <w:pPr>
                      <w:ind w:right="73"/>
                      <w:jc w:val="right"/>
                      <w:rPr>
                        <w:rFonts w:ascii="Times New Roman" w:hAnsi="Times New Roman"/>
                        <w:szCs w:val="21"/>
                      </w:rPr>
                    </w:pPr>
                    <w:r>
                      <w:rPr>
                        <w:rFonts w:ascii="Times New Roman" w:hAnsi="Times New Roman"/>
                      </w:rPr>
                      <w:t>2,079,197.55</w:t>
                    </w:r>
                  </w:p>
                </w:tc>
                <w:tc>
                  <w:tcPr>
                    <w:tcW w:w="1250" w:type="pct"/>
                  </w:tcPr>
                  <w:p>
                    <w:pPr>
                      <w:jc w:val="right"/>
                      <w:rPr>
                        <w:rFonts w:ascii="Times New Roman" w:hAnsi="Times New Roman"/>
                        <w:szCs w:val="21"/>
                      </w:rPr>
                    </w:pPr>
                    <w:r>
                      <w:rPr>
                        <w:rFonts w:ascii="Times New Roman" w:hAnsi="Times New Roman"/>
                      </w:rPr>
                      <w:t>2.78</w:t>
                    </w:r>
                  </w:p>
                </w:tc>
                <w:tc>
                  <w:tcPr>
                    <w:tcW w:w="1250" w:type="pct"/>
                  </w:tcPr>
                  <w:p>
                    <w:pPr>
                      <w:jc w:val="right"/>
                      <w:rPr>
                        <w:rFonts w:ascii="Times New Roman" w:hAnsi="Times New Roman"/>
                        <w:szCs w:val="21"/>
                      </w:rPr>
                    </w:pPr>
                    <w:r>
                      <w:rPr>
                        <w:rFonts w:ascii="Times New Roman" w:hAnsi="Times New Roman"/>
                      </w:rPr>
                      <w:t>2,079,197.55</w:t>
                    </w:r>
                  </w:p>
                </w:tc>
              </w:tr>
            </w:sdtContent>
          </w:sdt>
          <w:sdt>
            <w:sdtPr>
              <w:rPr>
                <w:rFonts w:ascii="Times New Roman" w:hAnsi="Times New Roman" w:eastAsiaTheme="minorEastAsia" w:cstheme="minorBidi"/>
                <w:kern w:val="2"/>
                <w:szCs w:val="21"/>
              </w:rPr>
              <w:alias w:val="应收账款欠款户"/>
              <w:tag w:val="_TUP_82ab10c1600a45a088bba002258a622f"/>
              <w:id w:val="115236773"/>
              <w:lock w:val="sdtLocked"/>
            </w:sdtPr>
            <w:sdtEndPr>
              <w:rPr>
                <w:rFonts w:ascii="Times New Roman" w:hAnsi="Times New Roman"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rPr>
                        <w:rFonts w:ascii="Times New Roman" w:hAnsi="Times New Roman"/>
                        <w:szCs w:val="21"/>
                      </w:rPr>
                    </w:pPr>
                    <w:r>
                      <w:rPr>
                        <w:rFonts w:ascii="Times New Roman"/>
                      </w:rPr>
                      <w:t>第五名</w:t>
                    </w:r>
                  </w:p>
                </w:tc>
                <w:tc>
                  <w:tcPr>
                    <w:tcW w:w="1250" w:type="pct"/>
                  </w:tcPr>
                  <w:p>
                    <w:pPr>
                      <w:ind w:right="73"/>
                      <w:jc w:val="right"/>
                      <w:rPr>
                        <w:rFonts w:ascii="Times New Roman" w:hAnsi="Times New Roman"/>
                        <w:szCs w:val="21"/>
                      </w:rPr>
                    </w:pPr>
                    <w:r>
                      <w:rPr>
                        <w:rFonts w:ascii="Times New Roman" w:hAnsi="Times New Roman"/>
                      </w:rPr>
                      <w:t>2,044,533.98</w:t>
                    </w:r>
                  </w:p>
                </w:tc>
                <w:tc>
                  <w:tcPr>
                    <w:tcW w:w="1250" w:type="pct"/>
                  </w:tcPr>
                  <w:p>
                    <w:pPr>
                      <w:jc w:val="right"/>
                      <w:rPr>
                        <w:rFonts w:ascii="Times New Roman" w:hAnsi="Times New Roman"/>
                        <w:szCs w:val="21"/>
                      </w:rPr>
                    </w:pPr>
                    <w:r>
                      <w:rPr>
                        <w:rFonts w:ascii="Times New Roman" w:hAnsi="Times New Roman"/>
                      </w:rPr>
                      <w:t>2.74</w:t>
                    </w:r>
                  </w:p>
                </w:tc>
                <w:tc>
                  <w:tcPr>
                    <w:tcW w:w="1250" w:type="pct"/>
                  </w:tcPr>
                  <w:p>
                    <w:pPr>
                      <w:jc w:val="right"/>
                      <w:rPr>
                        <w:rFonts w:ascii="Times New Roman" w:hAnsi="Times New Roman"/>
                        <w:szCs w:val="21"/>
                      </w:rPr>
                    </w:pPr>
                    <w:r>
                      <w:rPr>
                        <w:rFonts w:ascii="Times New Roman" w:hAnsi="Times New Roman"/>
                      </w:rPr>
                      <w:t>30,132.13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sdt>
                <w:sdtPr>
                  <w:rPr>
                    <w:rFonts w:ascii="Times New Roman" w:hAnsi="Times New Roman"/>
                    <w:szCs w:val="21"/>
                  </w:rPr>
                  <w:tag w:val="_PLD_557ea29534ab4fc9a2f6c805e7d2f163"/>
                  <w:id w:val="115236774"/>
                  <w:lock w:val="sdtLocked"/>
                </w:sdtPr>
                <w:sdtEndPr>
                  <w:rPr>
                    <w:rFonts w:ascii="Times New Roman" w:hAnsi="Times New Roman"/>
                    <w:szCs w:val="21"/>
                  </w:rPr>
                </w:sdtEndPr>
                <w:sdtContent>
                  <w:p>
                    <w:pPr>
                      <w:ind w:right="105"/>
                      <w:jc w:val="center"/>
                      <w:rPr>
                        <w:rFonts w:ascii="Times New Roman" w:hAnsi="Times New Roman"/>
                        <w:szCs w:val="21"/>
                      </w:rPr>
                    </w:pPr>
                    <w:r>
                      <w:rPr>
                        <w:rFonts w:ascii="Times New Roman"/>
                        <w:szCs w:val="21"/>
                      </w:rPr>
                      <w:t>合计</w:t>
                    </w:r>
                  </w:p>
                </w:sdtContent>
              </w:sdt>
            </w:tc>
            <w:tc>
              <w:tcPr>
                <w:tcW w:w="1250" w:type="pct"/>
              </w:tcPr>
              <w:p>
                <w:pPr>
                  <w:ind w:right="73"/>
                  <w:jc w:val="right"/>
                  <w:rPr>
                    <w:rFonts w:ascii="Times New Roman" w:hAnsi="Times New Roman"/>
                    <w:szCs w:val="21"/>
                  </w:rPr>
                </w:pPr>
                <w:r>
                  <w:rPr>
                    <w:rFonts w:ascii="Times New Roman" w:hAnsi="Times New Roman"/>
                  </w:rPr>
                  <w:t>49,330,698.04</w:t>
                </w:r>
              </w:p>
            </w:tc>
            <w:tc>
              <w:tcPr>
                <w:tcW w:w="1250" w:type="pct"/>
              </w:tcPr>
              <w:p>
                <w:pPr>
                  <w:jc w:val="right"/>
                  <w:rPr>
                    <w:rFonts w:ascii="Times New Roman" w:hAnsi="Times New Roman"/>
                    <w:szCs w:val="21"/>
                  </w:rPr>
                </w:pPr>
                <w:r>
                  <w:rPr>
                    <w:rFonts w:ascii="Times New Roman" w:hAnsi="Times New Roman"/>
                  </w:rPr>
                  <w:t>66.02</w:t>
                </w:r>
              </w:p>
            </w:tc>
            <w:tc>
              <w:tcPr>
                <w:tcW w:w="1250" w:type="pct"/>
              </w:tcPr>
              <w:p>
                <w:pPr>
                  <w:jc w:val="right"/>
                  <w:rPr>
                    <w:rFonts w:ascii="Times New Roman" w:hAnsi="Times New Roman"/>
                    <w:szCs w:val="21"/>
                  </w:rPr>
                </w:pPr>
                <w:r>
                  <w:rPr>
                    <w:rFonts w:ascii="Times New Roman" w:hAnsi="Times New Roman"/>
                  </w:rPr>
                  <w:t>17,723,832.96</w:t>
                </w:r>
              </w:p>
            </w:tc>
          </w:tr>
        </w:tbl>
        <w:p/>
        <w:p>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865727088"/>
            <w:lock w:val="sdtLocked"/>
            <w:placeholder>
              <w:docPart w:val="GBC22222222222222222222222222222"/>
            </w:placeholder>
          </w:sdtPr>
          <w:sdtEndPr>
            <w:rPr>
              <w:szCs w:val="21"/>
            </w:rPr>
          </w:sdtEndPr>
          <w:sdtContent>
            <w:p>
              <w:pPr>
                <w:snapToGrid w:val="0"/>
                <w:spacing w:line="240" w:lineRule="atLeast"/>
                <w:rPr>
                  <w:szCs w:val="21"/>
                </w:rPr>
              </w:pPr>
              <w:r>
                <w:rPr>
                  <w:rFonts w:hint="eastAsia"/>
                  <w:szCs w:val="21"/>
                </w:rPr>
                <w:t>无</w:t>
              </w:r>
            </w:p>
          </w:sdtContent>
        </w:sdt>
        <w:p>
          <w:pPr>
            <w:snapToGrid w:val="0"/>
            <w:spacing w:line="240" w:lineRule="atLeast"/>
            <w:rPr>
              <w:rFonts w:ascii="Times New Roman" w:hAnsi="Times New Roman"/>
            </w:rPr>
          </w:pPr>
        </w:p>
      </w:sdtContent>
    </w:sdt>
    <w:bookmarkEnd w:id="232"/>
    <w:sdt>
      <w:sdtPr>
        <w:rPr>
          <w:rFonts w:hint="eastAsia" w:ascii="Times New Roman" w:hAnsi="Times New Roman" w:eastAsia="宋体" w:cs="宋体"/>
          <w:b w:val="0"/>
          <w:bCs w:val="0"/>
          <w:kern w:val="0"/>
          <w:szCs w:val="24"/>
        </w:rPr>
        <w:alias w:val="模块:因金融资产转移而终止确认的应收账款"/>
        <w:tag w:val="_GBC_ab73666b561d47cbb383aa21715b406f"/>
        <w:id w:val="865727091"/>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3"/>
              <w:numId w:val="133"/>
            </w:numPr>
            <w:ind w:left="424" w:hanging="424" w:hangingChars="202"/>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865727090"/>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rFonts w:ascii="Times New Roman" w:hAnsi="Times New Roman"/>
            </w:rPr>
          </w:pPr>
        </w:p>
      </w:sdtContent>
    </w:sdt>
    <w:sdt>
      <w:sdtPr>
        <w:rPr>
          <w:rFonts w:hint="eastAsia" w:ascii="Times New Roman" w:hAnsi="Times New Roman" w:eastAsia="宋体" w:cs="宋体"/>
          <w:b w:val="0"/>
          <w:bCs w:val="0"/>
          <w:kern w:val="0"/>
          <w:szCs w:val="24"/>
        </w:rPr>
        <w:alias w:val="模块:转移应收账款且继续涉入的，分项列示继续涉入形成的资产、负债的金额"/>
        <w:tag w:val="_GBC_0fefb2630375419f8e496c310f6ec9ee"/>
        <w:id w:val="865727093"/>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3"/>
              <w:numId w:val="133"/>
            </w:numPr>
            <w:ind w:left="424" w:hanging="424" w:hangingChars="202"/>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865727092"/>
            <w:lock w:val="sdtLocked"/>
            <w:placeholder>
              <w:docPart w:val="GBC22222222222222222222222222222"/>
            </w:placeholder>
          </w:sdtPr>
          <w:sdtEndPr>
            <w:rPr>
              <w:rFonts w:hint="eastAsia"/>
            </w:rPr>
          </w:sdtEndPr>
          <w:sdtContent>
            <w:p>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napToGrid w:val="0"/>
        <w:spacing w:line="240" w:lineRule="atLeast"/>
        <w:ind w:left="-105" w:leftChars="-50"/>
        <w:rPr>
          <w:rFonts w:ascii="Times New Roman" w:hAnsi="Times New Roman"/>
        </w:rPr>
      </w:pPr>
    </w:p>
    <w:sdt>
      <w:sdtPr>
        <w:rPr>
          <w:rFonts w:hint="eastAsia" w:ascii="Times New Roman" w:hAnsi="Times New Roman"/>
          <w:b/>
          <w:bCs/>
        </w:rPr>
        <w:alias w:val="模块:其他说明："/>
        <w:tag w:val="_GBC_eac4abdf299a4312a10e680c5fc79ef9"/>
        <w:id w:val="865727095"/>
        <w:lock w:val="sdtLocked"/>
        <w:placeholder>
          <w:docPart w:val="GBC22222222222222222222222222222"/>
        </w:placeholder>
      </w:sdtPr>
      <w:sdtEndPr>
        <w:rPr>
          <w:rFonts w:hint="default" w:ascii="Times New Roman" w:hAnsi="Times New Roman"/>
          <w:b w:val="0"/>
          <w:bCs w:val="0"/>
        </w:rPr>
      </w:sdtEndPr>
      <w:sdtContent>
        <w:p>
          <w:r>
            <w:rPr>
              <w:rFonts w:hint="eastAsia"/>
            </w:rPr>
            <w:t>其他</w:t>
          </w:r>
          <w:r>
            <w:t>说明：</w:t>
          </w:r>
        </w:p>
        <w:sdt>
          <w:sdtPr>
            <w:alias w:val="是否适用：母公司应收账款其他说明[双击切换]"/>
            <w:tag w:val="_GBC_4765684a53b9474f898fa6c2bd313427"/>
            <w:id w:val="86572709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sdtContent>
    </w:sdt>
    <w:p>
      <w:pPr>
        <w:pStyle w:val="4"/>
        <w:numPr>
          <w:ilvl w:val="0"/>
          <w:numId w:val="132"/>
        </w:numPr>
        <w:rPr>
          <w:rFonts w:ascii="宋体" w:hAnsi="宋体"/>
          <w:szCs w:val="21"/>
        </w:rPr>
      </w:pPr>
      <w:r>
        <w:rPr>
          <w:rFonts w:hint="eastAsia" w:ascii="宋体" w:hAnsi="宋体"/>
          <w:szCs w:val="21"/>
        </w:rPr>
        <w:t>其他应收款</w:t>
      </w:r>
    </w:p>
    <w:sdt>
      <w:sdtPr>
        <w:rPr>
          <w:rFonts w:hint="eastAsia" w:ascii="宋体" w:hAnsi="宋体" w:eastAsia="宋体" w:cs="宋体"/>
          <w:b w:val="0"/>
          <w:bCs w:val="0"/>
          <w:kern w:val="0"/>
          <w:szCs w:val="24"/>
        </w:rPr>
        <w:alias w:val="模块:其他应收款分类列示"/>
        <w:tag w:val="_SEC_74a857229cce4d58b9294f2d79542480"/>
        <w:id w:val="865727106"/>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pPr>
          <w:bookmarkStart w:id="233" w:name="_Hlk533796954"/>
          <w:r>
            <w:rPr>
              <w:rFonts w:hint="eastAsia"/>
            </w:rPr>
            <w:t>项目列示</w:t>
          </w:r>
        </w:p>
        <w:sdt>
          <w:sdtPr>
            <w:alias w:val="是否适用：母公司其他应收款分类列示[双击切换]"/>
            <w:tag w:val="_GBC_eca97260629e4985b01404cfe0f9630b"/>
            <w:id w:val="86572709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其他应收款分类列示"/>
              <w:tag w:val="_GBC_3e648241a63447daac5dd00971efb146"/>
              <w:id w:val="8657270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8657270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2"/>
            <w:gridCol w:w="2935"/>
            <w:gridCol w:w="2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b479f5d2152744d795c782ce31071693"/>
                <w:id w:val="865727099"/>
                <w:lock w:val="sdtLocked"/>
              </w:sdtPr>
              <w:sdtEndPr>
                <w:rPr>
                  <w:rFonts w:ascii="Times New Roman" w:hAnsi="Times New Roman" w:cs="Times New Roman"/>
                </w:rPr>
              </w:sdtEndPr>
              <w:sdtContent>
                <w:tc>
                  <w:tcPr>
                    <w:tcW w:w="1764" w:type="pct"/>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35a9734d9ab442afab77b957de461f60"/>
                <w:id w:val="865727100"/>
                <w:lock w:val="sdtLocked"/>
              </w:sdtPr>
              <w:sdtEndPr>
                <w:rPr>
                  <w:rFonts w:ascii="Times New Roman" w:hAnsi="Times New Roman" w:cs="Times New Roman"/>
                </w:rPr>
              </w:sdtEndPr>
              <w:sdtContent>
                <w:tc>
                  <w:tcPr>
                    <w:tcW w:w="1622" w:type="pct"/>
                    <w:vAlign w:val="center"/>
                  </w:tcPr>
                  <w:p>
                    <w:pPr>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b7c7812d7c504706a7e2b4952bc5c120"/>
                <w:id w:val="865727101"/>
                <w:lock w:val="sdtLocked"/>
              </w:sdtPr>
              <w:sdtEndPr>
                <w:rPr>
                  <w:rFonts w:ascii="Times New Roman" w:hAnsi="Times New Roman" w:cs="Times New Roman"/>
                </w:rPr>
              </w:sdtEndPr>
              <w:sdtContent>
                <w:tc>
                  <w:tcPr>
                    <w:tcW w:w="1614" w:type="pct"/>
                    <w:vAlign w:val="center"/>
                  </w:tcPr>
                  <w:p>
                    <w:pPr>
                      <w:jc w:val="center"/>
                      <w:rPr>
                        <w:rFonts w:ascii="Times New Roman" w:hAnsi="Times New Roman" w:cs="Times New Roman"/>
                        <w:szCs w:val="21"/>
                      </w:rPr>
                    </w:pPr>
                    <w:r>
                      <w:rPr>
                        <w:rFonts w:ascii="Times New Roman" w:cs="Times New Roman"/>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1bc5521157c247638b1dab0ce984af82"/>
                <w:id w:val="865727102"/>
                <w:lock w:val="sdtLocked"/>
              </w:sdtPr>
              <w:sdtEndPr>
                <w:rPr>
                  <w:rFonts w:ascii="Times New Roman" w:hAnsi="Times New Roman" w:cs="Times New Roman"/>
                </w:rPr>
              </w:sdtEndPr>
              <w:sdtContent>
                <w:tc>
                  <w:tcPr>
                    <w:tcW w:w="1764" w:type="pct"/>
                  </w:tcPr>
                  <w:p>
                    <w:pPr>
                      <w:ind w:right="5"/>
                      <w:rPr>
                        <w:rFonts w:ascii="Times New Roman" w:hAnsi="Times New Roman" w:cs="Times New Roman"/>
                        <w:szCs w:val="21"/>
                      </w:rPr>
                    </w:pPr>
                    <w:r>
                      <w:rPr>
                        <w:rFonts w:ascii="Times New Roman" w:cs="Times New Roman"/>
                        <w:szCs w:val="21"/>
                      </w:rPr>
                      <w:t>应收利息</w:t>
                    </w:r>
                  </w:p>
                </w:tc>
              </w:sdtContent>
            </w:sdt>
            <w:tc>
              <w:tcPr>
                <w:tcW w:w="1622" w:type="pct"/>
              </w:tcPr>
              <w:p>
                <w:pPr>
                  <w:ind w:right="5"/>
                  <w:jc w:val="right"/>
                  <w:rPr>
                    <w:rFonts w:ascii="Times New Roman" w:hAnsi="Times New Roman" w:cs="Times New Roman"/>
                    <w:szCs w:val="21"/>
                  </w:rPr>
                </w:pPr>
              </w:p>
            </w:tc>
            <w:tc>
              <w:tcPr>
                <w:tcW w:w="1614" w:type="pct"/>
              </w:tcPr>
              <w:p>
                <w:pPr>
                  <w:ind w:right="5"/>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83a9c7439441458ba848d242b0cb5b8d"/>
                <w:id w:val="865727103"/>
                <w:lock w:val="sdtLocked"/>
              </w:sdtPr>
              <w:sdtEndPr>
                <w:rPr>
                  <w:rFonts w:ascii="Times New Roman" w:hAnsi="Times New Roman" w:cs="Times New Roman"/>
                </w:rPr>
              </w:sdtEndPr>
              <w:sdtContent>
                <w:tc>
                  <w:tcPr>
                    <w:tcW w:w="1764" w:type="pct"/>
                  </w:tcPr>
                  <w:p>
                    <w:pPr>
                      <w:ind w:right="5"/>
                      <w:rPr>
                        <w:rFonts w:ascii="Times New Roman" w:hAnsi="Times New Roman" w:cs="Times New Roman"/>
                        <w:szCs w:val="21"/>
                      </w:rPr>
                    </w:pPr>
                    <w:r>
                      <w:rPr>
                        <w:rFonts w:ascii="Times New Roman" w:cs="Times New Roman"/>
                        <w:szCs w:val="21"/>
                      </w:rPr>
                      <w:t>应收股利</w:t>
                    </w:r>
                  </w:p>
                </w:tc>
              </w:sdtContent>
            </w:sdt>
            <w:tc>
              <w:tcPr>
                <w:tcW w:w="1622" w:type="pct"/>
              </w:tcPr>
              <w:p>
                <w:pPr>
                  <w:ind w:right="5"/>
                  <w:jc w:val="right"/>
                  <w:rPr>
                    <w:rFonts w:ascii="Times New Roman" w:hAnsi="Times New Roman" w:cs="Times New Roman"/>
                    <w:szCs w:val="21"/>
                  </w:rPr>
                </w:pPr>
              </w:p>
            </w:tc>
            <w:tc>
              <w:tcPr>
                <w:tcW w:w="1614" w:type="pct"/>
              </w:tcPr>
              <w:p>
                <w:pPr>
                  <w:ind w:right="5"/>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2a2907d83de84461a0358f08f3ff2448"/>
                <w:id w:val="865727104"/>
                <w:lock w:val="sdtLocked"/>
              </w:sdtPr>
              <w:sdtEndPr>
                <w:rPr>
                  <w:rFonts w:ascii="Times New Roman" w:hAnsi="Times New Roman" w:cs="Times New Roman"/>
                </w:rPr>
              </w:sdtEndPr>
              <w:sdtContent>
                <w:tc>
                  <w:tcPr>
                    <w:tcW w:w="1764" w:type="pct"/>
                  </w:tcPr>
                  <w:p>
                    <w:pPr>
                      <w:ind w:right="5"/>
                      <w:rPr>
                        <w:rFonts w:ascii="Times New Roman" w:hAnsi="Times New Roman" w:cs="Times New Roman"/>
                        <w:szCs w:val="21"/>
                      </w:rPr>
                    </w:pPr>
                    <w:r>
                      <w:rPr>
                        <w:rFonts w:ascii="Times New Roman" w:cs="Times New Roman"/>
                        <w:szCs w:val="21"/>
                      </w:rPr>
                      <w:t>其他应收款</w:t>
                    </w:r>
                  </w:p>
                </w:tc>
              </w:sdtContent>
            </w:sdt>
            <w:tc>
              <w:tcPr>
                <w:tcW w:w="1622" w:type="pct"/>
                <w:vAlign w:val="center"/>
              </w:tcPr>
              <w:p>
                <w:pPr>
                  <w:jc w:val="right"/>
                  <w:rPr>
                    <w:rFonts w:ascii="Times New Roman" w:hAnsi="Times New Roman" w:cs="Times New Roman"/>
                    <w:sz w:val="24"/>
                  </w:rPr>
                </w:pPr>
                <w:r>
                  <w:rPr>
                    <w:rFonts w:ascii="Times New Roman" w:hAnsi="Times New Roman" w:cs="Times New Roman"/>
                  </w:rPr>
                  <w:t>88,286,992.13</w:t>
                </w:r>
              </w:p>
            </w:tc>
            <w:tc>
              <w:tcPr>
                <w:tcW w:w="1614" w:type="pct"/>
                <w:vAlign w:val="center"/>
              </w:tcPr>
              <w:p>
                <w:pPr>
                  <w:jc w:val="right"/>
                  <w:rPr>
                    <w:rFonts w:ascii="Times New Roman" w:hAnsi="Times New Roman" w:cs="Times New Roman"/>
                    <w:sz w:val="24"/>
                  </w:rPr>
                </w:pPr>
                <w:r>
                  <w:rPr>
                    <w:rFonts w:ascii="Times New Roman" w:hAnsi="Times New Roman" w:cs="Times New Roman"/>
                  </w:rPr>
                  <w:t>702,248,512.35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cfd0d36043fb47cda6f36f696576dc28"/>
                <w:id w:val="865727105"/>
                <w:lock w:val="sdtLocked"/>
              </w:sdtPr>
              <w:sdtEndPr>
                <w:rPr>
                  <w:rFonts w:ascii="Times New Roman" w:hAnsi="Times New Roman" w:cs="Times New Roman"/>
                </w:rPr>
              </w:sdtEndPr>
              <w:sdtContent>
                <w:tc>
                  <w:tcPr>
                    <w:tcW w:w="1764" w:type="pct"/>
                    <w:vAlign w:val="center"/>
                  </w:tcPr>
                  <w:p>
                    <w:pPr>
                      <w:autoSpaceDE w:val="0"/>
                      <w:autoSpaceDN w:val="0"/>
                      <w:adjustRightInd w:val="0"/>
                      <w:jc w:val="center"/>
                      <w:rPr>
                        <w:rFonts w:ascii="Times New Roman" w:hAnsi="Times New Roman" w:cs="Times New Roman"/>
                        <w:szCs w:val="21"/>
                      </w:rPr>
                    </w:pPr>
                    <w:r>
                      <w:rPr>
                        <w:rFonts w:ascii="Times New Roman" w:cs="Times New Roman"/>
                        <w:szCs w:val="21"/>
                      </w:rPr>
                      <w:t>合计</w:t>
                    </w:r>
                  </w:p>
                </w:tc>
              </w:sdtContent>
            </w:sdt>
            <w:tc>
              <w:tcPr>
                <w:tcW w:w="1622" w:type="pct"/>
                <w:vAlign w:val="center"/>
              </w:tcPr>
              <w:p>
                <w:pPr>
                  <w:jc w:val="right"/>
                  <w:rPr>
                    <w:rFonts w:ascii="Times New Roman" w:hAnsi="Times New Roman" w:cs="Times New Roman"/>
                    <w:sz w:val="24"/>
                  </w:rPr>
                </w:pPr>
                <w:r>
                  <w:rPr>
                    <w:rFonts w:ascii="Times New Roman" w:hAnsi="Times New Roman" w:cs="Times New Roman"/>
                  </w:rPr>
                  <w:t>88,286,992.13</w:t>
                </w:r>
              </w:p>
            </w:tc>
            <w:tc>
              <w:tcPr>
                <w:tcW w:w="1614" w:type="pct"/>
                <w:vAlign w:val="center"/>
              </w:tcPr>
              <w:p>
                <w:pPr>
                  <w:jc w:val="right"/>
                  <w:rPr>
                    <w:rFonts w:ascii="Times New Roman" w:hAnsi="Times New Roman" w:cs="Times New Roman"/>
                    <w:sz w:val="24"/>
                  </w:rPr>
                </w:pPr>
                <w:r>
                  <w:rPr>
                    <w:rFonts w:ascii="Times New Roman" w:hAnsi="Times New Roman" w:cs="Times New Roman"/>
                  </w:rPr>
                  <w:t>702,248,512.35</w:t>
                </w:r>
              </w:p>
            </w:tc>
          </w:tr>
        </w:tbl>
        <w:p/>
      </w:sdtContent>
    </w:sdt>
    <w:bookmarkEnd w:id="233"/>
    <w:sdt>
      <w:sdtPr>
        <w:rPr>
          <w:rFonts w:hint="eastAsia"/>
          <w:szCs w:val="21"/>
        </w:rPr>
        <w:alias w:val="模块:其他应收款分类列示其他说明"/>
        <w:tag w:val="_SEC_1a3871c3656a46aa979e92498f91509a"/>
        <w:id w:val="865727108"/>
        <w:lock w:val="sdtLocked"/>
        <w:placeholder>
          <w:docPart w:val="GBC22222222222222222222222222222"/>
        </w:placeholder>
      </w:sdtPr>
      <w:sdtEndPr>
        <w:rPr>
          <w:rFonts w:hint="default"/>
          <w:szCs w:val="21"/>
        </w:rPr>
      </w:sdtEndPr>
      <w:sdtContent>
        <w:p>
          <w:pPr>
            <w:rPr>
              <w:szCs w:val="21"/>
            </w:rPr>
          </w:pPr>
          <w:bookmarkStart w:id="234" w:name="_Hlk533797002"/>
          <w:r>
            <w:rPr>
              <w:rFonts w:hint="eastAsia"/>
              <w:szCs w:val="21"/>
            </w:rPr>
            <w:t>其他说明：</w:t>
          </w:r>
        </w:p>
        <w:sdt>
          <w:sdtPr>
            <w:rPr>
              <w:szCs w:val="21"/>
            </w:rPr>
            <w:alias w:val="是否适用：母公司其他应收款分类列示其他说明[双击切换]"/>
            <w:tag w:val="_GBC_17d0b67d20cb486dbc08e07c11e1224a"/>
            <w:id w:val="86572710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34"/>
    <w:p/>
    <w:p>
      <w:pPr>
        <w:pStyle w:val="5"/>
        <w:ind w:left="360" w:hanging="360"/>
      </w:pPr>
      <w:r>
        <w:rPr>
          <w:rFonts w:hint="eastAsia"/>
        </w:rPr>
        <w:t>应收利息</w:t>
      </w:r>
    </w:p>
    <w:sdt>
      <w:sdtPr>
        <w:rPr>
          <w:rFonts w:hint="eastAsia" w:eastAsia="宋体" w:cs="宋体" w:asciiTheme="minorHAnsi" w:hAnsiTheme="minorHAnsi"/>
          <w:b w:val="0"/>
          <w:bCs w:val="0"/>
          <w:kern w:val="0"/>
          <w:szCs w:val="22"/>
        </w:rPr>
        <w:alias w:val="模块:应收利息"/>
        <w:tag w:val="_SEC_e39fae55cd97406480ebaf5b6cc99a7a"/>
        <w:id w:val="865727110"/>
        <w:lock w:val="sdtLocked"/>
        <w:placeholder>
          <w:docPart w:val="GBC22222222222222222222222222222"/>
        </w:placeholder>
      </w:sdtPr>
      <w:sdtEndPr>
        <w:rPr>
          <w:rFonts w:hint="eastAsia" w:ascii="Times New Roman" w:hAnsi="Times New Roman" w:eastAsia="宋体" w:cs="Times New Roman"/>
          <w:b w:val="0"/>
          <w:bCs w:val="0"/>
          <w:kern w:val="2"/>
          <w:szCs w:val="24"/>
        </w:rPr>
      </w:sdtEndPr>
      <w:sdtContent>
        <w:p>
          <w:pPr>
            <w:pStyle w:val="5"/>
            <w:numPr>
              <w:ilvl w:val="3"/>
              <w:numId w:val="134"/>
            </w:numPr>
            <w:ind w:left="426" w:hanging="426"/>
          </w:pPr>
          <w:bookmarkStart w:id="235" w:name="_Hlk533797042"/>
          <w:r>
            <w:rPr>
              <w:rFonts w:hint="eastAsia"/>
            </w:rPr>
            <w:t>应收利息分类</w:t>
          </w:r>
        </w:p>
        <w:sdt>
          <w:sdtPr>
            <w:alias w:val="是否适用：母公司应收利息分类[双击切换]"/>
            <w:tag w:val="_GBC_5e0cba78d09b4764ada25ce89de1c4fd"/>
            <w:id w:val="86572710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5"/>
    <w:sdt>
      <w:sdtPr>
        <w:rPr>
          <w:rFonts w:hint="eastAsia" w:ascii="宋体" w:hAnsi="宋体" w:eastAsia="宋体" w:cs="宋体"/>
          <w:b w:val="0"/>
          <w:bCs w:val="0"/>
          <w:kern w:val="0"/>
          <w:szCs w:val="24"/>
        </w:rPr>
        <w:alias w:val="模块:逾期利息"/>
        <w:tag w:val="_SEC_0eba643091a6470aada89466b37489ac"/>
        <w:id w:val="865727112"/>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134"/>
            </w:numPr>
            <w:ind w:left="426" w:hanging="426"/>
          </w:pPr>
          <w:bookmarkStart w:id="236" w:name="_Hlk533797114"/>
          <w:r>
            <w:rPr>
              <w:rFonts w:hint="eastAsia"/>
            </w:rPr>
            <w:t>重要逾期利息</w:t>
          </w:r>
        </w:p>
        <w:sdt>
          <w:sdtPr>
            <w:alias w:val="是否适用：母公司重要逾期利息[双击切换]"/>
            <w:tag w:val="_GBC_2d954f5af6a64a34941652eeb166dce8"/>
            <w:id w:val="86572711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6"/>
    <w:sdt>
      <w:sdtPr>
        <w:rPr>
          <w:rFonts w:hint="eastAsia" w:ascii="宋体" w:hAnsi="宋体" w:eastAsia="宋体" w:cs="宋体"/>
          <w:b w:val="0"/>
          <w:bCs w:val="0"/>
          <w:kern w:val="0"/>
          <w:szCs w:val="24"/>
        </w:rPr>
        <w:alias w:val="模块:坏账准备的期初期末调节表"/>
        <w:tag w:val="_SEC_db389788aeeb4531b9fed1397a2cd7fe"/>
        <w:id w:val="865727114"/>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134"/>
            </w:numPr>
            <w:ind w:left="426" w:hanging="426"/>
          </w:pPr>
          <w:bookmarkStart w:id="237" w:name="_Hlk533868784"/>
          <w:r>
            <w:rPr>
              <w:rFonts w:hint="eastAsia" w:ascii="宋体" w:hAnsi="宋体" w:eastAsia="宋体" w:cs="宋体"/>
              <w:bCs w:val="0"/>
              <w:kern w:val="0"/>
              <w:szCs w:val="24"/>
            </w:rPr>
            <w:t>坏账准备计提情况</w:t>
          </w:r>
        </w:p>
        <w:sdt>
          <w:sdtPr>
            <w:rPr>
              <w:szCs w:val="21"/>
            </w:rPr>
            <w:alias w:val="是否适用：母公司应收利息坏账准备调节表[双击切换]"/>
            <w:tag w:val="_GBC_f31c9323c5434941917fd7e42ea1fd1b"/>
            <w:id w:val="865727113"/>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
      </w:sdtContent>
    </w:sdt>
    <w:bookmarkEnd w:id="237"/>
    <w:sdt>
      <w:sdtPr>
        <w:rPr>
          <w:rFonts w:hint="eastAsia"/>
          <w:b/>
          <w:bCs/>
        </w:rPr>
        <w:alias w:val="模块:应收利息的说明"/>
        <w:tag w:val="_SEC_420c39c62dbc49c58e111f47e5cba702"/>
        <w:id w:val="865727116"/>
        <w:lock w:val="sdtLocked"/>
        <w:placeholder>
          <w:docPart w:val="GBC22222222222222222222222222222"/>
        </w:placeholder>
      </w:sdtPr>
      <w:sdtEndPr>
        <w:rPr>
          <w:rFonts w:hint="default"/>
          <w:b w:val="0"/>
          <w:bCs w:val="0"/>
          <w:szCs w:val="21"/>
        </w:rPr>
      </w:sdtEndPr>
      <w:sdtContent>
        <w:p>
          <w:bookmarkStart w:id="238" w:name="_Hlk533797211"/>
          <w:r>
            <w:rPr>
              <w:rFonts w:hint="eastAsia"/>
            </w:rPr>
            <w:t>其他说明：</w:t>
          </w:r>
        </w:p>
        <w:sdt>
          <w:sdtPr>
            <w:rPr>
              <w:szCs w:val="21"/>
            </w:rPr>
            <w:alias w:val="是否适用：母公司应收利息其他说明[双击切换]"/>
            <w:tag w:val="_GBC_422a110cf0624865b634bb6f2d1a28bd"/>
            <w:id w:val="86572711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38"/>
    <w:p/>
    <w:p>
      <w:pPr>
        <w:pStyle w:val="5"/>
        <w:ind w:left="360" w:hanging="360"/>
      </w:pPr>
      <w:r>
        <w:rPr>
          <w:rFonts w:hint="eastAsia"/>
        </w:rPr>
        <w:t>应收股利</w:t>
      </w:r>
    </w:p>
    <w:sdt>
      <w:sdtPr>
        <w:rPr>
          <w:rFonts w:hint="eastAsia" w:eastAsia="宋体" w:asciiTheme="minorHAnsi" w:hAnsiTheme="minorHAnsi" w:cstheme="minorBidi"/>
          <w:b w:val="0"/>
          <w:bCs w:val="0"/>
          <w:kern w:val="0"/>
          <w:szCs w:val="22"/>
        </w:rPr>
        <w:alias w:val="模块:应收股利"/>
        <w:tag w:val="_SEC_97c2573729ab4e7fad4323aaa9228ada"/>
        <w:id w:val="865727118"/>
        <w:lock w:val="sdtLocked"/>
        <w:placeholder>
          <w:docPart w:val="GBC22222222222222222222222222222"/>
        </w:placeholder>
      </w:sdtPr>
      <w:sdtEndPr>
        <w:rPr>
          <w:rFonts w:hint="eastAsia" w:ascii="Times New Roman" w:hAnsi="Times New Roman" w:eastAsia="宋体" w:cs="Times New Roman"/>
          <w:b w:val="0"/>
          <w:bCs w:val="0"/>
          <w:kern w:val="0"/>
          <w:szCs w:val="24"/>
        </w:rPr>
      </w:sdtEndPr>
      <w:sdtContent>
        <w:p>
          <w:pPr>
            <w:pStyle w:val="5"/>
            <w:numPr>
              <w:ilvl w:val="3"/>
              <w:numId w:val="134"/>
            </w:numPr>
            <w:ind w:left="426" w:hanging="426"/>
          </w:pPr>
          <w:bookmarkStart w:id="239" w:name="_Hlk533797257"/>
          <w:r>
            <w:rPr>
              <w:rFonts w:hint="eastAsia"/>
            </w:rPr>
            <w:t>应收股利</w:t>
          </w:r>
        </w:p>
        <w:sdt>
          <w:sdtPr>
            <w:alias w:val="是否适用：母公司应收股利[双击切换]"/>
            <w:tag w:val="_GBC_a52dcf5153694fbe9527781c61a5006e"/>
            <w:id w:val="865727117"/>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9"/>
    <w:sdt>
      <w:sdtPr>
        <w:rPr>
          <w:rFonts w:hint="eastAsia" w:eastAsia="宋体" w:asciiTheme="minorHAnsi" w:hAnsiTheme="minorHAnsi" w:cstheme="minorBidi"/>
          <w:b w:val="0"/>
          <w:bCs w:val="0"/>
          <w:kern w:val="0"/>
          <w:szCs w:val="22"/>
        </w:rPr>
        <w:alias w:val="模块:重要的账龄超过1年的应收股利"/>
        <w:tag w:val="_SEC_dd6d08748fed41928b221e9407607582"/>
        <w:id w:val="865727120"/>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134"/>
            </w:numPr>
            <w:ind w:left="426" w:hanging="426"/>
          </w:pPr>
          <w:bookmarkStart w:id="240" w:name="_Hlk533797316"/>
          <w:r>
            <w:rPr>
              <w:rFonts w:hint="eastAsia"/>
            </w:rPr>
            <w:t>重要的账龄超过1年的应收股利</w:t>
          </w:r>
        </w:p>
        <w:sdt>
          <w:sdtPr>
            <w:rPr>
              <w:szCs w:val="21"/>
            </w:rPr>
            <w:alias w:val="是否适用：母公司重要的账龄超过1年的应收股利[双击切换]"/>
            <w:tag w:val="_GBC_70eb463d08894908bb104ae0b258e76e"/>
            <w:id w:val="865727119"/>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40"/>
    <w:sdt>
      <w:sdtPr>
        <w:rPr>
          <w:rFonts w:hint="eastAsia" w:ascii="宋体" w:hAnsi="宋体" w:eastAsia="宋体" w:cs="宋体"/>
          <w:b w:val="0"/>
          <w:bCs w:val="0"/>
          <w:kern w:val="0"/>
          <w:szCs w:val="24"/>
        </w:rPr>
        <w:alias w:val="模块:坏账准备的期初期末调节表"/>
        <w:tag w:val="_SEC_1be97d9195ef4b7391f2b818d70c754f"/>
        <w:id w:val="865727122"/>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3"/>
              <w:numId w:val="134"/>
            </w:numPr>
            <w:ind w:left="426" w:hanging="426"/>
          </w:pPr>
          <w:bookmarkStart w:id="241" w:name="_Hlk533868874"/>
          <w:r>
            <w:rPr>
              <w:rFonts w:hint="eastAsia" w:ascii="宋体" w:hAnsi="宋体" w:eastAsia="宋体" w:cs="宋体"/>
              <w:bCs w:val="0"/>
              <w:kern w:val="0"/>
              <w:szCs w:val="24"/>
            </w:rPr>
            <w:t>坏账准备计提情况</w:t>
          </w:r>
        </w:p>
        <w:sdt>
          <w:sdtPr>
            <w:alias w:val="是否适用：母公司应收股利坏账准备调节表[双击切换]"/>
            <w:tag w:val="_GBC_5cbd8c1c52fa42d19db26aadad6a74b8"/>
            <w:id w:val="86572712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sdtContent>
    </w:sdt>
    <w:bookmarkEnd w:id="241"/>
    <w:sdt>
      <w:sdtPr>
        <w:rPr>
          <w:rFonts w:hint="eastAsia"/>
          <w:szCs w:val="21"/>
        </w:rPr>
        <w:alias w:val="模块:应收股利的说明"/>
        <w:tag w:val="_SEC_4b48a7a88233455db21eb1078781bdde"/>
        <w:id w:val="865727124"/>
        <w:lock w:val="sdtLocked"/>
        <w:placeholder>
          <w:docPart w:val="GBC22222222222222222222222222222"/>
        </w:placeholder>
      </w:sdtPr>
      <w:sdtEndPr>
        <w:rPr>
          <w:rFonts w:hint="default"/>
          <w:szCs w:val="21"/>
        </w:rPr>
      </w:sdtEndPr>
      <w:sdtContent>
        <w:p>
          <w:pPr>
            <w:rPr>
              <w:szCs w:val="21"/>
            </w:rPr>
          </w:pPr>
          <w:bookmarkStart w:id="242" w:name="_Hlk533797406"/>
          <w:r>
            <w:rPr>
              <w:rFonts w:hint="eastAsia"/>
              <w:szCs w:val="21"/>
            </w:rPr>
            <w:t>其他说明：</w:t>
          </w:r>
        </w:p>
        <w:sdt>
          <w:sdtPr>
            <w:rPr>
              <w:szCs w:val="21"/>
            </w:rPr>
            <w:alias w:val="是否适用：母公司应收股利其他说明[双击切换]"/>
            <w:tag w:val="_GBC_75450c3c0332439986937f5dec59f65c"/>
            <w:id w:val="86572712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42"/>
    <w:p/>
    <w:p>
      <w:pPr>
        <w:pStyle w:val="5"/>
        <w:ind w:left="360" w:hanging="360"/>
      </w:pPr>
      <w:r>
        <w:rPr>
          <w:rFonts w:hint="eastAsia"/>
        </w:rPr>
        <w:t>其他应收款</w:t>
      </w:r>
    </w:p>
    <w:sdt>
      <w:sdtPr>
        <w:rPr>
          <w:rFonts w:hint="eastAsia" w:ascii="宋体" w:hAnsi="宋体" w:eastAsia="宋体" w:cs="宋体"/>
          <w:b w:val="0"/>
          <w:bCs w:val="0"/>
          <w:kern w:val="0"/>
          <w:szCs w:val="24"/>
        </w:rPr>
        <w:alias w:val="模块:按账龄披露"/>
        <w:tag w:val="_SEC_9f001837707a4e748573115d0229b591"/>
        <w:id w:val="865727144"/>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135"/>
            </w:numPr>
          </w:pPr>
          <w:bookmarkStart w:id="243" w:name="_Hlk533797447"/>
          <w:r>
            <w:rPr>
              <w:rFonts w:hint="eastAsia"/>
            </w:rPr>
            <w:t>按账龄披露</w:t>
          </w:r>
        </w:p>
        <w:sdt>
          <w:sdtPr>
            <w:rPr>
              <w:szCs w:val="21"/>
            </w:rPr>
            <w:alias w:val="是否适用：母公司其他应收款按账龄披露[双击切换]"/>
            <w:tag w:val="_GBC_5c11b96990fa439da812b87b47ed4c80"/>
            <w:id w:val="86572712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母公司其他应收款按账龄披露"/>
              <w:tag w:val="_GBC_41616ef98f834aa2b100f687773d3969"/>
              <w:id w:val="8657271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8657271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8"/>
            <w:gridCol w:w="4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fb6e0031222146c590a7f36a89af5d89"/>
                <w:id w:val="865727128"/>
                <w:lock w:val="sdtLocked"/>
              </w:sdtPr>
              <w:sdtEndPr>
                <w:rPr>
                  <w:rFonts w:ascii="Times New Roman" w:hAnsi="Times New Roman" w:cs="Times New Roman"/>
                </w:rPr>
              </w:sdtEndPr>
              <w:sdtContent>
                <w:tc>
                  <w:tcPr>
                    <w:tcW w:w="25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账龄</w:t>
                    </w:r>
                  </w:p>
                </w:tc>
              </w:sdtContent>
            </w:sdt>
            <w:sdt>
              <w:sdtPr>
                <w:rPr>
                  <w:rFonts w:ascii="Times New Roman" w:hAnsi="Times New Roman" w:cs="Times New Roman"/>
                </w:rPr>
                <w:tag w:val="_PLD_b7a8f0ef2fc44826974051ac32f6569e"/>
                <w:id w:val="865727129"/>
                <w:lock w:val="sdtLocked"/>
              </w:sdtPr>
              <w:sdtEndPr>
                <w:rPr>
                  <w:rFonts w:ascii="Times New Roman" w:hAnsi="Times New Roman" w:cs="Times New Roman"/>
                </w:rPr>
              </w:sdtEndPr>
              <w:sdtContent>
                <w:tc>
                  <w:tcPr>
                    <w:tcW w:w="247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期末账面余额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aa09828675c94452a03d450effabdb09"/>
                <w:id w:val="865727130"/>
                <w:lock w:val="sdtLocked"/>
              </w:sdtPr>
              <w:sdtEndPr>
                <w:rPr>
                  <w:rFonts w:ascii="Times New Roman" w:hAnsi="Times New Roman" w:cs="Times New Roman"/>
                </w:rPr>
              </w:sdtEndPr>
              <w:sdtContent>
                <w:tc>
                  <w:tcPr>
                    <w:tcW w:w="5000" w:type="pct"/>
                    <w:gridSpan w:val="2"/>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color w:val="FF0000"/>
                        <w:szCs w:val="21"/>
                      </w:rPr>
                    </w:pPr>
                    <w:r>
                      <w:rPr>
                        <w:rFonts w:ascii="Times New Roman" w:hAnsi="Times New Roman" w:cs="Times New Roman"/>
                        <w:szCs w:val="21"/>
                      </w:rPr>
                      <w:t>1</w:t>
                    </w:r>
                    <w:r>
                      <w:rPr>
                        <w:rFonts w:ascii="Times New Roman" w:cs="Times New Roman"/>
                        <w:szCs w:val="21"/>
                      </w:rPr>
                      <w:t>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b4e83e918d2f4cbf873eb1b02624a672"/>
                <w:id w:val="865727131"/>
                <w:lock w:val="sdtLocked"/>
              </w:sdtPr>
              <w:sdtEndPr>
                <w:rPr>
                  <w:rFonts w:ascii="Times New Roman" w:hAnsi="Times New Roman" w:cs="Times New Roman"/>
                </w:rPr>
              </w:sdtEndPr>
              <w:sdtContent>
                <w:tc>
                  <w:tcPr>
                    <w:tcW w:w="5000" w:type="pct"/>
                    <w:gridSpan w:val="2"/>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其中：</w:t>
                    </w:r>
                    <w:r>
                      <w:rPr>
                        <w:rFonts w:ascii="Times New Roman" w:hAnsi="Times New Roman" w:cs="Times New Roman"/>
                        <w:szCs w:val="21"/>
                      </w:rPr>
                      <w:t>1</w:t>
                    </w:r>
                    <w:r>
                      <w:rPr>
                        <w:rFonts w:ascii="Times New Roman" w:cs="Times New Roman"/>
                        <w:szCs w:val="21"/>
                      </w:rPr>
                      <w:t>年以内分项</w:t>
                    </w:r>
                  </w:p>
                </w:tc>
              </w:sdtContent>
            </w:sdt>
          </w:tr>
          <w:sdt>
            <w:sdtPr>
              <w:rPr>
                <w:rFonts w:ascii="Times New Roman" w:hAnsi="Times New Roman" w:cs="Times New Roman"/>
                <w:szCs w:val="21"/>
              </w:rPr>
              <w:alias w:val="一年以内其他应收款金额明细"/>
              <w:tag w:val="_TUP_203a5c6f6bd849ce89daa93732cb6683"/>
              <w:id w:val="86572713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0.5</w:t>
                    </w:r>
                    <w:r>
                      <w:rPr>
                        <w:rFonts w:ascii="Times New Roman" w:cs="Times New Roman"/>
                      </w:rPr>
                      <w:t>年以内</w:t>
                    </w:r>
                  </w:p>
                </w:tc>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85,237,294.97</w:t>
                    </w:r>
                  </w:p>
                </w:tc>
              </w:tr>
            </w:sdtContent>
          </w:sdt>
          <w:sdt>
            <w:sdtPr>
              <w:rPr>
                <w:rFonts w:ascii="Times New Roman" w:hAnsi="Times New Roman" w:cs="Times New Roman"/>
                <w:szCs w:val="21"/>
              </w:rPr>
              <w:alias w:val="一年以内其他应收款金额明细"/>
              <w:tag w:val="_TUP_203a5c6f6bd849ce89daa93732cb6683"/>
              <w:id w:val="86572713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rPr>
                      <w:t>0.5</w:t>
                    </w:r>
                    <w:r>
                      <w:rPr>
                        <w:rFonts w:ascii="Times New Roman" w:cs="Times New Roman"/>
                      </w:rPr>
                      <w:t>年至</w:t>
                    </w:r>
                    <w:r>
                      <w:rPr>
                        <w:rFonts w:ascii="Times New Roman" w:hAnsi="Times New Roman" w:cs="Times New Roman"/>
                      </w:rPr>
                      <w:t>1</w:t>
                    </w:r>
                    <w:r>
                      <w:rPr>
                        <w:rFonts w:ascii="Times New Roman" w:cs="Times New Roman"/>
                      </w:rPr>
                      <w:t>年</w:t>
                    </w:r>
                  </w:p>
                </w:tc>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2,570,356.11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2bd42e1725dc4d958c3d78b2ac54993c"/>
                <w:id w:val="865727134"/>
                <w:lock w:val="sdtLocked"/>
              </w:sdtPr>
              <w:sdtEndPr>
                <w:rPr>
                  <w:rFonts w:ascii="Times New Roman" w:hAnsi="Times New Roman" w:cs="Times New Roman"/>
                </w:rPr>
              </w:sdtEndPr>
              <w:sdtContent>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年以内小计</w:t>
                    </w:r>
                  </w:p>
                </w:tc>
              </w:sdtContent>
            </w:sdt>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87,807,651.08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b295760b85b94947a6ad5c12a8473fc6"/>
                <w:id w:val="865727135"/>
                <w:lock w:val="sdtLocked"/>
              </w:sdtPr>
              <w:sdtEndPr>
                <w:rPr>
                  <w:rFonts w:ascii="Times New Roman" w:hAnsi="Times New Roman" w:cs="Times New Roman"/>
                </w:rPr>
              </w:sdtEndPr>
              <w:sdtContent>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1</w:t>
                    </w:r>
                    <w:r>
                      <w:rPr>
                        <w:rFonts w:ascii="Times New Roman" w:cs="Times New Roman"/>
                        <w:szCs w:val="21"/>
                      </w:rPr>
                      <w:t>至</w:t>
                    </w:r>
                    <w:r>
                      <w:rPr>
                        <w:rFonts w:ascii="Times New Roman" w:hAnsi="Times New Roman" w:cs="Times New Roman"/>
                        <w:szCs w:val="21"/>
                      </w:rPr>
                      <w:t>2</w:t>
                    </w:r>
                    <w:r>
                      <w:rPr>
                        <w:rFonts w:ascii="Times New Roman" w:cs="Times New Roman"/>
                        <w:szCs w:val="21"/>
                      </w:rPr>
                      <w:t>年</w:t>
                    </w:r>
                  </w:p>
                </w:tc>
              </w:sdtContent>
            </w:sdt>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559,471.61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3312d6acbf264aa98fed1c58941b83ed"/>
                <w:id w:val="865727136"/>
                <w:lock w:val="sdtLocked"/>
              </w:sdtPr>
              <w:sdtEndPr>
                <w:rPr>
                  <w:rFonts w:ascii="Times New Roman" w:hAnsi="Times New Roman" w:cs="Times New Roman"/>
                </w:rPr>
              </w:sdtEndPr>
              <w:sdtContent>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2</w:t>
                    </w:r>
                    <w:r>
                      <w:rPr>
                        <w:rFonts w:ascii="Times New Roman" w:cs="Times New Roman"/>
                        <w:szCs w:val="21"/>
                      </w:rPr>
                      <w:t>至</w:t>
                    </w:r>
                    <w:r>
                      <w:rPr>
                        <w:rFonts w:ascii="Times New Roman" w:hAnsi="Times New Roman" w:cs="Times New Roman"/>
                        <w:szCs w:val="21"/>
                      </w:rPr>
                      <w:t>3</w:t>
                    </w:r>
                    <w:r>
                      <w:rPr>
                        <w:rFonts w:ascii="Times New Roman" w:cs="Times New Roman"/>
                        <w:szCs w:val="21"/>
                      </w:rPr>
                      <w:t>年</w:t>
                    </w:r>
                  </w:p>
                </w:tc>
              </w:sdtContent>
            </w:sdt>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112,098.47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351283d3715846b881cd8b124c458d71"/>
                <w:id w:val="865727137"/>
                <w:lock w:val="sdtLocked"/>
              </w:sdtPr>
              <w:sdtEndPr>
                <w:rPr>
                  <w:rFonts w:ascii="Times New Roman" w:hAnsi="Times New Roman" w:cs="Times New Roman"/>
                </w:rPr>
              </w:sdtEndPr>
              <w:sdtContent>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年以上</w:t>
                    </w:r>
                  </w:p>
                </w:tc>
              </w:sdtContent>
            </w:sdt>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24,426.05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b1c91c3990a84e939d457adc3bdb1876"/>
                <w:id w:val="865727138"/>
                <w:lock w:val="sdtLocked"/>
              </w:sdtPr>
              <w:sdtEndPr>
                <w:rPr>
                  <w:rFonts w:ascii="Times New Roman" w:hAnsi="Times New Roman" w:cs="Times New Roman"/>
                </w:rPr>
              </w:sdtEndPr>
              <w:sdtContent>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3</w:t>
                    </w:r>
                    <w:r>
                      <w:rPr>
                        <w:rFonts w:ascii="Times New Roman" w:cs="Times New Roman"/>
                        <w:szCs w:val="21"/>
                      </w:rPr>
                      <w:t>至</w:t>
                    </w:r>
                    <w:r>
                      <w:rPr>
                        <w:rFonts w:ascii="Times New Roman" w:hAnsi="Times New Roman" w:cs="Times New Roman"/>
                        <w:szCs w:val="21"/>
                      </w:rPr>
                      <w:t>4</w:t>
                    </w:r>
                    <w:r>
                      <w:rPr>
                        <w:rFonts w:ascii="Times New Roman" w:cs="Times New Roman"/>
                        <w:szCs w:val="21"/>
                      </w:rPr>
                      <w:t>年</w:t>
                    </w:r>
                  </w:p>
                </w:tc>
              </w:sdtContent>
            </w:sdt>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9fca30ebf7624dc09019e71101e0bed5"/>
                <w:id w:val="865727139"/>
                <w:lock w:val="sdtLocked"/>
              </w:sdtPr>
              <w:sdtEndPr>
                <w:rPr>
                  <w:rFonts w:ascii="Times New Roman" w:hAnsi="Times New Roman" w:cs="Times New Roman"/>
                </w:rPr>
              </w:sdtEndPr>
              <w:sdtContent>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4</w:t>
                    </w:r>
                    <w:r>
                      <w:rPr>
                        <w:rFonts w:ascii="Times New Roman" w:cs="Times New Roman"/>
                        <w:szCs w:val="21"/>
                      </w:rPr>
                      <w:t>至</w:t>
                    </w:r>
                    <w:r>
                      <w:rPr>
                        <w:rFonts w:ascii="Times New Roman" w:hAnsi="Times New Roman" w:cs="Times New Roman"/>
                        <w:szCs w:val="21"/>
                      </w:rPr>
                      <w:t>5</w:t>
                    </w:r>
                    <w:r>
                      <w:rPr>
                        <w:rFonts w:ascii="Times New Roman" w:cs="Times New Roman"/>
                        <w:szCs w:val="21"/>
                      </w:rPr>
                      <w:t>年</w:t>
                    </w:r>
                  </w:p>
                </w:tc>
              </w:sdtContent>
            </w:sdt>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89debe9f331a40d8b1cebf8df7dd2ef7"/>
                <w:id w:val="865727140"/>
                <w:lock w:val="sdtLocked"/>
              </w:sdtPr>
              <w:sdtEndPr>
                <w:rPr>
                  <w:rFonts w:ascii="Times New Roman" w:hAnsi="Times New Roman" w:cs="Times New Roman"/>
                </w:rPr>
              </w:sdtEndPr>
              <w:sdtContent>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hAnsi="Times New Roman" w:cs="Times New Roman"/>
                        <w:szCs w:val="21"/>
                      </w:rPr>
                      <w:t>5</w:t>
                    </w:r>
                    <w:r>
                      <w:rPr>
                        <w:rFonts w:ascii="Times New Roman" w:cs="Times New Roman"/>
                        <w:szCs w:val="21"/>
                      </w:rPr>
                      <w:t>年以上</w:t>
                    </w:r>
                  </w:p>
                </w:tc>
              </w:sdtContent>
            </w:sdt>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66,421,324.45</w:t>
                </w:r>
              </w:p>
            </w:tc>
          </w:tr>
          <w:sdt>
            <w:sdtPr>
              <w:rPr>
                <w:rFonts w:ascii="Times New Roman" w:hAnsi="Times New Roman" w:cs="Times New Roman"/>
              </w:rPr>
              <w:alias w:val="按账龄分析法计提坏账准备的其他应收款明细"/>
              <w:tag w:val="_TUP_ab18dadda75c414f9adc4f399f7c315d"/>
              <w:id w:val="86572714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24"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cs="Times New Roman"/>
                      </w:rPr>
                      <w:t>坏账准备</w:t>
                    </w:r>
                  </w:p>
                </w:tc>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-66,637,979.53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fd195ee4a8be4228aad7b7bd4a201d76"/>
                <w:id w:val="865727143"/>
                <w:lock w:val="sdtLocked"/>
              </w:sdtPr>
              <w:sdtEndPr>
                <w:rPr>
                  <w:rFonts w:ascii="Times New Roman" w:hAnsi="Times New Roman" w:cs="Times New Roman"/>
                </w:rPr>
              </w:sdtEndPr>
              <w:sdtContent>
                <w:tc>
                  <w:tcPr>
                    <w:tcW w:w="25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合计</w:t>
                    </w:r>
                  </w:p>
                </w:tc>
              </w:sdtContent>
            </w:sdt>
            <w:tc>
              <w:tcPr>
                <w:tcW w:w="247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Cs w:val="21"/>
                  </w:rPr>
                </w:pPr>
                <w:r>
                  <w:rPr>
                    <w:rFonts w:ascii="Times New Roman" w:hAnsi="Times New Roman" w:cs="Times New Roman"/>
                  </w:rPr>
                  <w:t>88,286,992.13</w:t>
                </w:r>
              </w:p>
            </w:tc>
          </w:tr>
        </w:tbl>
        <w:p/>
        <w:p/>
      </w:sdtContent>
    </w:sdt>
    <w:sdt>
      <w:sdtPr>
        <w:rPr>
          <w:rFonts w:hint="eastAsia" w:ascii="宋体" w:hAnsi="宋体" w:eastAsia="宋体" w:cs="宋体"/>
          <w:b w:val="0"/>
          <w:bCs w:val="0"/>
          <w:kern w:val="0"/>
          <w:szCs w:val="24"/>
        </w:rPr>
        <w:alias w:val="模块:按款项性质分类情况"/>
        <w:tag w:val="_SEC_71c0adb787a04266be2102ec385a07d9"/>
        <w:id w:val="865727157"/>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135"/>
            </w:numPr>
          </w:pPr>
          <w:r>
            <w:rPr>
              <w:rFonts w:hint="eastAsia"/>
            </w:rPr>
            <w:t>按款项性质分类情况</w:t>
          </w:r>
        </w:p>
        <w:p>
          <w:sdt>
            <w:sdtPr>
              <w:alias w:val="是否适用：母公司其他应收款按款项性质分类情况[双击切换]"/>
              <w:tag w:val="_GBC_a5e5418d19394a1c8f8093184d9b360a"/>
              <w:id w:val="865727145"/>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母公司其他应收款按款项性质分类情况"/>
              <w:tag w:val="_GBC_451485fc33dc4b2c9be5a44730242ca7"/>
              <w:id w:val="8657271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8657271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2981"/>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fa2a2127303b4deebb2bcaea193eb6d9"/>
                <w:id w:val="865727148"/>
                <w:lock w:val="sdtLocked"/>
              </w:sdtPr>
              <w:sdtEndPr>
                <w:rPr>
                  <w:rFonts w:ascii="Times New Roman" w:hAnsi="Times New Roman" w:cs="Times New Roman"/>
                </w:rPr>
              </w:sdtEndPr>
              <w:sdtContent>
                <w:tc>
                  <w:tcPr>
                    <w:tcW w:w="1700" w:type="pct"/>
                  </w:tcPr>
                  <w:p>
                    <w:pPr>
                      <w:widowControl w:val="0"/>
                      <w:jc w:val="center"/>
                      <w:rPr>
                        <w:rFonts w:ascii="Times New Roman" w:hAnsi="Times New Roman" w:cs="Times New Roman"/>
                      </w:rPr>
                    </w:pPr>
                    <w:r>
                      <w:rPr>
                        <w:rFonts w:ascii="Times New Roman" w:cs="Times New Roman"/>
                      </w:rPr>
                      <w:t>款项性质</w:t>
                    </w:r>
                  </w:p>
                </w:tc>
              </w:sdtContent>
            </w:sdt>
            <w:sdt>
              <w:sdtPr>
                <w:rPr>
                  <w:rFonts w:ascii="Times New Roman" w:hAnsi="Times New Roman" w:cs="Times New Roman"/>
                </w:rPr>
                <w:tag w:val="_PLD_aa55d719329144e5a0eafd36222d0851"/>
                <w:id w:val="865727149"/>
                <w:lock w:val="sdtLocked"/>
              </w:sdtPr>
              <w:sdtEndPr>
                <w:rPr>
                  <w:rFonts w:ascii="Times New Roman" w:hAnsi="Times New Roman" w:cs="Times New Roman"/>
                </w:rPr>
              </w:sdtEndPr>
              <w:sdtContent>
                <w:tc>
                  <w:tcPr>
                    <w:tcW w:w="1647" w:type="pct"/>
                  </w:tcPr>
                  <w:p>
                    <w:pPr>
                      <w:widowControl w:val="0"/>
                      <w:jc w:val="center"/>
                      <w:rPr>
                        <w:rFonts w:ascii="Times New Roman" w:hAnsi="Times New Roman" w:cs="Times New Roman"/>
                      </w:rPr>
                    </w:pPr>
                    <w:r>
                      <w:rPr>
                        <w:rFonts w:ascii="Times New Roman" w:cs="Times New Roman"/>
                      </w:rPr>
                      <w:t>期末账面余额</w:t>
                    </w:r>
                  </w:p>
                </w:tc>
              </w:sdtContent>
            </w:sdt>
            <w:sdt>
              <w:sdtPr>
                <w:rPr>
                  <w:rFonts w:ascii="Times New Roman" w:hAnsi="Times New Roman" w:cs="Times New Roman"/>
                </w:rPr>
                <w:tag w:val="_PLD_146282129b6a4b52a6963dad9647679a"/>
                <w:id w:val="865727150"/>
                <w:lock w:val="sdtLocked"/>
              </w:sdtPr>
              <w:sdtEndPr>
                <w:rPr>
                  <w:rFonts w:ascii="Times New Roman" w:hAnsi="Times New Roman" w:cs="Times New Roman"/>
                </w:rPr>
              </w:sdtEndPr>
              <w:sdtContent>
                <w:tc>
                  <w:tcPr>
                    <w:tcW w:w="1653" w:type="pct"/>
                  </w:tcPr>
                  <w:p>
                    <w:pPr>
                      <w:widowControl w:val="0"/>
                      <w:jc w:val="center"/>
                      <w:rPr>
                        <w:rFonts w:ascii="Times New Roman" w:hAnsi="Times New Roman" w:cs="Times New Roman"/>
                      </w:rPr>
                    </w:pPr>
                    <w:r>
                      <w:rPr>
                        <w:rFonts w:ascii="Times New Roman" w:cs="Times New Roman"/>
                      </w:rPr>
                      <w:t>期初账面余额</w:t>
                    </w:r>
                  </w:p>
                </w:tc>
              </w:sdtContent>
            </w:sdt>
          </w:tr>
          <w:sdt>
            <w:sdtPr>
              <w:rPr>
                <w:rFonts w:ascii="Times New Roman" w:hAnsi="Times New Roman" w:cs="Times New Roman" w:eastAsiaTheme="minorEastAsia"/>
                <w:kern w:val="2"/>
                <w:szCs w:val="22"/>
              </w:rPr>
              <w:alias w:val="其他应收款按款项性质分类情况明细"/>
              <w:tag w:val="_TUP_48f6c039e4a84e3fbd2e75f4cdeeeb67"/>
              <w:id w:val="865727151"/>
              <w:lock w:val="sdtLocked"/>
            </w:sdtPr>
            <w:sdtEndPr>
              <w:rPr>
                <w:rFonts w:ascii="Times New Roman" w:hAnsi="Times New Roman" w:cs="Times New Roman" w:eastAsiaTheme="minorEastAsia"/>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rFonts w:ascii="Times New Roman" w:hAnsi="Times New Roman" w:cs="Times New Roman"/>
                        <w:highlight w:val="yellow"/>
                      </w:rPr>
                    </w:pPr>
                    <w:r>
                      <w:rPr>
                        <w:rFonts w:ascii="Times New Roman" w:cs="Times New Roman"/>
                      </w:rPr>
                      <w:t>转让款</w:t>
                    </w:r>
                  </w:p>
                </w:tc>
                <w:tc>
                  <w:tcPr>
                    <w:tcW w:w="1647" w:type="pct"/>
                  </w:tcPr>
                  <w:p>
                    <w:pPr>
                      <w:widowControl w:val="0"/>
                      <w:jc w:val="right"/>
                      <w:rPr>
                        <w:rFonts w:ascii="Times New Roman" w:hAnsi="Times New Roman" w:cs="Times New Roman"/>
                      </w:rPr>
                    </w:pPr>
                  </w:p>
                </w:tc>
                <w:tc>
                  <w:tcPr>
                    <w:tcW w:w="1653" w:type="pct"/>
                  </w:tcPr>
                  <w:p>
                    <w:pPr>
                      <w:widowControl w:val="0"/>
                      <w:jc w:val="right"/>
                      <w:rPr>
                        <w:rFonts w:ascii="Times New Roman" w:hAnsi="Times New Roman" w:cs="Times New Roman"/>
                      </w:rPr>
                    </w:pPr>
                    <w:r>
                      <w:rPr>
                        <w:rFonts w:ascii="Times New Roman" w:hAnsi="Times New Roman" w:cs="Times New Roman"/>
                      </w:rPr>
                      <w:t>615,873,712.57</w:t>
                    </w:r>
                  </w:p>
                </w:tc>
              </w:tr>
            </w:sdtContent>
          </w:sdt>
          <w:sdt>
            <w:sdtPr>
              <w:rPr>
                <w:rFonts w:ascii="Times New Roman" w:hAnsi="Times New Roman" w:cs="Times New Roman" w:eastAsiaTheme="minorEastAsia"/>
                <w:kern w:val="2"/>
                <w:szCs w:val="22"/>
              </w:rPr>
              <w:alias w:val="其他应收款按款项性质分类情况明细"/>
              <w:tag w:val="_TUP_48f6c039e4a84e3fbd2e75f4cdeeeb67"/>
              <w:id w:val="865727152"/>
              <w:lock w:val="sdtLocked"/>
            </w:sdtPr>
            <w:sdtEndPr>
              <w:rPr>
                <w:rFonts w:ascii="Times New Roman" w:hAnsi="Times New Roman" w:cs="Times New Roman" w:eastAsiaTheme="minorEastAsia"/>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rFonts w:ascii="Times New Roman" w:hAnsi="Times New Roman" w:cs="Times New Roman"/>
                        <w:highlight w:val="yellow"/>
                      </w:rPr>
                    </w:pPr>
                    <w:r>
                      <w:rPr>
                        <w:rFonts w:ascii="Times New Roman" w:cs="Times New Roman"/>
                      </w:rPr>
                      <w:t>往来款</w:t>
                    </w:r>
                  </w:p>
                </w:tc>
                <w:tc>
                  <w:tcPr>
                    <w:tcW w:w="1647" w:type="pct"/>
                  </w:tcPr>
                  <w:p>
                    <w:pPr>
                      <w:widowControl w:val="0"/>
                      <w:jc w:val="right"/>
                      <w:rPr>
                        <w:rFonts w:ascii="Times New Roman" w:hAnsi="Times New Roman" w:cs="Times New Roman"/>
                      </w:rPr>
                    </w:pPr>
                    <w:r>
                      <w:rPr>
                        <w:rFonts w:ascii="Times New Roman" w:hAnsi="Times New Roman" w:cs="Times New Roman"/>
                      </w:rPr>
                      <w:t>151,229,869.00</w:t>
                    </w:r>
                  </w:p>
                </w:tc>
                <w:tc>
                  <w:tcPr>
                    <w:tcW w:w="1653" w:type="pct"/>
                  </w:tcPr>
                  <w:p>
                    <w:pPr>
                      <w:widowControl w:val="0"/>
                      <w:jc w:val="right"/>
                      <w:rPr>
                        <w:rFonts w:ascii="Times New Roman" w:hAnsi="Times New Roman" w:cs="Times New Roman"/>
                      </w:rPr>
                    </w:pPr>
                    <w:r>
                      <w:rPr>
                        <w:rFonts w:ascii="Times New Roman" w:hAnsi="Times New Roman" w:cs="Times New Roman"/>
                      </w:rPr>
                      <w:t>150,921,449.45</w:t>
                    </w:r>
                  </w:p>
                </w:tc>
              </w:tr>
            </w:sdtContent>
          </w:sdt>
          <w:sdt>
            <w:sdtPr>
              <w:rPr>
                <w:rFonts w:ascii="Times New Roman" w:hAnsi="Times New Roman" w:cs="Times New Roman" w:eastAsiaTheme="minorEastAsia"/>
                <w:kern w:val="2"/>
                <w:szCs w:val="22"/>
              </w:rPr>
              <w:alias w:val="其他应收款按款项性质分类情况明细"/>
              <w:tag w:val="_TUP_48f6c039e4a84e3fbd2e75f4cdeeeb67"/>
              <w:id w:val="865727153"/>
              <w:lock w:val="sdtLocked"/>
            </w:sdtPr>
            <w:sdtEndPr>
              <w:rPr>
                <w:rFonts w:ascii="Times New Roman" w:hAnsi="Times New Roman" w:cs="Times New Roman" w:eastAsiaTheme="minorEastAsia"/>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rFonts w:ascii="Times New Roman" w:hAnsi="Times New Roman" w:cs="Times New Roman"/>
                        <w:highlight w:val="yellow"/>
                      </w:rPr>
                    </w:pPr>
                    <w:r>
                      <w:rPr>
                        <w:rFonts w:ascii="Times New Roman" w:cs="Times New Roman"/>
                      </w:rPr>
                      <w:t>备用金</w:t>
                    </w:r>
                  </w:p>
                </w:tc>
                <w:tc>
                  <w:tcPr>
                    <w:tcW w:w="1647" w:type="pct"/>
                  </w:tcPr>
                  <w:p>
                    <w:pPr>
                      <w:widowControl w:val="0"/>
                      <w:jc w:val="right"/>
                      <w:rPr>
                        <w:rFonts w:ascii="Times New Roman" w:hAnsi="Times New Roman" w:cs="Times New Roman"/>
                      </w:rPr>
                    </w:pPr>
                    <w:r>
                      <w:rPr>
                        <w:rFonts w:ascii="Times New Roman" w:hAnsi="Times New Roman" w:cs="Times New Roman"/>
                      </w:rPr>
                      <w:t>355,840.64</w:t>
                    </w:r>
                  </w:p>
                </w:tc>
                <w:tc>
                  <w:tcPr>
                    <w:tcW w:w="1653" w:type="pct"/>
                  </w:tcPr>
                  <w:p>
                    <w:pPr>
                      <w:widowControl w:val="0"/>
                      <w:jc w:val="right"/>
                      <w:rPr>
                        <w:rFonts w:ascii="Times New Roman" w:hAnsi="Times New Roman" w:cs="Times New Roman"/>
                      </w:rPr>
                    </w:pPr>
                    <w:r>
                      <w:rPr>
                        <w:rFonts w:ascii="Times New Roman" w:hAnsi="Times New Roman" w:cs="Times New Roman"/>
                      </w:rPr>
                      <w:t>539,589.78</w:t>
                    </w:r>
                  </w:p>
                </w:tc>
              </w:tr>
            </w:sdtContent>
          </w:sdt>
          <w:sdt>
            <w:sdtPr>
              <w:rPr>
                <w:rFonts w:ascii="Times New Roman" w:hAnsi="Times New Roman" w:cs="Times New Roman" w:eastAsiaTheme="minorEastAsia"/>
                <w:kern w:val="2"/>
                <w:szCs w:val="22"/>
              </w:rPr>
              <w:alias w:val="其他应收款按款项性质分类情况明细"/>
              <w:tag w:val="_TUP_48f6c039e4a84e3fbd2e75f4cdeeeb67"/>
              <w:id w:val="865727154"/>
              <w:lock w:val="sdtLocked"/>
            </w:sdtPr>
            <w:sdtEndPr>
              <w:rPr>
                <w:rFonts w:ascii="Times New Roman" w:hAnsi="Times New Roman" w:cs="Times New Roman" w:eastAsiaTheme="minorEastAsia"/>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rFonts w:ascii="Times New Roman" w:hAnsi="Times New Roman" w:cs="Times New Roman"/>
                        <w:highlight w:val="yellow"/>
                      </w:rPr>
                    </w:pPr>
                    <w:r>
                      <w:rPr>
                        <w:rFonts w:ascii="Times New Roman" w:cs="Times New Roman"/>
                      </w:rPr>
                      <w:t>保证金及押金</w:t>
                    </w:r>
                  </w:p>
                </w:tc>
                <w:tc>
                  <w:tcPr>
                    <w:tcW w:w="1647" w:type="pct"/>
                  </w:tcPr>
                  <w:p>
                    <w:pPr>
                      <w:widowControl w:val="0"/>
                      <w:jc w:val="right"/>
                      <w:rPr>
                        <w:rFonts w:ascii="Times New Roman" w:hAnsi="Times New Roman" w:cs="Times New Roman"/>
                      </w:rPr>
                    </w:pPr>
                  </w:p>
                </w:tc>
                <w:tc>
                  <w:tcPr>
                    <w:tcW w:w="1653" w:type="pct"/>
                  </w:tcPr>
                  <w:p>
                    <w:pPr>
                      <w:widowControl w:val="0"/>
                      <w:jc w:val="right"/>
                      <w:rPr>
                        <w:rFonts w:ascii="Times New Roman" w:hAnsi="Times New Roman" w:cs="Times New Roman"/>
                      </w:rPr>
                    </w:pPr>
                    <w:r>
                      <w:rPr>
                        <w:rFonts w:ascii="Times New Roman" w:hAnsi="Times New Roman" w:cs="Times New Roman"/>
                      </w:rPr>
                      <w:t>295,000.00</w:t>
                    </w:r>
                  </w:p>
                </w:tc>
              </w:tr>
            </w:sdtContent>
          </w:sdt>
          <w:sdt>
            <w:sdtPr>
              <w:rPr>
                <w:rFonts w:ascii="Times New Roman" w:hAnsi="Times New Roman" w:cs="Times New Roman" w:eastAsiaTheme="minorEastAsia"/>
                <w:kern w:val="2"/>
                <w:szCs w:val="22"/>
              </w:rPr>
              <w:alias w:val="其他应收款按款项性质分类情况明细"/>
              <w:tag w:val="_TUP_48f6c039e4a84e3fbd2e75f4cdeeeb67"/>
              <w:id w:val="865727155"/>
              <w:lock w:val="sdtLocked"/>
            </w:sdtPr>
            <w:sdtEndPr>
              <w:rPr>
                <w:rFonts w:ascii="Times New Roman" w:hAnsi="Times New Roman" w:cs="Times New Roman" w:eastAsiaTheme="minorEastAsia"/>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both"/>
                      <w:rPr>
                        <w:rFonts w:ascii="Times New Roman" w:hAnsi="Times New Roman" w:cs="Times New Roman"/>
                        <w:highlight w:val="yellow"/>
                      </w:rPr>
                    </w:pPr>
                    <w:r>
                      <w:rPr>
                        <w:rFonts w:ascii="Times New Roman" w:cs="Times New Roman"/>
                      </w:rPr>
                      <w:t>其他</w:t>
                    </w:r>
                  </w:p>
                </w:tc>
                <w:tc>
                  <w:tcPr>
                    <w:tcW w:w="1647" w:type="pct"/>
                  </w:tcPr>
                  <w:p>
                    <w:pPr>
                      <w:widowControl w:val="0"/>
                      <w:jc w:val="right"/>
                      <w:rPr>
                        <w:rFonts w:ascii="Times New Roman" w:hAnsi="Times New Roman" w:cs="Times New Roman"/>
                      </w:rPr>
                    </w:pPr>
                    <w:r>
                      <w:rPr>
                        <w:rFonts w:ascii="Times New Roman" w:hAnsi="Times New Roman" w:cs="Times New Roman"/>
                      </w:rPr>
                      <w:t>3,339,262.02</w:t>
                    </w:r>
                  </w:p>
                </w:tc>
                <w:tc>
                  <w:tcPr>
                    <w:tcW w:w="1653" w:type="pct"/>
                  </w:tcPr>
                  <w:p>
                    <w:pPr>
                      <w:widowControl w:val="0"/>
                      <w:jc w:val="right"/>
                      <w:rPr>
                        <w:rFonts w:ascii="Times New Roman" w:hAnsi="Times New Roman" w:cs="Times New Roman"/>
                      </w:rPr>
                    </w:pPr>
                    <w:r>
                      <w:rPr>
                        <w:rFonts w:ascii="Times New Roman" w:hAnsi="Times New Roman" w:cs="Times New Roman"/>
                      </w:rPr>
                      <w:t>944,462.81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1f66553994c94872937c5863bb704857"/>
                <w:id w:val="865727156"/>
                <w:lock w:val="sdtLocked"/>
              </w:sdtPr>
              <w:sdtEndPr>
                <w:rPr>
                  <w:rFonts w:ascii="Times New Roman" w:hAnsi="Times New Roman" w:cs="Times New Roman"/>
                </w:rPr>
              </w:sdtEndPr>
              <w:sdtContent>
                <w:tc>
                  <w:tcPr>
                    <w:tcW w:w="1700" w:type="pct"/>
                  </w:tcPr>
                  <w:p>
                    <w:pPr>
                      <w:widowControl w:val="0"/>
                      <w:jc w:val="center"/>
                      <w:rPr>
                        <w:rFonts w:ascii="Times New Roman" w:hAnsi="Times New Roman" w:cs="Times New Roman"/>
                      </w:rPr>
                    </w:pPr>
                    <w:r>
                      <w:rPr>
                        <w:rFonts w:ascii="Times New Roman" w:cs="Times New Roman"/>
                      </w:rPr>
                      <w:t>合计</w:t>
                    </w:r>
                  </w:p>
                </w:tc>
              </w:sdtContent>
            </w:sdt>
            <w:tc>
              <w:tcPr>
                <w:tcW w:w="1647" w:type="pct"/>
              </w:tcPr>
              <w:p>
                <w:pPr>
                  <w:widowControl w:val="0"/>
                  <w:jc w:val="right"/>
                  <w:rPr>
                    <w:rFonts w:ascii="Times New Roman" w:hAnsi="Times New Roman" w:cs="Times New Roman"/>
                  </w:rPr>
                </w:pPr>
                <w:r>
                  <w:rPr>
                    <w:rFonts w:ascii="Times New Roman" w:hAnsi="Times New Roman" w:cs="Times New Roman"/>
                  </w:rPr>
                  <w:t>154,924,971.66</w:t>
                </w:r>
              </w:p>
            </w:tc>
            <w:tc>
              <w:tcPr>
                <w:tcW w:w="1653" w:type="pct"/>
              </w:tcPr>
              <w:p>
                <w:pPr>
                  <w:widowControl w:val="0"/>
                  <w:jc w:val="right"/>
                  <w:rPr>
                    <w:rFonts w:ascii="Times New Roman" w:hAnsi="Times New Roman" w:cs="Times New Roman"/>
                  </w:rPr>
                </w:pPr>
                <w:r>
                  <w:rPr>
                    <w:rFonts w:ascii="Times New Roman" w:hAnsi="Times New Roman" w:cs="Times New Roman"/>
                  </w:rPr>
                  <w:t>768,574,214.61</w:t>
                </w:r>
              </w:p>
            </w:tc>
          </w:tr>
        </w:tbl>
        <w:p/>
        <w:p/>
      </w:sdtContent>
    </w:sdt>
    <w:bookmarkEnd w:id="243"/>
    <w:sdt>
      <w:sdtPr>
        <w:rPr>
          <w:rFonts w:hint="eastAsia" w:ascii="宋体" w:hAnsi="宋体" w:eastAsia="宋体" w:cs="宋体"/>
          <w:b w:val="0"/>
          <w:bCs w:val="0"/>
          <w:kern w:val="0"/>
          <w:szCs w:val="24"/>
        </w:rPr>
        <w:alias w:val="模块:坏账准备的期初期末调节表"/>
        <w:tag w:val="_SEC_fa119e5c9017431b9876ee9427039406"/>
        <w:id w:val="865727182"/>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135"/>
            </w:numPr>
          </w:pPr>
          <w:bookmarkStart w:id="244" w:name="_Hlk533870927"/>
          <w:r>
            <w:rPr>
              <w:rFonts w:hint="eastAsia" w:ascii="宋体" w:hAnsi="宋体" w:eastAsia="宋体" w:cs="宋体"/>
              <w:bCs w:val="0"/>
              <w:kern w:val="0"/>
              <w:szCs w:val="24"/>
            </w:rPr>
            <w:t>坏账准备计提情况</w:t>
          </w:r>
        </w:p>
        <w:sdt>
          <w:sdtPr>
            <w:alias w:val="是否适用：母公司其他应收款坏账准备调节表[双击切换]"/>
            <w:tag w:val="_GBC_34d55fda2adc4508bb77a03583cd3d2d"/>
            <w:id w:val="86572715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105" w:rightChars="50"/>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8657271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8657271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560"/>
            <w:gridCol w:w="1985"/>
            <w:gridCol w:w="198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1b2d66f9e3e44f9a3867e2f9fa483ea"/>
                <w:id w:val="865727161"/>
                <w:lock w:val="sdtLocked"/>
              </w:sdtPr>
              <w:sdtEndPr>
                <w:rPr>
                  <w:rFonts w:ascii="Times New Roman" w:hAnsi="Times New Roman" w:cs="Times New Roman"/>
                </w:rPr>
              </w:sdtEndPr>
              <w:sdtContent>
                <w:tc>
                  <w:tcPr>
                    <w:tcW w:w="1001" w:type="pct"/>
                    <w:vMerge w:val="restart"/>
                    <w:vAlign w:val="center"/>
                  </w:tcPr>
                  <w:p>
                    <w:pPr>
                      <w:pStyle w:val="87"/>
                      <w:spacing w:after="0"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坏账准备</w:t>
                    </w:r>
                  </w:p>
                </w:tc>
              </w:sdtContent>
            </w:sdt>
            <w:sdt>
              <w:sdtPr>
                <w:rPr>
                  <w:rFonts w:ascii="Times New Roman" w:hAnsi="Times New Roman" w:cs="Times New Roman"/>
                </w:rPr>
                <w:tag w:val="_PLD_34b0b4bcbee6472f945ee1ca26e45970"/>
                <w:id w:val="865727162"/>
                <w:lock w:val="sdtLocked"/>
              </w:sdtPr>
              <w:sdtEndPr>
                <w:rPr>
                  <w:rFonts w:ascii="Times New Roman" w:hAnsi="Times New Roman" w:cs="Times New Roman"/>
                </w:rPr>
              </w:sdtEndPr>
              <w:sdtContent>
                <w:tc>
                  <w:tcPr>
                    <w:tcW w:w="862" w:type="pct"/>
                    <w:vAlign w:val="center"/>
                  </w:tcPr>
                  <w:p>
                    <w:pPr>
                      <w:pStyle w:val="87"/>
                      <w:spacing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第一阶段</w:t>
                    </w:r>
                  </w:p>
                </w:tc>
              </w:sdtContent>
            </w:sdt>
            <w:sdt>
              <w:sdtPr>
                <w:rPr>
                  <w:rFonts w:ascii="Times New Roman" w:hAnsi="Times New Roman" w:cs="Times New Roman"/>
                </w:rPr>
                <w:tag w:val="_PLD_aa89fd65169d424f824fd7e383c25916"/>
                <w:id w:val="865727163"/>
                <w:lock w:val="sdtLocked"/>
              </w:sdtPr>
              <w:sdtEndPr>
                <w:rPr>
                  <w:rFonts w:ascii="Times New Roman" w:hAnsi="Times New Roman" w:cs="Times New Roman"/>
                </w:rPr>
              </w:sdtEndPr>
              <w:sdtContent>
                <w:tc>
                  <w:tcPr>
                    <w:tcW w:w="1097" w:type="pct"/>
                  </w:tcPr>
                  <w:p>
                    <w:pPr>
                      <w:pStyle w:val="87"/>
                      <w:spacing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第二阶段</w:t>
                    </w:r>
                  </w:p>
                </w:tc>
              </w:sdtContent>
            </w:sdt>
            <w:sdt>
              <w:sdtPr>
                <w:rPr>
                  <w:rFonts w:ascii="Times New Roman" w:hAnsi="Times New Roman" w:cs="Times New Roman"/>
                </w:rPr>
                <w:tag w:val="_PLD_12639a93161546c79f54a930c0ece668"/>
                <w:id w:val="865727164"/>
                <w:lock w:val="sdtLocked"/>
              </w:sdtPr>
              <w:sdtEndPr>
                <w:rPr>
                  <w:rFonts w:ascii="Times New Roman" w:hAnsi="Times New Roman" w:cs="Times New Roman"/>
                </w:rPr>
              </w:sdtEndPr>
              <w:sdtContent>
                <w:tc>
                  <w:tcPr>
                    <w:tcW w:w="1097" w:type="pct"/>
                  </w:tcPr>
                  <w:p>
                    <w:pPr>
                      <w:pStyle w:val="87"/>
                      <w:spacing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第三阶段</w:t>
                    </w:r>
                  </w:p>
                </w:tc>
              </w:sdtContent>
            </w:sdt>
            <w:sdt>
              <w:sdtPr>
                <w:rPr>
                  <w:rFonts w:ascii="Times New Roman" w:hAnsi="Times New Roman" w:cs="Times New Roman"/>
                </w:rPr>
                <w:tag w:val="_PLD_5a93d463a9c749a7a3988972a030308e"/>
                <w:id w:val="865727165"/>
                <w:lock w:val="sdtLocked"/>
              </w:sdtPr>
              <w:sdtEndPr>
                <w:rPr>
                  <w:rFonts w:ascii="Times New Roman" w:hAnsi="Times New Roman" w:cs="Times New Roman"/>
                </w:rPr>
              </w:sdtEndPr>
              <w:sdtContent>
                <w:tc>
                  <w:tcPr>
                    <w:tcW w:w="943" w:type="pct"/>
                    <w:vMerge w:val="restart"/>
                    <w:vAlign w:val="center"/>
                  </w:tcPr>
                  <w:p>
                    <w:pPr>
                      <w:pStyle w:val="87"/>
                      <w:spacing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Merge w:val="continue"/>
                <w:vAlign w:val="center"/>
              </w:tcPr>
              <w:p>
                <w:pPr>
                  <w:jc w:val="center"/>
                  <w:rPr>
                    <w:rFonts w:ascii="Times New Roman" w:hAnsi="Times New Roman" w:cs="Times New Roman"/>
                    <w:color w:val="008000"/>
                    <w:szCs w:val="21"/>
                  </w:rPr>
                </w:pPr>
              </w:p>
            </w:tc>
            <w:sdt>
              <w:sdtPr>
                <w:rPr>
                  <w:rFonts w:ascii="Times New Roman" w:hAnsi="Times New Roman" w:cs="Times New Roman"/>
                </w:rPr>
                <w:tag w:val="_PLD_6c31319b241149a587899b0690e3641d"/>
                <w:id w:val="865727166"/>
                <w:lock w:val="sdtLocked"/>
              </w:sdtPr>
              <w:sdtEndPr>
                <w:rPr>
                  <w:rFonts w:ascii="Times New Roman" w:hAnsi="Times New Roman" w:cs="Times New Roman"/>
                </w:rPr>
              </w:sdtEndPr>
              <w:sdtContent>
                <w:tc>
                  <w:tcPr>
                    <w:tcW w:w="862" w:type="pct"/>
                    <w:vAlign w:val="center"/>
                  </w:tcPr>
                  <w:p>
                    <w:pPr>
                      <w:pStyle w:val="87"/>
                      <w:spacing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未来</w:t>
                    </w:r>
                    <w:r>
                      <w:rPr>
                        <w:rFonts w:ascii="Times New Roman" w:hAnsi="Times New Roman" w:eastAsia="宋体" w:cs="Times New Roman"/>
                        <w:sz w:val="21"/>
                        <w:szCs w:val="21"/>
                        <w:lang w:eastAsia="zh-CN"/>
                      </w:rPr>
                      <w:t>12</w:t>
                    </w:r>
                    <w:r>
                      <w:rPr>
                        <w:rFonts w:ascii="Times New Roman" w:hAnsi="宋体" w:eastAsia="宋体" w:cs="Times New Roman"/>
                        <w:sz w:val="21"/>
                        <w:szCs w:val="21"/>
                        <w:lang w:eastAsia="zh-CN"/>
                      </w:rPr>
                      <w:t>个月预期信用损失</w:t>
                    </w:r>
                  </w:p>
                </w:tc>
              </w:sdtContent>
            </w:sdt>
            <w:sdt>
              <w:sdtPr>
                <w:rPr>
                  <w:rFonts w:ascii="Times New Roman" w:hAnsi="Times New Roman" w:cs="Times New Roman"/>
                </w:rPr>
                <w:tag w:val="_PLD_4c23d250a4214769af939ed6c6506e15"/>
                <w:id w:val="865727167"/>
                <w:lock w:val="sdtLocked"/>
              </w:sdtPr>
              <w:sdtEndPr>
                <w:rPr>
                  <w:rFonts w:ascii="Times New Roman" w:hAnsi="Times New Roman" w:cs="Times New Roman"/>
                </w:rPr>
              </w:sdtEndPr>
              <w:sdtContent>
                <w:tc>
                  <w:tcPr>
                    <w:tcW w:w="1097" w:type="pct"/>
                    <w:vAlign w:val="center"/>
                  </w:tcPr>
                  <w:p>
                    <w:pPr>
                      <w:pStyle w:val="87"/>
                      <w:spacing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整个存续期预期信用损失</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未发生信用减值</w:t>
                    </w:r>
                    <w:r>
                      <w:rPr>
                        <w:rFonts w:ascii="Times New Roman" w:hAnsi="Times New Roman" w:eastAsia="宋体" w:cs="Times New Roman"/>
                        <w:sz w:val="21"/>
                        <w:szCs w:val="21"/>
                        <w:lang w:eastAsia="zh-CN"/>
                      </w:rPr>
                      <w:t>)</w:t>
                    </w:r>
                  </w:p>
                </w:tc>
              </w:sdtContent>
            </w:sdt>
            <w:sdt>
              <w:sdtPr>
                <w:rPr>
                  <w:rFonts w:ascii="Times New Roman" w:hAnsi="Times New Roman" w:cs="Times New Roman"/>
                </w:rPr>
                <w:tag w:val="_PLD_96f4d1ff5d1541a5bcedcc9d7d297735"/>
                <w:id w:val="865727168"/>
                <w:lock w:val="sdtLocked"/>
              </w:sdtPr>
              <w:sdtEndPr>
                <w:rPr>
                  <w:rFonts w:ascii="Times New Roman" w:hAnsi="Times New Roman" w:cs="Times New Roman"/>
                </w:rPr>
              </w:sdtEndPr>
              <w:sdtContent>
                <w:tc>
                  <w:tcPr>
                    <w:tcW w:w="1097" w:type="pct"/>
                    <w:vAlign w:val="center"/>
                  </w:tcPr>
                  <w:p>
                    <w:pPr>
                      <w:pStyle w:val="87"/>
                      <w:spacing w:line="240" w:lineRule="auto"/>
                      <w:jc w:val="center"/>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整个存续期预期信用损失</w:t>
                    </w: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已发生信用减值</w:t>
                    </w:r>
                    <w:r>
                      <w:rPr>
                        <w:rFonts w:ascii="Times New Roman" w:hAnsi="Times New Roman" w:eastAsia="宋体" w:cs="Times New Roman"/>
                        <w:sz w:val="21"/>
                        <w:szCs w:val="21"/>
                        <w:lang w:eastAsia="zh-CN"/>
                      </w:rPr>
                      <w:t>)</w:t>
                    </w:r>
                  </w:p>
                </w:tc>
              </w:sdtContent>
            </w:sdt>
            <w:tc>
              <w:tcPr>
                <w:tcW w:w="943" w:type="pct"/>
                <w:vMerge w:val="continue"/>
              </w:tcPr>
              <w:p>
                <w:pPr>
                  <w:jc w:val="center"/>
                  <w:rPr>
                    <w:rFonts w:ascii="Times New Roman" w:hAnsi="Times New Roman" w:cs="Times New Roman"/>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636c6852b25a4d6c858770d90584cecd"/>
                <w:id w:val="865727169"/>
                <w:lock w:val="sdtLocked"/>
              </w:sdtPr>
              <w:sdtEndPr>
                <w:rPr>
                  <w:rFonts w:ascii="Times New Roman" w:hAnsi="Times New Roman" w:cs="Times New Roman"/>
                </w:rPr>
              </w:sdtEndPr>
              <w:sdtContent>
                <w:tc>
                  <w:tcPr>
                    <w:tcW w:w="1001"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2021</w:t>
                    </w:r>
                    <w:r>
                      <w:rPr>
                        <w:rFonts w:ascii="Times New Roman" w:hAnsi="宋体" w:eastAsia="宋体" w:cs="Times New Roman"/>
                        <w:sz w:val="21"/>
                        <w:szCs w:val="21"/>
                        <w:lang w:eastAsia="zh-CN"/>
                      </w:rPr>
                      <w:t>年</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月</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日余额</w:t>
                    </w:r>
                  </w:p>
                </w:tc>
              </w:sdtContent>
            </w:sdt>
            <w:tc>
              <w:tcPr>
                <w:tcW w:w="862" w:type="pct"/>
                <w:vAlign w:val="center"/>
              </w:tcPr>
              <w:p>
                <w:pPr>
                  <w:jc w:val="right"/>
                  <w:rPr>
                    <w:rFonts w:ascii="Times New Roman" w:hAnsi="Times New Roman" w:cs="Times New Roman"/>
                    <w:szCs w:val="21"/>
                  </w:rPr>
                </w:pPr>
                <w:r>
                  <w:rPr>
                    <w:rFonts w:ascii="Times New Roman" w:hAnsi="Times New Roman" w:cs="Times New Roman"/>
                    <w:szCs w:val="21"/>
                  </w:rPr>
                  <w:t>5,073,379.27</w:t>
                </w:r>
              </w:p>
            </w:tc>
            <w:tc>
              <w:tcPr>
                <w:tcW w:w="1097"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 w:val="24"/>
                  </w:rPr>
                </w:pPr>
                <w:r>
                  <w:rPr>
                    <w:rFonts w:ascii="Times New Roman" w:hAnsi="Times New Roman" w:cs="Times New Roman"/>
                  </w:rPr>
                  <w:t>61,252,322.99</w:t>
                </w:r>
              </w:p>
            </w:tc>
            <w:tc>
              <w:tcPr>
                <w:tcW w:w="943" w:type="pct"/>
                <w:vAlign w:val="center"/>
              </w:tcPr>
              <w:p>
                <w:pPr>
                  <w:jc w:val="right"/>
                  <w:rPr>
                    <w:rFonts w:ascii="Times New Roman" w:hAnsi="Times New Roman" w:cs="Times New Roman"/>
                    <w:sz w:val="24"/>
                  </w:rPr>
                </w:pPr>
                <w:r>
                  <w:rPr>
                    <w:rFonts w:ascii="Times New Roman" w:hAnsi="Times New Roman" w:cs="Times New Roman"/>
                  </w:rPr>
                  <w:t>66,325,702.26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8d76e101f18446c7aefc9b77547c240d"/>
                <w:id w:val="865727170"/>
                <w:lock w:val="sdtLocked"/>
              </w:sdtPr>
              <w:sdtEndPr>
                <w:rPr>
                  <w:rFonts w:ascii="Times New Roman" w:hAnsi="Times New Roman" w:cs="Times New Roman"/>
                </w:rPr>
              </w:sdtEndPr>
              <w:sdtContent>
                <w:tc>
                  <w:tcPr>
                    <w:tcW w:w="1001"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2021</w:t>
                    </w:r>
                    <w:r>
                      <w:rPr>
                        <w:rFonts w:ascii="Times New Roman" w:hAnsi="宋体" w:eastAsia="宋体" w:cs="Times New Roman"/>
                        <w:sz w:val="21"/>
                        <w:szCs w:val="21"/>
                        <w:lang w:eastAsia="zh-CN"/>
                      </w:rPr>
                      <w:t>年</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月</w:t>
                    </w:r>
                    <w:r>
                      <w:rPr>
                        <w:rFonts w:ascii="Times New Roman" w:hAnsi="Times New Roman" w:eastAsia="宋体" w:cs="Times New Roman"/>
                        <w:sz w:val="21"/>
                        <w:szCs w:val="21"/>
                        <w:lang w:eastAsia="zh-CN"/>
                      </w:rPr>
                      <w:t>1</w:t>
                    </w:r>
                    <w:r>
                      <w:rPr>
                        <w:rFonts w:ascii="Times New Roman" w:hAnsi="宋体" w:eastAsia="宋体" w:cs="Times New Roman"/>
                        <w:sz w:val="21"/>
                        <w:szCs w:val="21"/>
                        <w:lang w:eastAsia="zh-CN"/>
                      </w:rPr>
                      <w:t>日余额在本期</w:t>
                    </w:r>
                  </w:p>
                </w:tc>
              </w:sdtContent>
            </w:sdt>
            <w:tc>
              <w:tcPr>
                <w:tcW w:w="862" w:type="pct"/>
                <w:vAlign w:val="center"/>
              </w:tcPr>
              <w:p>
                <w:pPr>
                  <w:jc w:val="right"/>
                  <w:rPr>
                    <w:rFonts w:ascii="Times New Roman" w:hAnsi="Times New Roman" w:cs="Times New Roman"/>
                    <w:sz w:val="24"/>
                  </w:rPr>
                </w:pPr>
              </w:p>
            </w:tc>
            <w:tc>
              <w:tcPr>
                <w:tcW w:w="1097" w:type="pct"/>
                <w:vAlign w:val="center"/>
              </w:tcPr>
              <w:p>
                <w:pPr>
                  <w:jc w:val="right"/>
                  <w:rPr>
                    <w:rFonts w:ascii="Times New Roman" w:hAnsi="Times New Roman" w:cs="Times New Roman"/>
                    <w:sz w:val="24"/>
                  </w:rPr>
                </w:pPr>
              </w:p>
            </w:tc>
            <w:tc>
              <w:tcPr>
                <w:tcW w:w="1097" w:type="pct"/>
                <w:vAlign w:val="center"/>
              </w:tcPr>
              <w:p>
                <w:pPr>
                  <w:jc w:val="right"/>
                  <w:rPr>
                    <w:rFonts w:ascii="Times New Roman" w:hAnsi="Times New Roman" w:cs="Times New Roman"/>
                    <w:sz w:val="24"/>
                  </w:rPr>
                </w:pPr>
              </w:p>
            </w:tc>
            <w:tc>
              <w:tcPr>
                <w:tcW w:w="943" w:type="pct"/>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e010be371bc49ac988bdf2cd90316dd"/>
                <w:id w:val="865727171"/>
                <w:lock w:val="sdtLocked"/>
              </w:sdtPr>
              <w:sdtEndPr>
                <w:rPr>
                  <w:rFonts w:ascii="Times New Roman" w:hAnsi="Times New Roman" w:cs="Times New Roman"/>
                </w:rPr>
              </w:sdtEndPr>
              <w:sdtContent>
                <w:tc>
                  <w:tcPr>
                    <w:tcW w:w="1001"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转入第二阶段</w:t>
                    </w:r>
                  </w:p>
                </w:tc>
              </w:sdtContent>
            </w:sdt>
            <w:tc>
              <w:tcPr>
                <w:tcW w:w="862"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943"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63738a038d3449bca2847d835279dc89"/>
                <w:id w:val="865727172"/>
                <w:lock w:val="sdtLocked"/>
              </w:sdtPr>
              <w:sdtEndPr>
                <w:rPr>
                  <w:rFonts w:ascii="Times New Roman" w:hAnsi="Times New Roman" w:cs="Times New Roman"/>
                </w:rPr>
              </w:sdtEndPr>
              <w:sdtContent>
                <w:tc>
                  <w:tcPr>
                    <w:tcW w:w="1001"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转入第三阶段</w:t>
                    </w:r>
                  </w:p>
                </w:tc>
              </w:sdtContent>
            </w:sdt>
            <w:tc>
              <w:tcPr>
                <w:tcW w:w="862"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943"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fa70f36c93c48438cc961eb5a2a425b"/>
                <w:id w:val="865727173"/>
                <w:lock w:val="sdtLocked"/>
              </w:sdtPr>
              <w:sdtEndPr>
                <w:rPr>
                  <w:rFonts w:ascii="Times New Roman" w:hAnsi="Times New Roman" w:cs="Times New Roman"/>
                </w:rPr>
              </w:sdtEndPr>
              <w:sdtContent>
                <w:tc>
                  <w:tcPr>
                    <w:tcW w:w="1001"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转回第二阶段</w:t>
                    </w:r>
                  </w:p>
                </w:tc>
              </w:sdtContent>
            </w:sdt>
            <w:tc>
              <w:tcPr>
                <w:tcW w:w="862"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943"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fe20cbca965349efad48e278ca08bce9"/>
                <w:id w:val="865727174"/>
                <w:lock w:val="sdtLocked"/>
              </w:sdtPr>
              <w:sdtEndPr>
                <w:rPr>
                  <w:rFonts w:ascii="Times New Roman" w:hAnsi="Times New Roman" w:cs="Times New Roman"/>
                </w:rPr>
              </w:sdtEndPr>
              <w:sdtContent>
                <w:tc>
                  <w:tcPr>
                    <w:tcW w:w="1001"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r>
                      <w:rPr>
                        <w:rFonts w:ascii="Times New Roman" w:hAnsi="宋体" w:eastAsia="宋体" w:cs="Times New Roman"/>
                        <w:sz w:val="21"/>
                        <w:szCs w:val="21"/>
                        <w:lang w:eastAsia="zh-CN"/>
                      </w:rPr>
                      <w:t>转回第一阶段</w:t>
                    </w:r>
                  </w:p>
                </w:tc>
              </w:sdtContent>
            </w:sdt>
            <w:tc>
              <w:tcPr>
                <w:tcW w:w="862"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943"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0c9dbe685d24b538a9f91471f897441"/>
                <w:id w:val="865727175"/>
                <w:lock w:val="sdtLocked"/>
              </w:sdtPr>
              <w:sdtEndPr>
                <w:rPr>
                  <w:rFonts w:ascii="Times New Roman" w:hAnsi="Times New Roman" w:cs="Times New Roman"/>
                </w:rPr>
              </w:sdtEndPr>
              <w:sdtContent>
                <w:tc>
                  <w:tcPr>
                    <w:tcW w:w="1001"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本期计提</w:t>
                    </w:r>
                  </w:p>
                </w:tc>
              </w:sdtContent>
            </w:sdt>
            <w:tc>
              <w:tcPr>
                <w:tcW w:w="862" w:type="pct"/>
                <w:vAlign w:val="center"/>
              </w:tcPr>
              <w:p>
                <w:pPr>
                  <w:jc w:val="right"/>
                  <w:rPr>
                    <w:rFonts w:ascii="Times New Roman" w:hAnsi="Times New Roman" w:cs="Times New Roman"/>
                    <w:sz w:val="24"/>
                  </w:rPr>
                </w:pPr>
                <w:r>
                  <w:rPr>
                    <w:rFonts w:ascii="Times New Roman" w:hAnsi="Times New Roman" w:cs="Times New Roman"/>
                  </w:rPr>
                  <w:t>266,164.12</w:t>
                </w:r>
              </w:p>
            </w:tc>
            <w:tc>
              <w:tcPr>
                <w:tcW w:w="1097" w:type="pct"/>
                <w:vAlign w:val="center"/>
              </w:tcPr>
              <w:p>
                <w:pPr>
                  <w:jc w:val="right"/>
                  <w:rPr>
                    <w:rFonts w:ascii="Times New Roman" w:hAnsi="Times New Roman" w:cs="Times New Roman"/>
                    <w:sz w:val="24"/>
                  </w:rPr>
                </w:pPr>
              </w:p>
            </w:tc>
            <w:tc>
              <w:tcPr>
                <w:tcW w:w="1097" w:type="pct"/>
                <w:vAlign w:val="center"/>
              </w:tcPr>
              <w:p>
                <w:pPr>
                  <w:jc w:val="right"/>
                  <w:rPr>
                    <w:rFonts w:ascii="Times New Roman" w:hAnsi="Times New Roman" w:cs="Times New Roman"/>
                    <w:sz w:val="24"/>
                  </w:rPr>
                </w:pPr>
                <w:r>
                  <w:rPr>
                    <w:rFonts w:ascii="Times New Roman" w:hAnsi="Times New Roman" w:cs="Times New Roman"/>
                  </w:rPr>
                  <w:t>46,113.15</w:t>
                </w:r>
              </w:p>
            </w:tc>
            <w:tc>
              <w:tcPr>
                <w:tcW w:w="943" w:type="pct"/>
                <w:vAlign w:val="center"/>
              </w:tcPr>
              <w:p>
                <w:pPr>
                  <w:jc w:val="right"/>
                  <w:rPr>
                    <w:rFonts w:ascii="Times New Roman" w:hAnsi="Times New Roman" w:cs="Times New Roman"/>
                    <w:sz w:val="24"/>
                  </w:rPr>
                </w:pPr>
                <w:r>
                  <w:rPr>
                    <w:rFonts w:ascii="Times New Roman" w:hAnsi="Times New Roman" w:cs="Times New Roman"/>
                  </w:rPr>
                  <w:t>312,277.27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sdt>
                <w:sdtPr>
                  <w:rPr>
                    <w:rFonts w:ascii="Times New Roman" w:hAnsi="Times New Roman" w:cs="Times New Roman" w:eastAsiaTheme="minorEastAsia"/>
                    <w:sz w:val="21"/>
                    <w:szCs w:val="21"/>
                    <w:lang w:eastAsia="zh-CN"/>
                  </w:rPr>
                  <w:tag w:val="_PLD_79504f893fac4dabb6855f65540330eb"/>
                  <w:id w:val="865727176"/>
                  <w:lock w:val="sdtLocked"/>
                </w:sdtPr>
                <w:sdtEndPr>
                  <w:rPr>
                    <w:rFonts w:ascii="Times New Roman" w:hAnsi="Times New Roman" w:cs="Times New Roman" w:eastAsiaTheme="minorEastAsia"/>
                    <w:sz w:val="21"/>
                    <w:szCs w:val="21"/>
                    <w:lang w:eastAsia="zh-CN"/>
                  </w:rPr>
                </w:sdtEndPr>
                <w:sdtContent>
                  <w:p>
                    <w:pPr>
                      <w:pStyle w:val="87"/>
                      <w:spacing w:after="0" w:line="240" w:lineRule="auto"/>
                      <w:jc w:val="both"/>
                      <w:rPr>
                        <w:rFonts w:ascii="Times New Roman" w:hAnsi="Times New Roman" w:cs="Times New Roman" w:eastAsiaTheme="minorEastAsia"/>
                        <w:sz w:val="21"/>
                        <w:szCs w:val="21"/>
                      </w:rPr>
                    </w:pPr>
                    <w:r>
                      <w:rPr>
                        <w:rFonts w:ascii="Times New Roman" w:cs="Times New Roman" w:hAnsiTheme="minorEastAsia" w:eastAsiaTheme="minorEastAsia"/>
                        <w:sz w:val="21"/>
                        <w:szCs w:val="21"/>
                        <w:lang w:eastAsia="zh-CN"/>
                      </w:rPr>
                      <w:t>本期转回</w:t>
                    </w:r>
                  </w:p>
                </w:sdtContent>
              </w:sdt>
            </w:tc>
            <w:tc>
              <w:tcPr>
                <w:tcW w:w="862"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943"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75397d5def24e16954d676c7af7c2a1"/>
                <w:id w:val="865727177"/>
                <w:lock w:val="sdtLocked"/>
              </w:sdtPr>
              <w:sdtEndPr>
                <w:rPr>
                  <w:rFonts w:ascii="Times New Roman" w:hAnsi="Times New Roman" w:cs="Times New Roman"/>
                </w:rPr>
              </w:sdtEndPr>
              <w:sdtContent>
                <w:tc>
                  <w:tcPr>
                    <w:tcW w:w="1001"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本期转销</w:t>
                    </w:r>
                  </w:p>
                </w:tc>
              </w:sdtContent>
            </w:sdt>
            <w:tc>
              <w:tcPr>
                <w:tcW w:w="862"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943"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sdt>
                <w:sdtPr>
                  <w:rPr>
                    <w:rFonts w:ascii="Times New Roman" w:hAnsi="Times New Roman" w:cs="Times New Roman" w:eastAsiaTheme="minorEastAsia"/>
                    <w:sz w:val="21"/>
                    <w:szCs w:val="21"/>
                    <w:lang w:eastAsia="zh-CN"/>
                  </w:rPr>
                  <w:tag w:val="_PLD_cb7c12fe888d4a778dd9f6f245a14b28"/>
                  <w:id w:val="865727178"/>
                  <w:lock w:val="sdtLocked"/>
                </w:sdtPr>
                <w:sdtEndPr>
                  <w:rPr>
                    <w:rFonts w:ascii="Times New Roman" w:hAnsi="Times New Roman" w:cs="Times New Roman" w:eastAsiaTheme="minorEastAsia"/>
                    <w:sz w:val="21"/>
                    <w:szCs w:val="21"/>
                    <w:lang w:eastAsia="zh-CN"/>
                  </w:rPr>
                </w:sdtEndPr>
                <w:sdtContent>
                  <w:p>
                    <w:pPr>
                      <w:pStyle w:val="87"/>
                      <w:spacing w:after="0" w:line="240" w:lineRule="auto"/>
                      <w:jc w:val="both"/>
                      <w:rPr>
                        <w:rFonts w:ascii="Times New Roman" w:hAnsi="Times New Roman" w:cs="Times New Roman" w:eastAsiaTheme="minorEastAsia"/>
                        <w:sz w:val="21"/>
                        <w:szCs w:val="21"/>
                      </w:rPr>
                    </w:pPr>
                    <w:r>
                      <w:rPr>
                        <w:rFonts w:ascii="Times New Roman" w:cs="Times New Roman" w:hAnsiTheme="minorEastAsia" w:eastAsiaTheme="minorEastAsia"/>
                        <w:sz w:val="21"/>
                        <w:szCs w:val="21"/>
                        <w:lang w:eastAsia="zh-CN"/>
                      </w:rPr>
                      <w:t>本期核销</w:t>
                    </w:r>
                  </w:p>
                </w:sdtContent>
              </w:sdt>
            </w:tc>
            <w:tc>
              <w:tcPr>
                <w:tcW w:w="862"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943"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fd1e6581892848cf98bea9d0e50db1c2"/>
                <w:id w:val="865727179"/>
                <w:lock w:val="sdtLocked"/>
              </w:sdtPr>
              <w:sdtEndPr>
                <w:rPr>
                  <w:rFonts w:ascii="Times New Roman" w:hAnsi="Times New Roman" w:cs="Times New Roman"/>
                </w:rPr>
              </w:sdtEndPr>
              <w:sdtContent>
                <w:tc>
                  <w:tcPr>
                    <w:tcW w:w="1001" w:type="pct"/>
                    <w:vAlign w:val="center"/>
                  </w:tcPr>
                  <w:p>
                    <w:pPr>
                      <w:pStyle w:val="87"/>
                      <w:spacing w:after="0" w:line="240" w:lineRule="auto"/>
                      <w:jc w:val="both"/>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其他变动</w:t>
                    </w:r>
                  </w:p>
                </w:tc>
              </w:sdtContent>
            </w:sdt>
            <w:tc>
              <w:tcPr>
                <w:tcW w:w="862"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1097" w:type="pct"/>
                <w:vAlign w:val="center"/>
              </w:tcPr>
              <w:p>
                <w:pPr>
                  <w:jc w:val="right"/>
                  <w:rPr>
                    <w:rFonts w:ascii="Times New Roman" w:hAnsi="Times New Roman" w:cs="Times New Roman"/>
                    <w:szCs w:val="21"/>
                  </w:rPr>
                </w:pPr>
              </w:p>
            </w:tc>
            <w:tc>
              <w:tcPr>
                <w:tcW w:w="943"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1c7357707ce462eb575e4dfd7b344fa"/>
                <w:id w:val="865727180"/>
                <w:lock w:val="sdtLocked"/>
              </w:sdtPr>
              <w:sdtEndPr>
                <w:rPr>
                  <w:rFonts w:ascii="Times New Roman" w:hAnsi="Times New Roman" w:cs="Times New Roman"/>
                </w:rPr>
              </w:sdtEndPr>
              <w:sdtContent>
                <w:tc>
                  <w:tcPr>
                    <w:tcW w:w="1001" w:type="pct"/>
                    <w:vAlign w:val="center"/>
                  </w:tcPr>
                  <w:p>
                    <w:pPr>
                      <w:pStyle w:val="87"/>
                      <w:spacing w:after="0" w:line="240" w:lineRule="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2021</w:t>
                    </w:r>
                    <w:r>
                      <w:rPr>
                        <w:rFonts w:ascii="Times New Roman" w:hAnsi="宋体" w:eastAsia="宋体" w:cs="Times New Roman"/>
                        <w:sz w:val="21"/>
                        <w:szCs w:val="21"/>
                        <w:lang w:eastAsia="zh-CN"/>
                      </w:rPr>
                      <w:t>年</w:t>
                    </w:r>
                    <w:r>
                      <w:rPr>
                        <w:rFonts w:ascii="Times New Roman" w:hAnsi="Times New Roman" w:eastAsia="宋体" w:cs="Times New Roman"/>
                        <w:sz w:val="21"/>
                        <w:szCs w:val="21"/>
                        <w:lang w:eastAsia="zh-CN"/>
                      </w:rPr>
                      <w:t>12</w:t>
                    </w:r>
                    <w:r>
                      <w:rPr>
                        <w:rFonts w:ascii="Times New Roman" w:hAnsi="宋体" w:eastAsia="宋体" w:cs="Times New Roman"/>
                        <w:sz w:val="21"/>
                        <w:szCs w:val="21"/>
                        <w:lang w:eastAsia="zh-CN"/>
                      </w:rPr>
                      <w:t>月</w:t>
                    </w:r>
                    <w:r>
                      <w:rPr>
                        <w:rFonts w:ascii="Times New Roman" w:hAnsi="Times New Roman" w:eastAsia="宋体" w:cs="Times New Roman"/>
                        <w:sz w:val="21"/>
                        <w:szCs w:val="21"/>
                        <w:lang w:eastAsia="zh-CN"/>
                      </w:rPr>
                      <w:t>31</w:t>
                    </w:r>
                    <w:r>
                      <w:rPr>
                        <w:rFonts w:ascii="Times New Roman" w:hAnsi="宋体" w:eastAsia="宋体" w:cs="Times New Roman"/>
                        <w:sz w:val="21"/>
                        <w:szCs w:val="21"/>
                        <w:lang w:eastAsia="zh-CN"/>
                      </w:rPr>
                      <w:t>日余额</w:t>
                    </w:r>
                  </w:p>
                </w:tc>
              </w:sdtContent>
            </w:sdt>
            <w:tc>
              <w:tcPr>
                <w:tcW w:w="862" w:type="pct"/>
                <w:vAlign w:val="center"/>
              </w:tcPr>
              <w:p>
                <w:pPr>
                  <w:jc w:val="right"/>
                  <w:rPr>
                    <w:rFonts w:ascii="Times New Roman" w:hAnsi="Times New Roman" w:cs="Times New Roman"/>
                    <w:sz w:val="24"/>
                  </w:rPr>
                </w:pPr>
                <w:r>
                  <w:rPr>
                    <w:rFonts w:ascii="Times New Roman" w:hAnsi="Times New Roman" w:cs="Times New Roman"/>
                  </w:rPr>
                  <w:t>5,339,543.39</w:t>
                </w:r>
              </w:p>
            </w:tc>
            <w:tc>
              <w:tcPr>
                <w:tcW w:w="1097" w:type="pct"/>
                <w:vAlign w:val="center"/>
              </w:tcPr>
              <w:p>
                <w:pPr>
                  <w:jc w:val="right"/>
                  <w:rPr>
                    <w:rFonts w:ascii="Times New Roman" w:hAnsi="Times New Roman" w:cs="Times New Roman"/>
                    <w:sz w:val="24"/>
                  </w:rPr>
                </w:pPr>
              </w:p>
            </w:tc>
            <w:tc>
              <w:tcPr>
                <w:tcW w:w="1097" w:type="pct"/>
                <w:vAlign w:val="center"/>
              </w:tcPr>
              <w:p>
                <w:pPr>
                  <w:jc w:val="right"/>
                  <w:rPr>
                    <w:rFonts w:ascii="Times New Roman" w:hAnsi="Times New Roman" w:cs="Times New Roman"/>
                    <w:sz w:val="24"/>
                  </w:rPr>
                </w:pPr>
                <w:r>
                  <w:rPr>
                    <w:rFonts w:ascii="Times New Roman" w:hAnsi="Times New Roman" w:cs="Times New Roman"/>
                  </w:rPr>
                  <w:t>61,298,436.14</w:t>
                </w:r>
              </w:p>
            </w:tc>
            <w:tc>
              <w:tcPr>
                <w:tcW w:w="943" w:type="pct"/>
                <w:vAlign w:val="center"/>
              </w:tcPr>
              <w:p>
                <w:pPr>
                  <w:jc w:val="right"/>
                  <w:rPr>
                    <w:rFonts w:ascii="Times New Roman" w:hAnsi="Times New Roman" w:cs="Times New Roman"/>
                    <w:sz w:val="24"/>
                  </w:rPr>
                </w:pPr>
                <w:r>
                  <w:rPr>
                    <w:rFonts w:ascii="Times New Roman" w:hAnsi="Times New Roman" w:cs="Times New Roman"/>
                  </w:rPr>
                  <w:t>66,637,979.53</w:t>
                </w:r>
              </w:p>
            </w:tc>
          </w:tr>
        </w:tbl>
        <w:p/>
        <w:p>
          <w:pPr>
            <w:pStyle w:val="72"/>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86572718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44"/>
    <w:sdt>
      <w:sdtPr>
        <w:alias w:val="模块:本期坏账准备计提金额以及评估金融工具的信用风险是否显著增加的采用依据"/>
        <w:tag w:val="_SEC_fbab0742fc2c44e3ad68d85a2a28dba0"/>
        <w:id w:val="865727184"/>
        <w:lock w:val="sdtLocked"/>
        <w:placeholder>
          <w:docPart w:val="GBC22222222222222222222222222222"/>
        </w:placeholder>
      </w:sdtPr>
      <w:sdtContent>
        <w:p>
          <w:bookmarkStart w:id="245" w:name="_Hlk534806894"/>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6572718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45"/>
    <w:sdt>
      <w:sdtPr>
        <w:rPr>
          <w:rFonts w:hint="eastAsia" w:ascii="宋体" w:hAnsi="宋体" w:eastAsia="宋体" w:cs="宋体"/>
          <w:b w:val="0"/>
          <w:bCs w:val="0"/>
          <w:kern w:val="0"/>
          <w:szCs w:val="24"/>
        </w:rPr>
        <w:alias w:val="模块:坏账准备的情况"/>
        <w:tag w:val="_SEC_f423d6eb34fc4ed68280e4e283cb023a"/>
        <w:id w:val="865727200"/>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0"/>
              <w:numId w:val="135"/>
            </w:numPr>
          </w:pPr>
          <w:bookmarkStart w:id="246" w:name="_Hlk533797618"/>
          <w:bookmarkEnd w:id="246"/>
          <w:r>
            <w:rPr>
              <w:rFonts w:hint="eastAsia"/>
            </w:rPr>
            <w:t>坏账准备的情况</w:t>
          </w:r>
        </w:p>
        <w:sdt>
          <w:sdtPr>
            <w:alias w:val="是否适用：母公司其他应收款坏账准备情况[双击切换]"/>
            <w:tag w:val="_GBC_fe964b2b8e824335995eaad4df852022"/>
            <w:id w:val="-1267530833"/>
            <w:lock w:val="sdtLocked"/>
          </w:sdtPr>
          <w:sdtContent>
            <w:p>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pStyle w:val="55"/>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39484616"/>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情况"/>
              <w:tag w:val="_GBC_e2ca206ffc72482a9cbe8c86c5688b1f"/>
              <w:id w:val="-14821477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148"/>
            <w:gridCol w:w="1696"/>
            <w:gridCol w:w="1591"/>
            <w:gridCol w:w="926"/>
            <w:gridCol w:w="1004"/>
            <w:gridCol w:w="998"/>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599b4552113b431d9950cc345fc3c771"/>
                <w:id w:val="115236892"/>
                <w:lock w:val="sdtLocked"/>
              </w:sdtPr>
              <w:sdtContent>
                <w:tc>
                  <w:tcPr>
                    <w:tcW w:w="634" w:type="pct"/>
                    <w:vMerge w:val="restart"/>
                    <w:shd w:val="clear" w:color="auto" w:fill="FFFFFF"/>
                    <w:vAlign w:val="center"/>
                  </w:tcPr>
                  <w:p>
                    <w:pPr>
                      <w:jc w:val="center"/>
                    </w:pPr>
                    <w:r>
                      <w:t>类别</w:t>
                    </w:r>
                  </w:p>
                </w:tc>
              </w:sdtContent>
            </w:sdt>
            <w:sdt>
              <w:sdtPr>
                <w:tag w:val="_PLD_b04fb91e27324be18dbb1170501ea7c2"/>
                <w:id w:val="115236893"/>
                <w:lock w:val="sdtLocked"/>
              </w:sdtPr>
              <w:sdtContent>
                <w:tc>
                  <w:tcPr>
                    <w:tcW w:w="936" w:type="pct"/>
                    <w:vMerge w:val="restart"/>
                    <w:shd w:val="clear" w:color="auto" w:fill="FFFFFF"/>
                    <w:vAlign w:val="center"/>
                  </w:tcPr>
                  <w:p>
                    <w:pPr>
                      <w:jc w:val="center"/>
                    </w:pPr>
                    <w:r>
                      <w:t>期初余额</w:t>
                    </w:r>
                  </w:p>
                </w:tc>
              </w:sdtContent>
            </w:sdt>
            <w:sdt>
              <w:sdtPr>
                <w:tag w:val="_PLD_3162774660ba4bd791229ed0557bee42"/>
                <w:id w:val="115236894"/>
                <w:lock w:val="sdtLocked"/>
              </w:sdtPr>
              <w:sdtContent>
                <w:tc>
                  <w:tcPr>
                    <w:tcW w:w="2494" w:type="pct"/>
                    <w:gridSpan w:val="4"/>
                    <w:shd w:val="clear" w:color="auto" w:fill="FFFFFF"/>
                    <w:vAlign w:val="center"/>
                  </w:tcPr>
                  <w:p>
                    <w:pPr>
                      <w:jc w:val="center"/>
                    </w:pPr>
                    <w:r>
                      <w:rPr>
                        <w:rFonts w:hint="eastAsia"/>
                      </w:rPr>
                      <w:t>本期变动</w:t>
                    </w:r>
                    <w:r>
                      <w:t>金额</w:t>
                    </w:r>
                  </w:p>
                </w:tc>
              </w:sdtContent>
            </w:sdt>
            <w:sdt>
              <w:sdtPr>
                <w:tag w:val="_PLD_d14d39f809c34e24be6fc317d43acf45"/>
                <w:id w:val="115236895"/>
                <w:lock w:val="sdtLocked"/>
              </w:sdtPr>
              <w:sdtContent>
                <w:tc>
                  <w:tcPr>
                    <w:tcW w:w="936" w:type="pct"/>
                    <w:vMerge w:val="restart"/>
                    <w:shd w:val="clear" w:color="auto" w:fill="FFFFFF"/>
                    <w:vAlign w:val="center"/>
                  </w:tcPr>
                  <w:p>
                    <w:pPr>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34" w:type="pct"/>
                <w:vMerge w:val="continue"/>
                <w:shd w:val="clear" w:color="auto" w:fill="FFFFFF"/>
              </w:tcPr>
              <w:p>
                <w:pPr>
                  <w:jc w:val="center"/>
                </w:pPr>
              </w:p>
            </w:tc>
            <w:tc>
              <w:tcPr>
                <w:tcW w:w="936" w:type="pct"/>
                <w:vMerge w:val="continue"/>
                <w:shd w:val="clear" w:color="auto" w:fill="FFFFFF"/>
              </w:tcPr>
              <w:p>
                <w:pPr>
                  <w:jc w:val="center"/>
                </w:pPr>
              </w:p>
            </w:tc>
            <w:sdt>
              <w:sdtPr>
                <w:tag w:val="_PLD_f408f7d036804cc28ba43a0439189aa1"/>
                <w:id w:val="115236896"/>
                <w:lock w:val="sdtLocked"/>
              </w:sdtPr>
              <w:sdtContent>
                <w:tc>
                  <w:tcPr>
                    <w:tcW w:w="878" w:type="pct"/>
                    <w:shd w:val="clear" w:color="auto" w:fill="FFFFFF"/>
                    <w:vAlign w:val="center"/>
                  </w:tcPr>
                  <w:p>
                    <w:pPr>
                      <w:jc w:val="center"/>
                    </w:pPr>
                    <w:r>
                      <w:t>计提</w:t>
                    </w:r>
                  </w:p>
                </w:tc>
              </w:sdtContent>
            </w:sdt>
            <w:sdt>
              <w:sdtPr>
                <w:tag w:val="_PLD_694fce967684431e964389b1fbfd7773"/>
                <w:id w:val="115236897"/>
                <w:lock w:val="sdtLocked"/>
              </w:sdtPr>
              <w:sdtContent>
                <w:tc>
                  <w:tcPr>
                    <w:tcW w:w="511" w:type="pct"/>
                    <w:shd w:val="clear" w:color="auto" w:fill="FFFFFF"/>
                    <w:vAlign w:val="center"/>
                  </w:tcPr>
                  <w:p>
                    <w:pPr>
                      <w:jc w:val="center"/>
                    </w:pPr>
                    <w:r>
                      <w:rPr>
                        <w:rFonts w:hint="eastAsia"/>
                      </w:rPr>
                      <w:t>收回或转回</w:t>
                    </w:r>
                  </w:p>
                </w:tc>
              </w:sdtContent>
            </w:sdt>
            <w:sdt>
              <w:sdtPr>
                <w:tag w:val="_PLD_59153f559aba461288ad06bff0782b2d"/>
                <w:id w:val="115236898"/>
                <w:lock w:val="sdtLocked"/>
              </w:sdtPr>
              <w:sdtContent>
                <w:tc>
                  <w:tcPr>
                    <w:tcW w:w="554" w:type="pct"/>
                    <w:shd w:val="clear" w:color="auto" w:fill="FFFFFF"/>
                    <w:vAlign w:val="center"/>
                  </w:tcPr>
                  <w:p>
                    <w:pPr>
                      <w:jc w:val="center"/>
                    </w:pPr>
                    <w:r>
                      <w:rPr>
                        <w:rFonts w:hint="eastAsia"/>
                      </w:rPr>
                      <w:t>转销或核销</w:t>
                    </w:r>
                  </w:p>
                </w:tc>
              </w:sdtContent>
            </w:sdt>
            <w:tc>
              <w:tcPr>
                <w:tcW w:w="551" w:type="pct"/>
                <w:shd w:val="clear" w:color="auto" w:fill="FFFFFF"/>
                <w:vAlign w:val="center"/>
              </w:tcPr>
              <w:sdt>
                <w:sdtPr>
                  <w:rPr>
                    <w:rFonts w:hint="eastAsia"/>
                  </w:rPr>
                  <w:tag w:val="_PLD_51a0476d1e2f444f8723da1988f813f5"/>
                  <w:id w:val="115236899"/>
                  <w:lock w:val="sdtLocked"/>
                </w:sdtPr>
                <w:sdtEndPr>
                  <w:rPr>
                    <w:rFonts w:hint="eastAsia"/>
                  </w:rPr>
                </w:sdtEndPr>
                <w:sdtContent>
                  <w:p>
                    <w:pPr>
                      <w:jc w:val="right"/>
                    </w:pPr>
                    <w:r>
                      <w:rPr>
                        <w:rFonts w:hint="eastAsia"/>
                      </w:rPr>
                      <w:t>其他变动</w:t>
                    </w:r>
                  </w:p>
                </w:sdtContent>
              </w:sdt>
            </w:tc>
            <w:tc>
              <w:tcPr>
                <w:tcW w:w="936" w:type="pct"/>
                <w:vMerge w:val="continue"/>
                <w:shd w:val="clear" w:color="auto" w:fill="FFFFFF"/>
              </w:tcPr>
              <w:p>
                <w:pPr>
                  <w:jc w:val="right"/>
                </w:pPr>
              </w:p>
            </w:tc>
          </w:tr>
          <w:sdt>
            <w:sdtPr>
              <w:alias w:val="其他应收款坏账准备明细"/>
              <w:tag w:val="_TUP_6f56b657771645c385c6c7407469a695"/>
              <w:id w:val="115236900"/>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34" w:type="pct"/>
                    <w:shd w:val="clear" w:color="auto" w:fill="auto"/>
                  </w:tcPr>
                  <w:p>
                    <w:r>
                      <w:rPr>
                        <w:rFonts w:hint="eastAsia"/>
                      </w:rPr>
                      <w:t>单项计提预期信用损失的其他应收款</w:t>
                    </w:r>
                  </w:p>
                </w:tc>
                <w:tc>
                  <w:tcPr>
                    <w:tcW w:w="936" w:type="pct"/>
                    <w:shd w:val="clear" w:color="auto" w:fill="auto"/>
                    <w:vAlign w:val="center"/>
                  </w:tcPr>
                  <w:p>
                    <w:pPr>
                      <w:jc w:val="right"/>
                      <w:rPr>
                        <w:rFonts w:ascii="Times New Roman" w:hAnsi="Times New Roman" w:cs="Times New Roman"/>
                      </w:rPr>
                    </w:pPr>
                    <w:r>
                      <w:rPr>
                        <w:rFonts w:ascii="Times New Roman" w:hAnsi="Times New Roman" w:cs="Times New Roman"/>
                      </w:rPr>
                      <w:t>61,252,322.99</w:t>
                    </w:r>
                  </w:p>
                </w:tc>
                <w:tc>
                  <w:tcPr>
                    <w:tcW w:w="878" w:type="pct"/>
                    <w:shd w:val="clear" w:color="auto" w:fill="auto"/>
                    <w:vAlign w:val="center"/>
                  </w:tcPr>
                  <w:p>
                    <w:pPr>
                      <w:jc w:val="right"/>
                      <w:rPr>
                        <w:rFonts w:ascii="Times New Roman" w:hAnsi="Times New Roman" w:cs="Times New Roman"/>
                      </w:rPr>
                    </w:pPr>
                    <w:r>
                      <w:rPr>
                        <w:rFonts w:ascii="Times New Roman" w:hAnsi="Times New Roman" w:cs="Times New Roman"/>
                      </w:rPr>
                      <w:t>46,113.15</w:t>
                    </w:r>
                  </w:p>
                </w:tc>
                <w:tc>
                  <w:tcPr>
                    <w:tcW w:w="511" w:type="pct"/>
                    <w:shd w:val="clear" w:color="auto" w:fill="auto"/>
                    <w:vAlign w:val="center"/>
                  </w:tcPr>
                  <w:p>
                    <w:pPr>
                      <w:jc w:val="right"/>
                      <w:rPr>
                        <w:rFonts w:ascii="Times New Roman" w:hAnsi="Times New Roman" w:cs="Times New Roman"/>
                      </w:rPr>
                    </w:pPr>
                  </w:p>
                </w:tc>
                <w:tc>
                  <w:tcPr>
                    <w:tcW w:w="554" w:type="pct"/>
                    <w:vAlign w:val="center"/>
                  </w:tcPr>
                  <w:p>
                    <w:pPr>
                      <w:jc w:val="right"/>
                      <w:rPr>
                        <w:rFonts w:ascii="Times New Roman" w:hAnsi="Times New Roman" w:cs="Times New Roman"/>
                      </w:rPr>
                    </w:pPr>
                  </w:p>
                </w:tc>
                <w:tc>
                  <w:tcPr>
                    <w:tcW w:w="551" w:type="pct"/>
                    <w:vAlign w:val="center"/>
                  </w:tcPr>
                  <w:p>
                    <w:pPr>
                      <w:jc w:val="right"/>
                      <w:rPr>
                        <w:rFonts w:ascii="Times New Roman" w:hAnsi="Times New Roman" w:cs="Times New Roman"/>
                      </w:rPr>
                    </w:pPr>
                  </w:p>
                </w:tc>
                <w:tc>
                  <w:tcPr>
                    <w:tcW w:w="936" w:type="pct"/>
                    <w:shd w:val="clear" w:color="auto" w:fill="auto"/>
                    <w:vAlign w:val="center"/>
                  </w:tcPr>
                  <w:p>
                    <w:pPr>
                      <w:jc w:val="right"/>
                      <w:rPr>
                        <w:rFonts w:ascii="Times New Roman" w:hAnsi="Times New Roman" w:cs="Times New Roman"/>
                      </w:rPr>
                    </w:pPr>
                    <w:r>
                      <w:rPr>
                        <w:rFonts w:ascii="Times New Roman" w:hAnsi="Times New Roman" w:cs="Times New Roman"/>
                      </w:rPr>
                      <w:t>61,298,436.14</w:t>
                    </w:r>
                  </w:p>
                </w:tc>
              </w:tr>
            </w:sdtContent>
          </w:sdt>
          <w:sdt>
            <w:sdtPr>
              <w:alias w:val="其他应收款坏账准备明细"/>
              <w:tag w:val="_TUP_6f56b657771645c385c6c7407469a695"/>
              <w:id w:val="115236901"/>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34" w:type="pct"/>
                    <w:shd w:val="clear" w:color="auto" w:fill="auto"/>
                  </w:tcPr>
                  <w:p>
                    <w:r>
                      <w:rPr>
                        <w:rFonts w:hint="eastAsia"/>
                      </w:rPr>
                      <w:t>按组合计提预期信用损失的其他应收款</w:t>
                    </w:r>
                  </w:p>
                </w:tc>
                <w:tc>
                  <w:tcPr>
                    <w:tcW w:w="936" w:type="pct"/>
                    <w:shd w:val="clear" w:color="auto" w:fill="auto"/>
                    <w:vAlign w:val="center"/>
                  </w:tcPr>
                  <w:p>
                    <w:pPr>
                      <w:jc w:val="right"/>
                      <w:rPr>
                        <w:rFonts w:ascii="Times New Roman" w:hAnsi="Times New Roman" w:cs="Times New Roman"/>
                      </w:rPr>
                    </w:pPr>
                    <w:r>
                      <w:rPr>
                        <w:rFonts w:ascii="Times New Roman" w:hAnsi="Times New Roman" w:cs="Times New Roman"/>
                      </w:rPr>
                      <w:t>5,073,379.27</w:t>
                    </w:r>
                  </w:p>
                </w:tc>
                <w:tc>
                  <w:tcPr>
                    <w:tcW w:w="878" w:type="pct"/>
                    <w:shd w:val="clear" w:color="auto" w:fill="auto"/>
                    <w:vAlign w:val="center"/>
                  </w:tcPr>
                  <w:p>
                    <w:pPr>
                      <w:jc w:val="right"/>
                      <w:rPr>
                        <w:rFonts w:ascii="Times New Roman" w:hAnsi="Times New Roman" w:cs="Times New Roman"/>
                      </w:rPr>
                    </w:pPr>
                    <w:r>
                      <w:rPr>
                        <w:rFonts w:ascii="Times New Roman" w:hAnsi="Times New Roman" w:cs="Times New Roman"/>
                      </w:rPr>
                      <w:t>266,164.12</w:t>
                    </w:r>
                  </w:p>
                </w:tc>
                <w:tc>
                  <w:tcPr>
                    <w:tcW w:w="511" w:type="pct"/>
                    <w:shd w:val="clear" w:color="auto" w:fill="auto"/>
                    <w:vAlign w:val="center"/>
                  </w:tcPr>
                  <w:p>
                    <w:pPr>
                      <w:jc w:val="right"/>
                      <w:rPr>
                        <w:rFonts w:ascii="Times New Roman" w:hAnsi="Times New Roman" w:cs="Times New Roman"/>
                      </w:rPr>
                    </w:pPr>
                  </w:p>
                </w:tc>
                <w:tc>
                  <w:tcPr>
                    <w:tcW w:w="554" w:type="pct"/>
                    <w:vAlign w:val="center"/>
                  </w:tcPr>
                  <w:p>
                    <w:pPr>
                      <w:jc w:val="right"/>
                      <w:rPr>
                        <w:rFonts w:ascii="Times New Roman" w:hAnsi="Times New Roman" w:cs="Times New Roman"/>
                      </w:rPr>
                    </w:pPr>
                  </w:p>
                </w:tc>
                <w:tc>
                  <w:tcPr>
                    <w:tcW w:w="551" w:type="pct"/>
                    <w:vAlign w:val="center"/>
                  </w:tcPr>
                  <w:p>
                    <w:pPr>
                      <w:jc w:val="right"/>
                      <w:rPr>
                        <w:rFonts w:ascii="Times New Roman" w:hAnsi="Times New Roman" w:cs="Times New Roman"/>
                      </w:rPr>
                    </w:pPr>
                  </w:p>
                </w:tc>
                <w:tc>
                  <w:tcPr>
                    <w:tcW w:w="936" w:type="pct"/>
                    <w:shd w:val="clear" w:color="auto" w:fill="auto"/>
                    <w:vAlign w:val="center"/>
                  </w:tcPr>
                  <w:p>
                    <w:pPr>
                      <w:jc w:val="right"/>
                      <w:rPr>
                        <w:rFonts w:ascii="Times New Roman" w:hAnsi="Times New Roman" w:cs="Times New Roman"/>
                      </w:rPr>
                    </w:pPr>
                    <w:r>
                      <w:rPr>
                        <w:rFonts w:ascii="Times New Roman" w:hAnsi="Times New Roman" w:cs="Times New Roman"/>
                      </w:rPr>
                      <w:t>5,339,543.39</w:t>
                    </w:r>
                  </w:p>
                </w:tc>
              </w:tr>
            </w:sdtContent>
          </w:sdt>
          <w:sdt>
            <w:sdtPr>
              <w:alias w:val="其他应收款坏账准备明细"/>
              <w:tag w:val="_TUP_6f56b657771645c385c6c7407469a695"/>
              <w:id w:val="115236902"/>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34" w:type="pct"/>
                    <w:shd w:val="clear" w:color="auto" w:fill="auto"/>
                  </w:tcPr>
                  <w:p>
                    <w:r>
                      <w:rPr>
                        <w:rFonts w:hint="eastAsia"/>
                      </w:rPr>
                      <w:t>其中：合并范围关联方</w:t>
                    </w:r>
                  </w:p>
                </w:tc>
                <w:tc>
                  <w:tcPr>
                    <w:tcW w:w="936" w:type="pct"/>
                    <w:shd w:val="clear" w:color="auto" w:fill="auto"/>
                    <w:vAlign w:val="center"/>
                  </w:tcPr>
                  <w:p>
                    <w:pPr>
                      <w:jc w:val="right"/>
                      <w:rPr>
                        <w:rFonts w:ascii="Times New Roman" w:hAnsi="Times New Roman" w:cs="Times New Roman"/>
                      </w:rPr>
                    </w:pPr>
                  </w:p>
                </w:tc>
                <w:tc>
                  <w:tcPr>
                    <w:tcW w:w="878" w:type="pct"/>
                    <w:shd w:val="clear" w:color="auto" w:fill="auto"/>
                    <w:vAlign w:val="center"/>
                  </w:tcPr>
                  <w:p>
                    <w:pPr>
                      <w:jc w:val="right"/>
                      <w:rPr>
                        <w:rFonts w:ascii="Times New Roman" w:hAnsi="Times New Roman" w:cs="Times New Roman"/>
                      </w:rPr>
                    </w:pPr>
                  </w:p>
                </w:tc>
                <w:tc>
                  <w:tcPr>
                    <w:tcW w:w="511" w:type="pct"/>
                    <w:shd w:val="clear" w:color="auto" w:fill="auto"/>
                    <w:vAlign w:val="center"/>
                  </w:tcPr>
                  <w:p>
                    <w:pPr>
                      <w:jc w:val="right"/>
                      <w:rPr>
                        <w:rFonts w:ascii="Times New Roman" w:hAnsi="Times New Roman" w:cs="Times New Roman"/>
                      </w:rPr>
                    </w:pPr>
                  </w:p>
                </w:tc>
                <w:tc>
                  <w:tcPr>
                    <w:tcW w:w="554" w:type="pct"/>
                    <w:vAlign w:val="center"/>
                  </w:tcPr>
                  <w:p>
                    <w:pPr>
                      <w:jc w:val="right"/>
                      <w:rPr>
                        <w:rFonts w:ascii="Times New Roman" w:hAnsi="Times New Roman" w:cs="Times New Roman"/>
                      </w:rPr>
                    </w:pPr>
                  </w:p>
                </w:tc>
                <w:tc>
                  <w:tcPr>
                    <w:tcW w:w="551" w:type="pct"/>
                    <w:vAlign w:val="center"/>
                  </w:tcPr>
                  <w:p>
                    <w:pPr>
                      <w:jc w:val="right"/>
                      <w:rPr>
                        <w:rFonts w:ascii="Times New Roman" w:hAnsi="Times New Roman" w:cs="Times New Roman"/>
                      </w:rPr>
                    </w:pPr>
                  </w:p>
                </w:tc>
                <w:tc>
                  <w:tcPr>
                    <w:tcW w:w="936" w:type="pct"/>
                    <w:shd w:val="clear" w:color="auto" w:fill="auto"/>
                    <w:vAlign w:val="center"/>
                  </w:tcPr>
                  <w:p>
                    <w:pPr>
                      <w:jc w:val="right"/>
                      <w:rPr>
                        <w:rFonts w:ascii="Times New Roman" w:hAnsi="Times New Roman" w:cs="Times New Roman"/>
                      </w:rPr>
                    </w:pPr>
                  </w:p>
                </w:tc>
              </w:tr>
            </w:sdtContent>
          </w:sdt>
          <w:sdt>
            <w:sdtPr>
              <w:alias w:val="其他应收款坏账准备明细"/>
              <w:tag w:val="_TUP_6f56b657771645c385c6c7407469a695"/>
              <w:id w:val="115236903"/>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34" w:type="pct"/>
                    <w:shd w:val="clear" w:color="auto" w:fill="auto"/>
                  </w:tcPr>
                  <w:p>
                    <w:r>
                      <w:rPr>
                        <w:rFonts w:hint="eastAsia"/>
                      </w:rPr>
                      <w:t>其他</w:t>
                    </w:r>
                  </w:p>
                </w:tc>
                <w:tc>
                  <w:tcPr>
                    <w:tcW w:w="936" w:type="pct"/>
                    <w:shd w:val="clear" w:color="auto" w:fill="auto"/>
                    <w:vAlign w:val="center"/>
                  </w:tcPr>
                  <w:p>
                    <w:pPr>
                      <w:jc w:val="right"/>
                      <w:rPr>
                        <w:rFonts w:ascii="Times New Roman" w:hAnsi="Times New Roman" w:cs="Times New Roman"/>
                      </w:rPr>
                    </w:pPr>
                  </w:p>
                </w:tc>
                <w:tc>
                  <w:tcPr>
                    <w:tcW w:w="878" w:type="pct"/>
                    <w:shd w:val="clear" w:color="auto" w:fill="auto"/>
                    <w:vAlign w:val="center"/>
                  </w:tcPr>
                  <w:p>
                    <w:pPr>
                      <w:jc w:val="right"/>
                      <w:rPr>
                        <w:rFonts w:ascii="Times New Roman" w:hAnsi="Times New Roman" w:cs="Times New Roman"/>
                      </w:rPr>
                    </w:pPr>
                  </w:p>
                </w:tc>
                <w:tc>
                  <w:tcPr>
                    <w:tcW w:w="511" w:type="pct"/>
                    <w:shd w:val="clear" w:color="auto" w:fill="auto"/>
                    <w:vAlign w:val="center"/>
                  </w:tcPr>
                  <w:p>
                    <w:pPr>
                      <w:jc w:val="right"/>
                      <w:rPr>
                        <w:rFonts w:ascii="Times New Roman" w:hAnsi="Times New Roman" w:cs="Times New Roman"/>
                      </w:rPr>
                    </w:pPr>
                  </w:p>
                </w:tc>
                <w:tc>
                  <w:tcPr>
                    <w:tcW w:w="554" w:type="pct"/>
                    <w:vAlign w:val="center"/>
                  </w:tcPr>
                  <w:p>
                    <w:pPr>
                      <w:jc w:val="right"/>
                      <w:rPr>
                        <w:rFonts w:ascii="Times New Roman" w:hAnsi="Times New Roman" w:cs="Times New Roman"/>
                      </w:rPr>
                    </w:pPr>
                  </w:p>
                </w:tc>
                <w:tc>
                  <w:tcPr>
                    <w:tcW w:w="551" w:type="pct"/>
                    <w:vAlign w:val="center"/>
                  </w:tcPr>
                  <w:p>
                    <w:pPr>
                      <w:jc w:val="right"/>
                      <w:rPr>
                        <w:rFonts w:ascii="Times New Roman" w:hAnsi="Times New Roman" w:cs="Times New Roman"/>
                      </w:rPr>
                    </w:pPr>
                  </w:p>
                </w:tc>
                <w:tc>
                  <w:tcPr>
                    <w:tcW w:w="936" w:type="pct"/>
                    <w:shd w:val="clear" w:color="auto" w:fill="auto"/>
                    <w:vAlign w:val="center"/>
                  </w:tcPr>
                  <w:p>
                    <w:pPr>
                      <w:jc w:val="right"/>
                      <w:rPr>
                        <w:rFonts w:ascii="Times New Roman" w:hAnsi="Times New Roman" w:cs="Times New Roman"/>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0d6a18f5af5d4d138b36d154b7e8d801"/>
                <w:id w:val="115236904"/>
                <w:lock w:val="sdtLocked"/>
              </w:sdtPr>
              <w:sdtContent>
                <w:tc>
                  <w:tcPr>
                    <w:tcW w:w="634" w:type="pct"/>
                    <w:shd w:val="clear" w:color="auto" w:fill="auto"/>
                  </w:tcPr>
                  <w:p>
                    <w:pPr>
                      <w:jc w:val="center"/>
                    </w:pPr>
                    <w:r>
                      <w:rPr>
                        <w:rFonts w:hint="eastAsia"/>
                      </w:rPr>
                      <w:t>合计</w:t>
                    </w:r>
                  </w:p>
                </w:tc>
              </w:sdtContent>
            </w:sdt>
            <w:tc>
              <w:tcPr>
                <w:tcW w:w="936" w:type="pct"/>
                <w:shd w:val="clear" w:color="auto" w:fill="auto"/>
                <w:vAlign w:val="center"/>
              </w:tcPr>
              <w:p>
                <w:pPr>
                  <w:jc w:val="right"/>
                  <w:rPr>
                    <w:rFonts w:ascii="Times New Roman" w:hAnsi="Times New Roman" w:cs="Times New Roman"/>
                    <w:sz w:val="24"/>
                  </w:rPr>
                </w:pPr>
                <w:r>
                  <w:rPr>
                    <w:rFonts w:ascii="Times New Roman" w:hAnsi="Times New Roman" w:cs="Times New Roman"/>
                  </w:rPr>
                  <w:t>66,325,702.26</w:t>
                </w:r>
              </w:p>
            </w:tc>
            <w:tc>
              <w:tcPr>
                <w:tcW w:w="878" w:type="pct"/>
                <w:shd w:val="clear" w:color="auto" w:fill="auto"/>
                <w:vAlign w:val="center"/>
              </w:tcPr>
              <w:p>
                <w:pPr>
                  <w:jc w:val="right"/>
                  <w:rPr>
                    <w:rFonts w:ascii="Times New Roman" w:hAnsi="Times New Roman" w:cs="Times New Roman"/>
                    <w:sz w:val="24"/>
                  </w:rPr>
                </w:pPr>
                <w:r>
                  <w:rPr>
                    <w:rFonts w:ascii="Times New Roman" w:hAnsi="Times New Roman" w:cs="Times New Roman"/>
                  </w:rPr>
                  <w:t>312,277.27</w:t>
                </w:r>
              </w:p>
            </w:tc>
            <w:tc>
              <w:tcPr>
                <w:tcW w:w="511" w:type="pct"/>
                <w:shd w:val="clear" w:color="auto" w:fill="auto"/>
                <w:vAlign w:val="center"/>
              </w:tcPr>
              <w:p>
                <w:pPr>
                  <w:jc w:val="right"/>
                  <w:rPr>
                    <w:rFonts w:ascii="Times New Roman" w:hAnsi="Times New Roman" w:cs="Times New Roman"/>
                    <w:sz w:val="24"/>
                  </w:rPr>
                </w:pPr>
              </w:p>
            </w:tc>
            <w:tc>
              <w:tcPr>
                <w:tcW w:w="554" w:type="pct"/>
                <w:vAlign w:val="center"/>
              </w:tcPr>
              <w:p>
                <w:pPr>
                  <w:jc w:val="right"/>
                  <w:rPr>
                    <w:rFonts w:ascii="Times New Roman" w:hAnsi="Times New Roman" w:cs="Times New Roman"/>
                    <w:sz w:val="24"/>
                  </w:rPr>
                </w:pPr>
              </w:p>
            </w:tc>
            <w:tc>
              <w:tcPr>
                <w:tcW w:w="551" w:type="pct"/>
                <w:vAlign w:val="center"/>
              </w:tcPr>
              <w:p>
                <w:pPr>
                  <w:jc w:val="right"/>
                  <w:rPr>
                    <w:rFonts w:ascii="Times New Roman" w:hAnsi="Times New Roman" w:cs="Times New Roman"/>
                    <w:sz w:val="24"/>
                  </w:rPr>
                </w:pPr>
              </w:p>
            </w:tc>
            <w:tc>
              <w:tcPr>
                <w:tcW w:w="936" w:type="pct"/>
                <w:shd w:val="clear" w:color="auto" w:fill="auto"/>
                <w:vAlign w:val="center"/>
              </w:tcPr>
              <w:p>
                <w:pPr>
                  <w:jc w:val="right"/>
                  <w:rPr>
                    <w:rFonts w:ascii="Times New Roman" w:hAnsi="Times New Roman" w:cs="Times New Roman"/>
                    <w:sz w:val="24"/>
                  </w:rPr>
                </w:pPr>
                <w:r>
                  <w:rPr>
                    <w:rFonts w:ascii="Times New Roman" w:hAnsi="Times New Roman" w:cs="Times New Roman"/>
                  </w:rPr>
                  <w:t>66,637,979.53</w:t>
                </w:r>
              </w:p>
            </w:tc>
          </w:tr>
        </w:tbl>
        <w:p/>
        <w:p>
          <w:r>
            <w:rPr>
              <w:rFonts w:hint="eastAsia"/>
            </w:rPr>
            <w:t>其中本期坏账准备转回或收回金额重要的：</w:t>
          </w:r>
        </w:p>
        <w:sdt>
          <w:sdtPr>
            <w:alias w:val="是否适用：母公司其他应收款坏账准备转回或收回金额重要的[双击切换]"/>
            <w:tag w:val="_GBC_f8ce6c07169e42188641fc1bc1ab86d4"/>
            <w:id w:val="-1393339323"/>
            <w:lock w:val="sdtLocked"/>
          </w:sdtPr>
          <w:sdtContent>
            <w:p>
              <w:pPr>
                <w:rPr>
                  <w:szCs w:val="21"/>
                </w:rPr>
              </w:pPr>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rPr>
              <w:szCs w:val="21"/>
            </w:rPr>
          </w:pPr>
        </w:p>
      </w:sdtContent>
    </w:sdt>
    <w:sdt>
      <w:sdtPr>
        <w:rPr>
          <w:rFonts w:hint="eastAsia" w:eastAsia="宋体" w:cs="宋体" w:asciiTheme="minorHAnsi" w:hAnsiTheme="minorHAnsi"/>
          <w:b w:val="0"/>
          <w:bCs w:val="0"/>
          <w:kern w:val="0"/>
          <w:szCs w:val="22"/>
        </w:rPr>
        <w:alias w:val="模块:本报告期实际核销的其他应收款情况"/>
        <w:tag w:val="_SEC_95497f8a3ba04097840502fb3e809791"/>
        <w:id w:val="865727202"/>
        <w:lock w:val="sdtLocked"/>
        <w:placeholder>
          <w:docPart w:val="GBC22222222222222222222222222222"/>
        </w:placeholder>
      </w:sdtPr>
      <w:sdtEndPr>
        <w:rPr>
          <w:rFonts w:hint="eastAsia" w:ascii="Times New Roman" w:hAnsi="Times New Roman" w:eastAsia="宋体" w:cs="Times New Roman"/>
          <w:b w:val="0"/>
          <w:bCs w:val="0"/>
          <w:kern w:val="2"/>
          <w:szCs w:val="24"/>
        </w:rPr>
      </w:sdtEndPr>
      <w:sdtContent>
        <w:p>
          <w:pPr>
            <w:pStyle w:val="5"/>
            <w:numPr>
              <w:ilvl w:val="0"/>
              <w:numId w:val="135"/>
            </w:numPr>
          </w:pPr>
          <w:r>
            <w:rPr>
              <w:rFonts w:hint="eastAsia"/>
            </w:rPr>
            <w:t>本期实际核销的其他应收款情况</w:t>
          </w:r>
        </w:p>
        <w:sdt>
          <w:sdtPr>
            <w:alias w:val="是否适用：母公司本期实际核销的其他应收款情况[双击切换]"/>
            <w:tag w:val="_GBC_1513ed448adb4dda8e855e090428591f"/>
            <w:id w:val="865727201"/>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p/>
      </w:sdtContent>
    </w:sdt>
    <w:sdt>
      <w:sdtPr>
        <w:rPr>
          <w:rFonts w:hint="eastAsia" w:ascii="宋体" w:hAnsi="宋体" w:eastAsia="宋体" w:cs="宋体"/>
          <w:b w:val="0"/>
          <w:bCs w:val="0"/>
          <w:kern w:val="0"/>
          <w:szCs w:val="24"/>
        </w:rPr>
        <w:alias w:val="模块:按欠款方归集的期末余额前五名的其他应收款情况"/>
        <w:tag w:val="_SEC_6f759e5be9a9426cadf575a65a7d3434"/>
        <w:id w:val="865727218"/>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135"/>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86572720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其他应收账款前五名欠款情况"/>
              <w:tag w:val="_GBC_a5049697dafb47839070e9dec68636fd"/>
              <w:id w:val="865727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865727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1308"/>
            <w:gridCol w:w="1602"/>
            <w:gridCol w:w="1283"/>
            <w:gridCol w:w="1725"/>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5d9d48950c334f3ebe69358594de6f5a"/>
                <w:id w:val="865727206"/>
                <w:lock w:val="sdtLocked"/>
              </w:sdtPr>
              <w:sdtEndPr>
                <w:rPr>
                  <w:rFonts w:ascii="Times New Roman" w:hAnsi="Times New Roman" w:cs="Times New Roman"/>
                </w:rPr>
              </w:sdtEndPr>
              <w:sdtContent>
                <w:tc>
                  <w:tcPr>
                    <w:tcW w:w="865" w:type="pct"/>
                    <w:vAlign w:val="center"/>
                  </w:tcPr>
                  <w:p>
                    <w:pPr>
                      <w:ind w:right="105"/>
                      <w:jc w:val="center"/>
                      <w:rPr>
                        <w:rFonts w:ascii="Times New Roman" w:hAnsi="Times New Roman" w:cs="Times New Roman"/>
                        <w:szCs w:val="21"/>
                      </w:rPr>
                    </w:pPr>
                    <w:r>
                      <w:rPr>
                        <w:rFonts w:ascii="Times New Roman" w:cs="Times New Roman"/>
                        <w:szCs w:val="21"/>
                      </w:rPr>
                      <w:t>单位名称</w:t>
                    </w:r>
                  </w:p>
                </w:tc>
              </w:sdtContent>
            </w:sdt>
            <w:sdt>
              <w:sdtPr>
                <w:rPr>
                  <w:rFonts w:ascii="Times New Roman" w:hAnsi="Times New Roman" w:cs="Times New Roman"/>
                </w:rPr>
                <w:tag w:val="_PLD_df4099a15e4547eca8a8712932025d41"/>
                <w:id w:val="865727207"/>
                <w:lock w:val="sdtLocked"/>
              </w:sdtPr>
              <w:sdtEndPr>
                <w:rPr>
                  <w:rFonts w:ascii="Times New Roman" w:hAnsi="Times New Roman" w:cs="Times New Roman"/>
                </w:rPr>
              </w:sdtEndPr>
              <w:sdtContent>
                <w:tc>
                  <w:tcPr>
                    <w:tcW w:w="762" w:type="pct"/>
                    <w:vAlign w:val="center"/>
                  </w:tcPr>
                  <w:p>
                    <w:pPr>
                      <w:ind w:right="73"/>
                      <w:jc w:val="center"/>
                      <w:rPr>
                        <w:rFonts w:ascii="Times New Roman" w:hAnsi="Times New Roman" w:cs="Times New Roman"/>
                        <w:szCs w:val="21"/>
                      </w:rPr>
                    </w:pPr>
                    <w:r>
                      <w:rPr>
                        <w:rFonts w:ascii="Times New Roman" w:cs="Times New Roman"/>
                        <w:szCs w:val="21"/>
                      </w:rPr>
                      <w:t>款项的性质</w:t>
                    </w:r>
                  </w:p>
                </w:tc>
              </w:sdtContent>
            </w:sdt>
            <w:sdt>
              <w:sdtPr>
                <w:rPr>
                  <w:rFonts w:ascii="Times New Roman" w:hAnsi="Times New Roman" w:cs="Times New Roman"/>
                </w:rPr>
                <w:tag w:val="_PLD_bddd90579b9f4693b33fb01a34a3cc74"/>
                <w:id w:val="865727208"/>
                <w:lock w:val="sdtLocked"/>
              </w:sdtPr>
              <w:sdtEndPr>
                <w:rPr>
                  <w:rFonts w:ascii="Times New Roman" w:hAnsi="Times New Roman" w:cs="Times New Roman"/>
                </w:rPr>
              </w:sdtEndPr>
              <w:sdtContent>
                <w:tc>
                  <w:tcPr>
                    <w:tcW w:w="690" w:type="pct"/>
                    <w:vAlign w:val="center"/>
                  </w:tcPr>
                  <w:p>
                    <w:pPr>
                      <w:ind w:right="73"/>
                      <w:jc w:val="center"/>
                      <w:rPr>
                        <w:rFonts w:ascii="Times New Roman" w:hAnsi="Times New Roman" w:cs="Times New Roman"/>
                        <w:szCs w:val="21"/>
                      </w:rPr>
                    </w:pPr>
                    <w:r>
                      <w:rPr>
                        <w:rFonts w:ascii="Times New Roman" w:cs="Times New Roman"/>
                        <w:szCs w:val="21"/>
                      </w:rPr>
                      <w:t>期末余额</w:t>
                    </w:r>
                  </w:p>
                </w:tc>
              </w:sdtContent>
            </w:sdt>
            <w:sdt>
              <w:sdtPr>
                <w:rPr>
                  <w:rFonts w:ascii="Times New Roman" w:hAnsi="Times New Roman" w:cs="Times New Roman"/>
                </w:rPr>
                <w:tag w:val="_PLD_ebce2f2b8a5b44c0a8efa1f8472d726f"/>
                <w:id w:val="865727209"/>
                <w:lock w:val="sdtLocked"/>
              </w:sdtPr>
              <w:sdtEndPr>
                <w:rPr>
                  <w:rFonts w:ascii="Times New Roman" w:hAnsi="Times New Roman" w:cs="Times New Roman"/>
                </w:rPr>
              </w:sdtEndPr>
              <w:sdtContent>
                <w:tc>
                  <w:tcPr>
                    <w:tcW w:w="748" w:type="pct"/>
                    <w:vAlign w:val="center"/>
                  </w:tcPr>
                  <w:p>
                    <w:pPr>
                      <w:ind w:right="73"/>
                      <w:jc w:val="center"/>
                      <w:rPr>
                        <w:rFonts w:ascii="Times New Roman" w:hAnsi="Times New Roman" w:cs="Times New Roman"/>
                        <w:szCs w:val="21"/>
                      </w:rPr>
                    </w:pPr>
                    <w:r>
                      <w:rPr>
                        <w:rFonts w:ascii="Times New Roman" w:cs="Times New Roman"/>
                        <w:szCs w:val="21"/>
                      </w:rPr>
                      <w:t>账龄</w:t>
                    </w:r>
                  </w:p>
                </w:tc>
              </w:sdtContent>
            </w:sdt>
            <w:sdt>
              <w:sdtPr>
                <w:rPr>
                  <w:rFonts w:ascii="Times New Roman" w:hAnsi="Times New Roman" w:cs="Times New Roman"/>
                </w:rPr>
                <w:tag w:val="_PLD_4ee275521dbe4dc2baaaf49d9294de38"/>
                <w:id w:val="865727210"/>
                <w:lock w:val="sdtLocked"/>
              </w:sdtPr>
              <w:sdtEndPr>
                <w:rPr>
                  <w:rFonts w:ascii="Times New Roman" w:hAnsi="Times New Roman" w:cs="Times New Roman"/>
                </w:rPr>
              </w:sdtEndPr>
              <w:sdtContent>
                <w:tc>
                  <w:tcPr>
                    <w:tcW w:w="992" w:type="pct"/>
                    <w:vAlign w:val="center"/>
                  </w:tcPr>
                  <w:p>
                    <w:pPr>
                      <w:jc w:val="center"/>
                      <w:rPr>
                        <w:rFonts w:ascii="Times New Roman" w:hAnsi="Times New Roman" w:cs="Times New Roman"/>
                        <w:szCs w:val="21"/>
                      </w:rPr>
                    </w:pPr>
                    <w:r>
                      <w:rPr>
                        <w:rFonts w:ascii="Times New Roman" w:cs="Times New Roman"/>
                        <w:szCs w:val="21"/>
                      </w:rPr>
                      <w:t>占其他应收款期末余额合计数的比例</w:t>
                    </w:r>
                    <w:r>
                      <w:rPr>
                        <w:rFonts w:ascii="Times New Roman" w:hAnsi="Times New Roman" w:cs="Times New Roman"/>
                        <w:szCs w:val="21"/>
                      </w:rPr>
                      <w:t>(%)</w:t>
                    </w:r>
                  </w:p>
                </w:tc>
              </w:sdtContent>
            </w:sdt>
            <w:sdt>
              <w:sdtPr>
                <w:rPr>
                  <w:rFonts w:ascii="Times New Roman" w:hAnsi="Times New Roman" w:cs="Times New Roman"/>
                </w:rPr>
                <w:tag w:val="_PLD_f63b55aec3964290829b6afe171881b8"/>
                <w:id w:val="865727211"/>
                <w:lock w:val="sdtLocked"/>
              </w:sdtPr>
              <w:sdtEndPr>
                <w:rPr>
                  <w:rFonts w:ascii="Times New Roman" w:hAnsi="Times New Roman" w:cs="Times New Roman"/>
                </w:rPr>
              </w:sdtEndPr>
              <w:sdtContent>
                <w:tc>
                  <w:tcPr>
                    <w:tcW w:w="943" w:type="pct"/>
                    <w:vAlign w:val="center"/>
                  </w:tcPr>
                  <w:p>
                    <w:pPr>
                      <w:jc w:val="center"/>
                      <w:rPr>
                        <w:rFonts w:ascii="Times New Roman" w:hAnsi="Times New Roman" w:cs="Times New Roman"/>
                        <w:szCs w:val="21"/>
                      </w:rPr>
                    </w:pPr>
                    <w:r>
                      <w:rPr>
                        <w:rFonts w:ascii="Times New Roman" w:cs="Times New Roman"/>
                        <w:szCs w:val="21"/>
                      </w:rPr>
                      <w:t>坏账准备</w:t>
                    </w:r>
                  </w:p>
                  <w:p>
                    <w:pPr>
                      <w:jc w:val="center"/>
                      <w:rPr>
                        <w:rFonts w:ascii="Times New Roman" w:hAnsi="Times New Roman" w:cs="Times New Roman"/>
                        <w:szCs w:val="21"/>
                      </w:rPr>
                    </w:pPr>
                    <w:r>
                      <w:rPr>
                        <w:rFonts w:ascii="Times New Roman" w:cs="Times New Roman"/>
                        <w:szCs w:val="21"/>
                      </w:rPr>
                      <w:t>期末余额</w:t>
                    </w:r>
                  </w:p>
                </w:tc>
              </w:sdtContent>
            </w:sdt>
          </w:tr>
          <w:sdt>
            <w:sdtPr>
              <w:rPr>
                <w:rFonts w:ascii="Times New Roman" w:hAnsi="Times New Roman" w:cs="Times New Roman"/>
                <w:szCs w:val="21"/>
              </w:rPr>
              <w:alias w:val="其他应收款欠款户"/>
              <w:tag w:val="_TUP_0146960361f9400f96cf10884e0c6b7e"/>
              <w:id w:val="865727212"/>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5" w:type="pct"/>
                  </w:tcPr>
                  <w:p>
                    <w:pPr>
                      <w:ind w:right="105"/>
                      <w:rPr>
                        <w:rFonts w:ascii="Times New Roman" w:hAnsi="Times New Roman" w:cs="Times New Roman"/>
                        <w:szCs w:val="21"/>
                      </w:rPr>
                    </w:pPr>
                    <w:r>
                      <w:rPr>
                        <w:rFonts w:ascii="Times New Roman" w:cs="Times New Roman"/>
                      </w:rPr>
                      <w:t>安徽两面针</w:t>
                    </w:r>
                    <w:r>
                      <w:rPr>
                        <w:rFonts w:ascii="Times New Roman" w:hAnsi="Times New Roman" w:cs="Times New Roman"/>
                      </w:rPr>
                      <w:t>·</w:t>
                    </w:r>
                    <w:r>
                      <w:rPr>
                        <w:rFonts w:ascii="Times New Roman" w:cs="Times New Roman"/>
                      </w:rPr>
                      <w:t>芳草日化有限公司</w:t>
                    </w:r>
                  </w:p>
                </w:tc>
                <w:tc>
                  <w:tcPr>
                    <w:tcW w:w="762" w:type="pct"/>
                    <w:vAlign w:val="center"/>
                  </w:tcPr>
                  <w:p>
                    <w:pPr>
                      <w:ind w:right="73"/>
                      <w:jc w:val="center"/>
                      <w:rPr>
                        <w:rFonts w:ascii="Times New Roman" w:hAnsi="Times New Roman" w:cs="Times New Roman"/>
                        <w:szCs w:val="21"/>
                      </w:rPr>
                    </w:pPr>
                    <w:r>
                      <w:rPr>
                        <w:rFonts w:ascii="Times New Roman" w:cs="Times New Roman"/>
                      </w:rPr>
                      <w:t>往来款</w:t>
                    </w:r>
                  </w:p>
                </w:tc>
                <w:tc>
                  <w:tcPr>
                    <w:tcW w:w="690" w:type="pct"/>
                    <w:vAlign w:val="center"/>
                  </w:tcPr>
                  <w:p>
                    <w:pPr>
                      <w:ind w:right="73"/>
                      <w:jc w:val="center"/>
                      <w:rPr>
                        <w:rFonts w:ascii="Times New Roman" w:hAnsi="Times New Roman" w:cs="Times New Roman"/>
                        <w:szCs w:val="21"/>
                      </w:rPr>
                    </w:pPr>
                    <w:r>
                      <w:rPr>
                        <w:rFonts w:ascii="Times New Roman" w:hAnsi="Times New Roman" w:cs="Times New Roman"/>
                      </w:rPr>
                      <w:t>83,302,326.02</w:t>
                    </w:r>
                  </w:p>
                </w:tc>
                <w:tc>
                  <w:tcPr>
                    <w:tcW w:w="748" w:type="pct"/>
                    <w:vAlign w:val="center"/>
                  </w:tcPr>
                  <w:p>
                    <w:pPr>
                      <w:ind w:right="73"/>
                      <w:jc w:val="center"/>
                      <w:rPr>
                        <w:rFonts w:ascii="Times New Roman" w:hAnsi="Times New Roman" w:cs="Times New Roman"/>
                        <w:szCs w:val="21"/>
                      </w:rPr>
                    </w:pPr>
                    <w:r>
                      <w:rPr>
                        <w:rFonts w:ascii="Times New Roman" w:cs="Times New Roman"/>
                      </w:rPr>
                      <w:t>连续发生</w:t>
                    </w:r>
                  </w:p>
                </w:tc>
                <w:tc>
                  <w:tcPr>
                    <w:tcW w:w="992" w:type="pct"/>
                    <w:vAlign w:val="center"/>
                  </w:tcPr>
                  <w:p>
                    <w:pPr>
                      <w:jc w:val="right"/>
                      <w:rPr>
                        <w:rFonts w:ascii="Times New Roman" w:hAnsi="Times New Roman" w:cs="Times New Roman"/>
                        <w:szCs w:val="21"/>
                      </w:rPr>
                    </w:pPr>
                    <w:r>
                      <w:rPr>
                        <w:rFonts w:ascii="Times New Roman" w:hAnsi="Times New Roman" w:cs="Times New Roman"/>
                      </w:rPr>
                      <w:t>53.77</w:t>
                    </w:r>
                  </w:p>
                </w:tc>
                <w:tc>
                  <w:tcPr>
                    <w:tcW w:w="943" w:type="pct"/>
                    <w:vAlign w:val="center"/>
                  </w:tcPr>
                  <w:p>
                    <w:pPr>
                      <w:jc w:val="right"/>
                      <w:rPr>
                        <w:rFonts w:ascii="Times New Roman" w:hAnsi="Times New Roman" w:cs="Times New Roman"/>
                        <w:szCs w:val="21"/>
                      </w:rPr>
                    </w:pPr>
                  </w:p>
                </w:tc>
              </w:tr>
            </w:sdtContent>
          </w:sdt>
          <w:sdt>
            <w:sdtPr>
              <w:rPr>
                <w:rFonts w:ascii="Times New Roman" w:hAnsi="Times New Roman" w:cs="Times New Roman"/>
                <w:szCs w:val="21"/>
              </w:rPr>
              <w:alias w:val="其他应收款欠款户"/>
              <w:tag w:val="_TUP_0146960361f9400f96cf10884e0c6b7e"/>
              <w:id w:val="865727213"/>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5" w:type="pct"/>
                  </w:tcPr>
                  <w:p>
                    <w:pPr>
                      <w:ind w:right="105"/>
                      <w:rPr>
                        <w:rFonts w:ascii="Times New Roman" w:hAnsi="Times New Roman" w:cs="Times New Roman"/>
                        <w:szCs w:val="21"/>
                      </w:rPr>
                    </w:pPr>
                    <w:r>
                      <w:rPr>
                        <w:rFonts w:ascii="Times New Roman" w:cs="Times New Roman"/>
                      </w:rPr>
                      <w:t>柳州惠好卫生用品有限公司</w:t>
                    </w:r>
                  </w:p>
                </w:tc>
                <w:tc>
                  <w:tcPr>
                    <w:tcW w:w="762" w:type="pct"/>
                    <w:vAlign w:val="center"/>
                  </w:tcPr>
                  <w:p>
                    <w:pPr>
                      <w:ind w:right="73"/>
                      <w:jc w:val="center"/>
                      <w:rPr>
                        <w:rFonts w:ascii="Times New Roman" w:hAnsi="Times New Roman" w:cs="Times New Roman"/>
                        <w:szCs w:val="21"/>
                      </w:rPr>
                    </w:pPr>
                    <w:r>
                      <w:rPr>
                        <w:rFonts w:ascii="Times New Roman" w:cs="Times New Roman"/>
                      </w:rPr>
                      <w:t>往来款</w:t>
                    </w:r>
                  </w:p>
                </w:tc>
                <w:tc>
                  <w:tcPr>
                    <w:tcW w:w="690" w:type="pct"/>
                    <w:vAlign w:val="center"/>
                  </w:tcPr>
                  <w:p>
                    <w:pPr>
                      <w:ind w:right="73"/>
                      <w:jc w:val="center"/>
                      <w:rPr>
                        <w:rFonts w:ascii="Times New Roman" w:hAnsi="Times New Roman" w:cs="Times New Roman"/>
                        <w:szCs w:val="21"/>
                      </w:rPr>
                    </w:pPr>
                    <w:r>
                      <w:rPr>
                        <w:rFonts w:ascii="Times New Roman" w:hAnsi="Times New Roman" w:cs="Times New Roman"/>
                      </w:rPr>
                      <w:t>57,414,224.99</w:t>
                    </w:r>
                  </w:p>
                </w:tc>
                <w:tc>
                  <w:tcPr>
                    <w:tcW w:w="748" w:type="pct"/>
                    <w:vAlign w:val="center"/>
                  </w:tcPr>
                  <w:p>
                    <w:pPr>
                      <w:ind w:right="73"/>
                      <w:jc w:val="center"/>
                      <w:rPr>
                        <w:rFonts w:ascii="Times New Roman" w:hAnsi="Times New Roman" w:cs="Times New Roman"/>
                        <w:szCs w:val="21"/>
                      </w:rPr>
                    </w:pPr>
                    <w:r>
                      <w:rPr>
                        <w:rFonts w:ascii="Times New Roman" w:cs="Times New Roman"/>
                      </w:rPr>
                      <w:t>连续发生</w:t>
                    </w:r>
                  </w:p>
                </w:tc>
                <w:tc>
                  <w:tcPr>
                    <w:tcW w:w="992" w:type="pct"/>
                    <w:vAlign w:val="center"/>
                  </w:tcPr>
                  <w:p>
                    <w:pPr>
                      <w:jc w:val="right"/>
                      <w:rPr>
                        <w:rFonts w:ascii="Times New Roman" w:hAnsi="Times New Roman" w:cs="Times New Roman"/>
                        <w:szCs w:val="21"/>
                      </w:rPr>
                    </w:pPr>
                    <w:r>
                      <w:rPr>
                        <w:rFonts w:ascii="Times New Roman" w:hAnsi="Times New Roman" w:cs="Times New Roman"/>
                      </w:rPr>
                      <w:t>37.06</w:t>
                    </w:r>
                  </w:p>
                </w:tc>
                <w:tc>
                  <w:tcPr>
                    <w:tcW w:w="943" w:type="pct"/>
                    <w:vAlign w:val="center"/>
                  </w:tcPr>
                  <w:p>
                    <w:pPr>
                      <w:jc w:val="right"/>
                      <w:rPr>
                        <w:rFonts w:ascii="Times New Roman" w:hAnsi="Times New Roman" w:cs="Times New Roman"/>
                        <w:szCs w:val="21"/>
                      </w:rPr>
                    </w:pPr>
                    <w:r>
                      <w:rPr>
                        <w:rFonts w:ascii="Times New Roman" w:hAnsi="Times New Roman" w:cs="Times New Roman"/>
                      </w:rPr>
                      <w:t>57,414,224.99</w:t>
                    </w:r>
                  </w:p>
                </w:tc>
              </w:tr>
            </w:sdtContent>
          </w:sdt>
          <w:sdt>
            <w:sdtPr>
              <w:rPr>
                <w:rFonts w:ascii="Times New Roman" w:hAnsi="Times New Roman" w:cs="Times New Roman"/>
                <w:szCs w:val="21"/>
              </w:rPr>
              <w:alias w:val="其他应收款欠款户"/>
              <w:tag w:val="_TUP_0146960361f9400f96cf10884e0c6b7e"/>
              <w:id w:val="865727214"/>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5" w:type="pct"/>
                  </w:tcPr>
                  <w:p>
                    <w:pPr>
                      <w:ind w:right="105"/>
                      <w:rPr>
                        <w:rFonts w:ascii="Times New Roman" w:hAnsi="Times New Roman" w:cs="Times New Roman"/>
                        <w:szCs w:val="21"/>
                      </w:rPr>
                    </w:pPr>
                    <w:r>
                      <w:rPr>
                        <w:rFonts w:ascii="Times New Roman" w:cs="Times New Roman"/>
                      </w:rPr>
                      <w:t>广西亿康南药药业种植有限责任公司</w:t>
                    </w:r>
                  </w:p>
                </w:tc>
                <w:tc>
                  <w:tcPr>
                    <w:tcW w:w="762" w:type="pct"/>
                    <w:vAlign w:val="center"/>
                  </w:tcPr>
                  <w:p>
                    <w:pPr>
                      <w:ind w:right="73"/>
                      <w:jc w:val="center"/>
                      <w:rPr>
                        <w:rFonts w:ascii="Times New Roman" w:hAnsi="Times New Roman" w:cs="Times New Roman"/>
                        <w:szCs w:val="21"/>
                      </w:rPr>
                    </w:pPr>
                    <w:r>
                      <w:rPr>
                        <w:rFonts w:ascii="Times New Roman" w:cs="Times New Roman"/>
                      </w:rPr>
                      <w:t>往来款</w:t>
                    </w:r>
                  </w:p>
                </w:tc>
                <w:tc>
                  <w:tcPr>
                    <w:tcW w:w="690" w:type="pct"/>
                    <w:vAlign w:val="center"/>
                  </w:tcPr>
                  <w:p>
                    <w:pPr>
                      <w:ind w:right="73"/>
                      <w:jc w:val="center"/>
                      <w:rPr>
                        <w:rFonts w:ascii="Times New Roman" w:hAnsi="Times New Roman" w:cs="Times New Roman"/>
                        <w:szCs w:val="21"/>
                      </w:rPr>
                    </w:pPr>
                    <w:r>
                      <w:rPr>
                        <w:rFonts w:ascii="Times New Roman" w:hAnsi="Times New Roman" w:cs="Times New Roman"/>
                      </w:rPr>
                      <w:t>3,504,455.85</w:t>
                    </w:r>
                  </w:p>
                </w:tc>
                <w:tc>
                  <w:tcPr>
                    <w:tcW w:w="748" w:type="pct"/>
                    <w:vAlign w:val="center"/>
                  </w:tcPr>
                  <w:p>
                    <w:pPr>
                      <w:ind w:right="73"/>
                      <w:jc w:val="center"/>
                      <w:rPr>
                        <w:rFonts w:ascii="Times New Roman" w:hAnsi="Times New Roman" w:cs="Times New Roman"/>
                        <w:szCs w:val="21"/>
                      </w:rPr>
                    </w:pPr>
                    <w:r>
                      <w:rPr>
                        <w:rFonts w:ascii="Times New Roman" w:hAnsi="Times New Roman" w:cs="Times New Roman"/>
                      </w:rPr>
                      <w:t>5</w:t>
                    </w:r>
                    <w:r>
                      <w:rPr>
                        <w:rFonts w:ascii="Times New Roman" w:cs="Times New Roman"/>
                      </w:rPr>
                      <w:t>年以上</w:t>
                    </w:r>
                  </w:p>
                </w:tc>
                <w:tc>
                  <w:tcPr>
                    <w:tcW w:w="992" w:type="pct"/>
                    <w:vAlign w:val="center"/>
                  </w:tcPr>
                  <w:p>
                    <w:pPr>
                      <w:jc w:val="right"/>
                      <w:rPr>
                        <w:rFonts w:ascii="Times New Roman" w:hAnsi="Times New Roman" w:cs="Times New Roman"/>
                        <w:szCs w:val="21"/>
                      </w:rPr>
                    </w:pPr>
                    <w:r>
                      <w:rPr>
                        <w:rFonts w:ascii="Times New Roman" w:hAnsi="Times New Roman" w:cs="Times New Roman"/>
                      </w:rPr>
                      <w:t>2.26</w:t>
                    </w:r>
                  </w:p>
                </w:tc>
                <w:tc>
                  <w:tcPr>
                    <w:tcW w:w="943" w:type="pct"/>
                    <w:vAlign w:val="center"/>
                  </w:tcPr>
                  <w:p>
                    <w:pPr>
                      <w:jc w:val="right"/>
                      <w:rPr>
                        <w:rFonts w:ascii="Times New Roman" w:hAnsi="Times New Roman" w:cs="Times New Roman"/>
                        <w:szCs w:val="21"/>
                      </w:rPr>
                    </w:pPr>
                    <w:r>
                      <w:rPr>
                        <w:rFonts w:ascii="Times New Roman" w:hAnsi="Times New Roman" w:cs="Times New Roman"/>
                      </w:rPr>
                      <w:t>3,504,455.85</w:t>
                    </w:r>
                  </w:p>
                </w:tc>
              </w:tr>
            </w:sdtContent>
          </w:sdt>
          <w:sdt>
            <w:sdtPr>
              <w:rPr>
                <w:rFonts w:ascii="Times New Roman" w:hAnsi="Times New Roman" w:cs="Times New Roman"/>
                <w:szCs w:val="21"/>
              </w:rPr>
              <w:alias w:val="其他应收款欠款户"/>
              <w:tag w:val="_TUP_0146960361f9400f96cf10884e0c6b7e"/>
              <w:id w:val="865727215"/>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5" w:type="pct"/>
                  </w:tcPr>
                  <w:p>
                    <w:pPr>
                      <w:ind w:right="105"/>
                      <w:rPr>
                        <w:rFonts w:ascii="Times New Roman" w:hAnsi="Times New Roman" w:cs="Times New Roman"/>
                        <w:szCs w:val="21"/>
                      </w:rPr>
                    </w:pPr>
                    <w:r>
                      <w:rPr>
                        <w:rFonts w:ascii="Times New Roman" w:cs="Times New Roman"/>
                      </w:rPr>
                      <w:t>广西博纳文化传播有限公司</w:t>
                    </w:r>
                  </w:p>
                </w:tc>
                <w:tc>
                  <w:tcPr>
                    <w:tcW w:w="762" w:type="pct"/>
                    <w:vAlign w:val="center"/>
                  </w:tcPr>
                  <w:p>
                    <w:pPr>
                      <w:ind w:right="73"/>
                      <w:jc w:val="center"/>
                      <w:rPr>
                        <w:rFonts w:ascii="Times New Roman" w:hAnsi="Times New Roman" w:cs="Times New Roman"/>
                        <w:szCs w:val="21"/>
                      </w:rPr>
                    </w:pPr>
                    <w:r>
                      <w:rPr>
                        <w:rFonts w:ascii="Times New Roman" w:cs="Times New Roman"/>
                      </w:rPr>
                      <w:t>往来款</w:t>
                    </w:r>
                  </w:p>
                </w:tc>
                <w:tc>
                  <w:tcPr>
                    <w:tcW w:w="690" w:type="pct"/>
                    <w:vAlign w:val="center"/>
                  </w:tcPr>
                  <w:p>
                    <w:pPr>
                      <w:ind w:right="73"/>
                      <w:jc w:val="right"/>
                      <w:rPr>
                        <w:rFonts w:ascii="Times New Roman" w:hAnsi="Times New Roman" w:cs="Times New Roman"/>
                        <w:szCs w:val="21"/>
                      </w:rPr>
                    </w:pPr>
                    <w:r>
                      <w:rPr>
                        <w:rFonts w:ascii="Times New Roman" w:hAnsi="Times New Roman" w:cs="Times New Roman"/>
                      </w:rPr>
                      <w:t>2,000,000.00</w:t>
                    </w:r>
                  </w:p>
                </w:tc>
                <w:tc>
                  <w:tcPr>
                    <w:tcW w:w="748" w:type="pct"/>
                    <w:vAlign w:val="center"/>
                  </w:tcPr>
                  <w:p>
                    <w:pPr>
                      <w:ind w:right="73"/>
                      <w:jc w:val="center"/>
                      <w:rPr>
                        <w:rFonts w:ascii="Times New Roman" w:hAnsi="Times New Roman" w:cs="Times New Roman"/>
                        <w:szCs w:val="21"/>
                      </w:rPr>
                    </w:pPr>
                    <w:r>
                      <w:rPr>
                        <w:rFonts w:ascii="Times New Roman" w:hAnsi="Times New Roman" w:cs="Times New Roman"/>
                      </w:rPr>
                      <w:t>5</w:t>
                    </w:r>
                    <w:r>
                      <w:rPr>
                        <w:rFonts w:ascii="Times New Roman" w:cs="Times New Roman"/>
                      </w:rPr>
                      <w:t>年以上</w:t>
                    </w:r>
                  </w:p>
                </w:tc>
                <w:tc>
                  <w:tcPr>
                    <w:tcW w:w="992" w:type="pct"/>
                    <w:vAlign w:val="center"/>
                  </w:tcPr>
                  <w:p>
                    <w:pPr>
                      <w:jc w:val="right"/>
                      <w:rPr>
                        <w:rFonts w:ascii="Times New Roman" w:hAnsi="Times New Roman" w:cs="Times New Roman"/>
                        <w:szCs w:val="21"/>
                      </w:rPr>
                    </w:pPr>
                    <w:r>
                      <w:rPr>
                        <w:rFonts w:ascii="Times New Roman" w:hAnsi="Times New Roman" w:cs="Times New Roman"/>
                      </w:rPr>
                      <w:t>1.29</w:t>
                    </w:r>
                  </w:p>
                </w:tc>
                <w:tc>
                  <w:tcPr>
                    <w:tcW w:w="943" w:type="pct"/>
                    <w:vAlign w:val="center"/>
                  </w:tcPr>
                  <w:p>
                    <w:pPr>
                      <w:jc w:val="right"/>
                      <w:rPr>
                        <w:rFonts w:ascii="Times New Roman" w:hAnsi="Times New Roman" w:cs="Times New Roman"/>
                        <w:szCs w:val="21"/>
                      </w:rPr>
                    </w:pPr>
                    <w:r>
                      <w:rPr>
                        <w:rFonts w:ascii="Times New Roman" w:hAnsi="Times New Roman" w:cs="Times New Roman"/>
                      </w:rPr>
                      <w:t>2,000,000.00</w:t>
                    </w:r>
                  </w:p>
                </w:tc>
              </w:tr>
            </w:sdtContent>
          </w:sdt>
          <w:sdt>
            <w:sdtPr>
              <w:rPr>
                <w:rFonts w:ascii="Times New Roman" w:hAnsi="Times New Roman" w:cs="Times New Roman"/>
                <w:szCs w:val="21"/>
              </w:rPr>
              <w:alias w:val="其他应收款欠款户"/>
              <w:tag w:val="_TUP_0146960361f9400f96cf10884e0c6b7e"/>
              <w:id w:val="865727216"/>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5" w:type="pct"/>
                  </w:tcPr>
                  <w:p>
                    <w:pPr>
                      <w:ind w:right="105"/>
                      <w:rPr>
                        <w:rFonts w:ascii="Times New Roman" w:hAnsi="Times New Roman" w:cs="Times New Roman"/>
                        <w:szCs w:val="21"/>
                      </w:rPr>
                    </w:pPr>
                    <w:r>
                      <w:rPr>
                        <w:rFonts w:ascii="Times New Roman" w:cs="Times New Roman"/>
                      </w:rPr>
                      <w:t>广西两面针亿康药业股份有限公司</w:t>
                    </w:r>
                  </w:p>
                </w:tc>
                <w:tc>
                  <w:tcPr>
                    <w:tcW w:w="762" w:type="pct"/>
                    <w:vAlign w:val="center"/>
                  </w:tcPr>
                  <w:p>
                    <w:pPr>
                      <w:ind w:right="73"/>
                      <w:jc w:val="center"/>
                      <w:rPr>
                        <w:rFonts w:ascii="Times New Roman" w:hAnsi="Times New Roman" w:cs="Times New Roman"/>
                        <w:szCs w:val="21"/>
                      </w:rPr>
                    </w:pPr>
                    <w:r>
                      <w:rPr>
                        <w:rFonts w:ascii="Times New Roman" w:cs="Times New Roman"/>
                      </w:rPr>
                      <w:t>往来款</w:t>
                    </w:r>
                  </w:p>
                </w:tc>
                <w:tc>
                  <w:tcPr>
                    <w:tcW w:w="690" w:type="pct"/>
                    <w:vAlign w:val="center"/>
                  </w:tcPr>
                  <w:p>
                    <w:pPr>
                      <w:ind w:right="73"/>
                      <w:jc w:val="right"/>
                      <w:rPr>
                        <w:rFonts w:ascii="Times New Roman" w:hAnsi="Times New Roman" w:cs="Times New Roman"/>
                        <w:szCs w:val="21"/>
                      </w:rPr>
                    </w:pPr>
                    <w:r>
                      <w:rPr>
                        <w:rFonts w:ascii="Times New Roman" w:hAnsi="Times New Roman" w:cs="Times New Roman"/>
                      </w:rPr>
                      <w:t>1,182,393.20</w:t>
                    </w:r>
                  </w:p>
                </w:tc>
                <w:tc>
                  <w:tcPr>
                    <w:tcW w:w="748" w:type="pct"/>
                    <w:vAlign w:val="center"/>
                  </w:tcPr>
                  <w:p>
                    <w:pPr>
                      <w:ind w:right="73"/>
                      <w:jc w:val="center"/>
                      <w:rPr>
                        <w:rFonts w:ascii="Times New Roman" w:hAnsi="Times New Roman" w:cs="Times New Roman"/>
                        <w:szCs w:val="21"/>
                      </w:rPr>
                    </w:pPr>
                    <w:r>
                      <w:rPr>
                        <w:rFonts w:ascii="Times New Roman" w:cs="Times New Roman"/>
                      </w:rPr>
                      <w:t>连续发生</w:t>
                    </w:r>
                  </w:p>
                </w:tc>
                <w:tc>
                  <w:tcPr>
                    <w:tcW w:w="992" w:type="pct"/>
                    <w:vAlign w:val="center"/>
                  </w:tcPr>
                  <w:p>
                    <w:pPr>
                      <w:jc w:val="right"/>
                      <w:rPr>
                        <w:rFonts w:ascii="Times New Roman" w:hAnsi="Times New Roman" w:cs="Times New Roman"/>
                        <w:szCs w:val="21"/>
                      </w:rPr>
                    </w:pPr>
                    <w:r>
                      <w:rPr>
                        <w:rFonts w:ascii="Times New Roman" w:hAnsi="Times New Roman" w:cs="Times New Roman"/>
                      </w:rPr>
                      <w:t>0.76</w:t>
                    </w:r>
                  </w:p>
                </w:tc>
                <w:tc>
                  <w:tcPr>
                    <w:tcW w:w="943" w:type="pct"/>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a7f472d740c84362a157258c79bd0672"/>
                <w:id w:val="865727217"/>
                <w:lock w:val="sdtLocked"/>
              </w:sdtPr>
              <w:sdtEndPr>
                <w:rPr>
                  <w:rFonts w:ascii="Times New Roman" w:hAnsi="Times New Roman" w:cs="Times New Roman"/>
                </w:rPr>
              </w:sdtEndPr>
              <w:sdtContent>
                <w:tc>
                  <w:tcPr>
                    <w:tcW w:w="865" w:type="pct"/>
                  </w:tcPr>
                  <w:p>
                    <w:pPr>
                      <w:ind w:right="105"/>
                      <w:jc w:val="center"/>
                      <w:rPr>
                        <w:rFonts w:ascii="Times New Roman" w:hAnsi="Times New Roman" w:cs="Times New Roman"/>
                        <w:szCs w:val="21"/>
                      </w:rPr>
                    </w:pPr>
                    <w:r>
                      <w:rPr>
                        <w:rFonts w:ascii="Times New Roman" w:cs="Times New Roman"/>
                        <w:szCs w:val="21"/>
                      </w:rPr>
                      <w:t>合计</w:t>
                    </w:r>
                  </w:p>
                </w:tc>
              </w:sdtContent>
            </w:sdt>
            <w:tc>
              <w:tcPr>
                <w:tcW w:w="762" w:type="pct"/>
                <w:vAlign w:val="center"/>
              </w:tcPr>
              <w:p>
                <w:pPr>
                  <w:ind w:right="73"/>
                  <w:jc w:val="center"/>
                  <w:rPr>
                    <w:rFonts w:ascii="Times New Roman" w:hAnsi="Times New Roman" w:cs="Times New Roman"/>
                    <w:szCs w:val="21"/>
                  </w:rPr>
                </w:pPr>
              </w:p>
            </w:tc>
            <w:tc>
              <w:tcPr>
                <w:tcW w:w="690" w:type="pct"/>
                <w:vAlign w:val="center"/>
              </w:tcPr>
              <w:p>
                <w:pPr>
                  <w:ind w:right="73"/>
                  <w:jc w:val="center"/>
                  <w:rPr>
                    <w:rFonts w:ascii="Times New Roman" w:hAnsi="Times New Roman" w:cs="Times New Roman"/>
                    <w:szCs w:val="21"/>
                  </w:rPr>
                </w:pPr>
                <w:r>
                  <w:rPr>
                    <w:rFonts w:ascii="Times New Roman" w:hAnsi="Times New Roman" w:cs="Times New Roman"/>
                  </w:rPr>
                  <w:t>147,403,400.06</w:t>
                </w:r>
              </w:p>
            </w:tc>
            <w:tc>
              <w:tcPr>
                <w:tcW w:w="748" w:type="pct"/>
                <w:vAlign w:val="center"/>
              </w:tcPr>
              <w:p>
                <w:pPr>
                  <w:ind w:right="73"/>
                  <w:jc w:val="center"/>
                  <w:rPr>
                    <w:rFonts w:ascii="Times New Roman" w:hAnsi="Times New Roman" w:cs="Times New Roman"/>
                    <w:szCs w:val="21"/>
                  </w:rPr>
                </w:pPr>
              </w:p>
            </w:tc>
            <w:tc>
              <w:tcPr>
                <w:tcW w:w="992" w:type="pct"/>
                <w:vAlign w:val="center"/>
              </w:tcPr>
              <w:p>
                <w:pPr>
                  <w:jc w:val="right"/>
                  <w:rPr>
                    <w:rFonts w:ascii="Times New Roman" w:hAnsi="Times New Roman" w:cs="Times New Roman"/>
                    <w:szCs w:val="21"/>
                  </w:rPr>
                </w:pPr>
                <w:r>
                  <w:rPr>
                    <w:rFonts w:ascii="Times New Roman" w:hAnsi="Times New Roman" w:cs="Times New Roman"/>
                  </w:rPr>
                  <w:t>95.14</w:t>
                </w:r>
              </w:p>
            </w:tc>
            <w:tc>
              <w:tcPr>
                <w:tcW w:w="943" w:type="pct"/>
                <w:vAlign w:val="center"/>
              </w:tcPr>
              <w:p>
                <w:pPr>
                  <w:jc w:val="right"/>
                  <w:rPr>
                    <w:rFonts w:ascii="Times New Roman" w:hAnsi="Times New Roman" w:cs="Times New Roman"/>
                    <w:szCs w:val="21"/>
                  </w:rPr>
                </w:pPr>
                <w:r>
                  <w:rPr>
                    <w:rFonts w:ascii="Times New Roman" w:hAnsi="Times New Roman" w:cs="Times New Roman"/>
                  </w:rPr>
                  <w:t>62,918,680.84</w:t>
                </w:r>
              </w:p>
            </w:tc>
          </w:tr>
        </w:tbl>
        <w:p/>
        <w:p/>
      </w:sdtContent>
    </w:sdt>
    <w:sdt>
      <w:sdtPr>
        <w:rPr>
          <w:rFonts w:hint="eastAsia" w:ascii="Times New Roman" w:hAnsi="Times New Roman" w:eastAsia="宋体" w:cs="宋体"/>
          <w:b w:val="0"/>
          <w:bCs w:val="0"/>
          <w:kern w:val="0"/>
          <w:szCs w:val="24"/>
        </w:rPr>
        <w:alias w:val="模块:按应收金额确认的政府补助"/>
        <w:tag w:val="_SEC_c503ea1b9c7e4198b86f2abbf23b2ab9"/>
        <w:id w:val="865727220"/>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0"/>
              <w:numId w:val="135"/>
            </w:numPr>
          </w:pPr>
          <w:r>
            <w:rPr>
              <w:rFonts w:hint="eastAsia"/>
            </w:rPr>
            <w:t>涉及政府补助的应收款项</w:t>
          </w:r>
        </w:p>
        <w:sdt>
          <w:sdtPr>
            <w:alias w:val="是否适用：母公司涉及政府补助的应收款项[双击切换]"/>
            <w:tag w:val="_GBC_5e2cfb8b8db54872b314bf1b01b59f87"/>
            <w:id w:val="86572721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p>
          <w:pPr>
            <w:snapToGrid w:val="0"/>
            <w:spacing w:line="240" w:lineRule="atLeast"/>
          </w:pPr>
        </w:p>
      </w:sdtContent>
    </w:sdt>
    <w:sdt>
      <w:sdtPr>
        <w:rPr>
          <w:rFonts w:ascii="Times New Roman" w:hAnsi="Times New Roman" w:eastAsia="宋体" w:cs="宋体"/>
          <w:b w:val="0"/>
          <w:bCs w:val="0"/>
          <w:kern w:val="0"/>
          <w:szCs w:val="24"/>
        </w:rPr>
        <w:alias w:val="模块:因金融资产转移而终止确认的其他应收款"/>
        <w:tag w:val="_SEC_7f211e4933374e0fb33af86ebc3ae729"/>
        <w:id w:val="865727222"/>
        <w:lock w:val="sdtLocked"/>
        <w:placeholder>
          <w:docPart w:val="GBC22222222222222222222222222222"/>
        </w:placeholder>
      </w:sdtPr>
      <w:sdtEndPr>
        <w:rPr>
          <w:rFonts w:ascii="Times New Roman" w:hAnsi="Times New Roman" w:eastAsia="宋体" w:cs="宋体"/>
          <w:b w:val="0"/>
          <w:bCs w:val="0"/>
          <w:kern w:val="0"/>
          <w:szCs w:val="24"/>
        </w:rPr>
      </w:sdtEndPr>
      <w:sdtContent>
        <w:p>
          <w:pPr>
            <w:pStyle w:val="5"/>
            <w:numPr>
              <w:ilvl w:val="0"/>
              <w:numId w:val="135"/>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865727221"/>
            <w:lock w:val="sdtLocked"/>
            <w:placeholder>
              <w:docPart w:val="GBC22222222222222222222222222222"/>
            </w:placeholder>
          </w:sdtPr>
          <w:sdtEndPr>
            <w:rPr>
              <w:rFonts w:hint="eastAsia"/>
              <w:szCs w:val="21"/>
            </w:rPr>
          </w:sdtEndPr>
          <w:sdtContent>
            <w:p>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right="57"/>
            <w:rPr>
              <w:szCs w:val="21"/>
            </w:rPr>
          </w:pPr>
        </w:p>
      </w:sdtContent>
    </w:sdt>
    <w:sdt>
      <w:sdtPr>
        <w:rPr>
          <w:rFonts w:hint="eastAsia" w:ascii="Times New Roman" w:hAnsi="Times New Roman" w:eastAsia="宋体" w:cs="宋体"/>
          <w:b w:val="0"/>
          <w:bCs w:val="0"/>
          <w:kern w:val="0"/>
          <w:szCs w:val="24"/>
        </w:rPr>
        <w:alias w:val="模块:转移其他应收款且继续涉入的，分项列示继续涉入形成的资产、负债..."/>
        <w:tag w:val="_SEC_f556994e476e4a6caca86b06f3c7242b"/>
        <w:id w:val="865727224"/>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5"/>
            <w:numPr>
              <w:ilvl w:val="0"/>
              <w:numId w:val="135"/>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86572722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Times New Roman" w:hAnsi="Times New Roman"/>
          <w:b/>
          <w:bCs/>
        </w:rPr>
        <w:alias w:val="模块:其他应收款其他说明"/>
        <w:tag w:val="_SEC_57c4dfafa9d0491a91f70b4527c847b3"/>
        <w:id w:val="865727226"/>
        <w:lock w:val="sdtLocked"/>
        <w:placeholder>
          <w:docPart w:val="GBC22222222222222222222222222222"/>
        </w:placeholder>
      </w:sdtPr>
      <w:sdtEndPr>
        <w:rPr>
          <w:rFonts w:hint="eastAsia" w:ascii="Times New Roman" w:hAnsi="Times New Roman"/>
          <w:b w:val="0"/>
          <w:bCs w:val="0"/>
        </w:rPr>
      </w:sdtEndPr>
      <w:sdtContent>
        <w:p>
          <w:r>
            <w:rPr>
              <w:rFonts w:hint="eastAsia"/>
            </w:rPr>
            <w:t>其他</w:t>
          </w:r>
          <w:r>
            <w:t>说明：</w:t>
          </w:r>
        </w:p>
        <w:sdt>
          <w:sdtPr>
            <w:rPr>
              <w:rFonts w:hint="eastAsia"/>
              <w:szCs w:val="21"/>
            </w:rPr>
            <w:alias w:val="是否适用：母公司其他应收款的其他说明[双击切换]"/>
            <w:tag w:val="_GBC_479bc9ed241548c695a3905f38eb23fd"/>
            <w:id w:val="86572722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pStyle w:val="4"/>
        <w:numPr>
          <w:ilvl w:val="0"/>
          <w:numId w:val="132"/>
        </w:numPr>
        <w:rPr>
          <w:rFonts w:ascii="宋体" w:hAnsi="宋体"/>
          <w:szCs w:val="21"/>
        </w:rPr>
      </w:pPr>
      <w:r>
        <w:rPr>
          <w:rFonts w:hint="eastAsia" w:ascii="宋体" w:hAnsi="宋体"/>
          <w:szCs w:val="21"/>
        </w:rPr>
        <w:t>长期股权投资</w:t>
      </w:r>
    </w:p>
    <w:sdt>
      <w:sdtPr>
        <w:alias w:val="是否适用：母公司长期股权投资[双击切换]"/>
        <w:tag w:val="_GBC_57a2f87498c64eab83308bdf3afc6268"/>
        <w:id w:val="865727227"/>
        <w:lock w:val="sdtConten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865727242"/>
        <w:lock w:val="sdtLocked"/>
        <w:placeholder>
          <w:docPart w:val="GBC22222222222222222222222222222"/>
        </w:placeholder>
      </w:sdtPr>
      <w:sdtEndPr>
        <w:rPr>
          <w:rFonts w:hint="eastAsia"/>
          <w:b w:val="0"/>
          <w:bCs w:val="0"/>
          <w:szCs w:val="21"/>
        </w:rPr>
      </w:sdtEndPr>
      <w:sdtContent>
        <w:p>
          <w:pPr>
            <w:jc w:val="right"/>
            <w:rPr>
              <w:szCs w:val="21"/>
            </w:rPr>
          </w:pPr>
          <w:r>
            <w:rPr>
              <w:rFonts w:hint="eastAsia"/>
              <w:szCs w:val="21"/>
            </w:rPr>
            <w:t>单位：</w:t>
          </w:r>
          <w:sdt>
            <w:sdtPr>
              <w:rPr>
                <w:rFonts w:hint="eastAsia"/>
                <w:szCs w:val="21"/>
              </w:rPr>
              <w:alias w:val="单位：母公司财务附注：长期股权投资"/>
              <w:tag w:val="_GBC_9d11e81055cb4017a0055a75ae95ae64"/>
              <w:id w:val="8657272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865727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401"/>
            <w:gridCol w:w="1258"/>
            <w:gridCol w:w="1395"/>
            <w:gridCol w:w="1347"/>
            <w:gridCol w:w="1258"/>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0747ffd7336145fcb6d5e622fab54966"/>
                <w:id w:val="865727230"/>
                <w:lock w:val="sdtLocked"/>
              </w:sdtPr>
              <w:sdtEndPr>
                <w:rPr>
                  <w:rFonts w:ascii="Times New Roman" w:hAnsi="Times New Roman" w:cs="Times New Roman"/>
                </w:rPr>
              </w:sdtEndPr>
              <w:sdtContent>
                <w:tc>
                  <w:tcPr>
                    <w:tcW w:w="524" w:type="pct"/>
                    <w:vMerge w:val="restart"/>
                    <w:shd w:val="clear" w:color="auto" w:fill="auto"/>
                    <w:vAlign w:val="center"/>
                  </w:tcPr>
                  <w:p>
                    <w:pPr>
                      <w:jc w:val="center"/>
                      <w:rPr>
                        <w:rFonts w:ascii="Times New Roman" w:hAnsi="Times New Roman" w:cs="Times New Roman"/>
                      </w:rPr>
                    </w:pPr>
                    <w:r>
                      <w:rPr>
                        <w:rFonts w:ascii="Times New Roman" w:cs="Times New Roman"/>
                      </w:rPr>
                      <w:t>项目</w:t>
                    </w:r>
                  </w:p>
                </w:tc>
              </w:sdtContent>
            </w:sdt>
            <w:sdt>
              <w:sdtPr>
                <w:rPr>
                  <w:rFonts w:ascii="Times New Roman" w:hAnsi="Times New Roman" w:cs="Times New Roman"/>
                </w:rPr>
                <w:tag w:val="_PLD_0b9f6f6d89c44029bf1de3ed5f6a4aa0"/>
                <w:id w:val="865727231"/>
                <w:lock w:val="sdtLocked"/>
              </w:sdtPr>
              <w:sdtEndPr>
                <w:rPr>
                  <w:rFonts w:ascii="Times New Roman" w:hAnsi="Times New Roman" w:cs="Times New Roman"/>
                </w:rPr>
              </w:sdtEndPr>
              <w:sdtContent>
                <w:tc>
                  <w:tcPr>
                    <w:tcW w:w="2252" w:type="pct"/>
                    <w:gridSpan w:val="3"/>
                    <w:shd w:val="clear" w:color="auto" w:fill="auto"/>
                    <w:vAlign w:val="center"/>
                  </w:tcPr>
                  <w:p>
                    <w:pPr>
                      <w:jc w:val="center"/>
                      <w:rPr>
                        <w:rFonts w:ascii="Times New Roman" w:hAnsi="Times New Roman" w:cs="Times New Roman"/>
                      </w:rPr>
                    </w:pPr>
                    <w:r>
                      <w:rPr>
                        <w:rFonts w:ascii="Times New Roman" w:cs="Times New Roman"/>
                      </w:rPr>
                      <w:t>期末余额</w:t>
                    </w:r>
                  </w:p>
                </w:tc>
              </w:sdtContent>
            </w:sdt>
            <w:sdt>
              <w:sdtPr>
                <w:rPr>
                  <w:rFonts w:ascii="Times New Roman" w:hAnsi="Times New Roman" w:cs="Times New Roman"/>
                </w:rPr>
                <w:tag w:val="_PLD_d1ebeae29ff34029a10a8e0c447a171b"/>
                <w:id w:val="865727232"/>
                <w:lock w:val="sdtLocked"/>
              </w:sdtPr>
              <w:sdtEndPr>
                <w:rPr>
                  <w:rFonts w:ascii="Times New Roman" w:hAnsi="Times New Roman" w:cs="Times New Roman"/>
                </w:rPr>
              </w:sdtEndPr>
              <w:sdtContent>
                <w:tc>
                  <w:tcPr>
                    <w:tcW w:w="2224" w:type="pct"/>
                    <w:gridSpan w:val="3"/>
                    <w:shd w:val="clear" w:color="auto" w:fill="auto"/>
                    <w:vAlign w:val="center"/>
                  </w:tcPr>
                  <w:p>
                    <w:pPr>
                      <w:jc w:val="center"/>
                      <w:rPr>
                        <w:rFonts w:ascii="Times New Roman" w:hAnsi="Times New Roman" w:cs="Times New Roman"/>
                      </w:rPr>
                    </w:pPr>
                    <w:r>
                      <w:rPr>
                        <w:rFonts w:ascii="Times New Roman" w:cs="Times New Roman"/>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4" w:type="pct"/>
                <w:vMerge w:val="continue"/>
                <w:shd w:val="clear" w:color="auto" w:fill="auto"/>
                <w:vAlign w:val="center"/>
              </w:tcPr>
              <w:p>
                <w:pPr>
                  <w:jc w:val="center"/>
                  <w:rPr>
                    <w:rFonts w:ascii="Times New Roman" w:hAnsi="Times New Roman" w:cs="Times New Roman"/>
                  </w:rPr>
                </w:pPr>
              </w:p>
            </w:tc>
            <w:sdt>
              <w:sdtPr>
                <w:rPr>
                  <w:rFonts w:ascii="Times New Roman" w:hAnsi="Times New Roman" w:cs="Times New Roman"/>
                </w:rPr>
                <w:tag w:val="_PLD_dd00c7deeb1e4ede9c3e40d64760a230"/>
                <w:id w:val="865727233"/>
                <w:lock w:val="sdtLocked"/>
              </w:sdtPr>
              <w:sdtEndPr>
                <w:rPr>
                  <w:rFonts w:ascii="Times New Roman" w:hAnsi="Times New Roman" w:cs="Times New Roman"/>
                </w:rPr>
              </w:sdtEndPr>
              <w:sdtContent>
                <w:tc>
                  <w:tcPr>
                    <w:tcW w:w="778" w:type="pct"/>
                    <w:shd w:val="clear" w:color="auto" w:fill="auto"/>
                    <w:vAlign w:val="center"/>
                  </w:tcPr>
                  <w:p>
                    <w:pPr>
                      <w:jc w:val="center"/>
                      <w:rPr>
                        <w:rFonts w:ascii="Times New Roman" w:hAnsi="Times New Roman" w:cs="Times New Roman"/>
                      </w:rPr>
                    </w:pPr>
                    <w:r>
                      <w:rPr>
                        <w:rFonts w:ascii="Times New Roman" w:cs="Times New Roman"/>
                      </w:rPr>
                      <w:t>账面余额</w:t>
                    </w:r>
                  </w:p>
                </w:tc>
              </w:sdtContent>
            </w:sdt>
            <w:sdt>
              <w:sdtPr>
                <w:rPr>
                  <w:rFonts w:ascii="Times New Roman" w:hAnsi="Times New Roman" w:cs="Times New Roman"/>
                </w:rPr>
                <w:tag w:val="_PLD_dc4e6ed6511949b7a546924cafae2546"/>
                <w:id w:val="865727234"/>
                <w:lock w:val="sdtLocked"/>
              </w:sdtPr>
              <w:sdtEndPr>
                <w:rPr>
                  <w:rFonts w:ascii="Times New Roman" w:hAnsi="Times New Roman" w:cs="Times New Roman"/>
                </w:rPr>
              </w:sdtEndPr>
              <w:sdtContent>
                <w:tc>
                  <w:tcPr>
                    <w:tcW w:w="699" w:type="pct"/>
                    <w:shd w:val="clear" w:color="auto" w:fill="auto"/>
                    <w:vAlign w:val="center"/>
                  </w:tcPr>
                  <w:p>
                    <w:pPr>
                      <w:jc w:val="center"/>
                      <w:rPr>
                        <w:rFonts w:ascii="Times New Roman" w:hAnsi="Times New Roman" w:cs="Times New Roman"/>
                      </w:rPr>
                    </w:pPr>
                    <w:r>
                      <w:rPr>
                        <w:rFonts w:ascii="Times New Roman" w:cs="Times New Roman"/>
                      </w:rPr>
                      <w:t>减值准备</w:t>
                    </w:r>
                  </w:p>
                </w:tc>
              </w:sdtContent>
            </w:sdt>
            <w:sdt>
              <w:sdtPr>
                <w:rPr>
                  <w:rFonts w:ascii="Times New Roman" w:hAnsi="Times New Roman" w:cs="Times New Roman"/>
                </w:rPr>
                <w:tag w:val="_PLD_1d7bbdc4e6144c95a3fcb7369904bea6"/>
                <w:id w:val="865727235"/>
                <w:lock w:val="sdtLocked"/>
              </w:sdtPr>
              <w:sdtEndPr>
                <w:rPr>
                  <w:rFonts w:ascii="Times New Roman" w:hAnsi="Times New Roman" w:cs="Times New Roman"/>
                </w:rPr>
              </w:sdtEndPr>
              <w:sdtContent>
                <w:tc>
                  <w:tcPr>
                    <w:tcW w:w="775" w:type="pct"/>
                    <w:shd w:val="clear" w:color="auto" w:fill="auto"/>
                    <w:vAlign w:val="center"/>
                  </w:tcPr>
                  <w:p>
                    <w:pPr>
                      <w:jc w:val="center"/>
                      <w:rPr>
                        <w:rFonts w:ascii="Times New Roman" w:hAnsi="Times New Roman" w:cs="Times New Roman"/>
                      </w:rPr>
                    </w:pPr>
                    <w:r>
                      <w:rPr>
                        <w:rFonts w:ascii="Times New Roman" w:cs="Times New Roman"/>
                      </w:rPr>
                      <w:t>账面价值</w:t>
                    </w:r>
                  </w:p>
                </w:tc>
              </w:sdtContent>
            </w:sdt>
            <w:sdt>
              <w:sdtPr>
                <w:rPr>
                  <w:rFonts w:ascii="Times New Roman" w:hAnsi="Times New Roman" w:cs="Times New Roman"/>
                </w:rPr>
                <w:tag w:val="_PLD_bd8a9c944702423e9ff20ddba1c4b3aa"/>
                <w:id w:val="865727236"/>
                <w:lock w:val="sdtLocked"/>
              </w:sdtPr>
              <w:sdtEndPr>
                <w:rPr>
                  <w:rFonts w:ascii="Times New Roman" w:hAnsi="Times New Roman" w:cs="Times New Roman"/>
                </w:rPr>
              </w:sdtEndPr>
              <w:sdtContent>
                <w:tc>
                  <w:tcPr>
                    <w:tcW w:w="748" w:type="pct"/>
                    <w:shd w:val="clear" w:color="auto" w:fill="auto"/>
                    <w:vAlign w:val="center"/>
                  </w:tcPr>
                  <w:p>
                    <w:pPr>
                      <w:jc w:val="center"/>
                      <w:rPr>
                        <w:rFonts w:ascii="Times New Roman" w:hAnsi="Times New Roman" w:cs="Times New Roman"/>
                      </w:rPr>
                    </w:pPr>
                    <w:r>
                      <w:rPr>
                        <w:rFonts w:ascii="Times New Roman" w:cs="Times New Roman"/>
                      </w:rPr>
                      <w:t>账面余额</w:t>
                    </w:r>
                  </w:p>
                </w:tc>
              </w:sdtContent>
            </w:sdt>
            <w:sdt>
              <w:sdtPr>
                <w:rPr>
                  <w:rFonts w:ascii="Times New Roman" w:hAnsi="Times New Roman" w:cs="Times New Roman"/>
                </w:rPr>
                <w:tag w:val="_PLD_708c7153bc9a48c792e109da0ba5f2f8"/>
                <w:id w:val="865727237"/>
                <w:lock w:val="sdtLocked"/>
              </w:sdtPr>
              <w:sdtEndPr>
                <w:rPr>
                  <w:rFonts w:ascii="Times New Roman" w:hAnsi="Times New Roman" w:cs="Times New Roman"/>
                </w:rPr>
              </w:sdtEndPr>
              <w:sdtContent>
                <w:tc>
                  <w:tcPr>
                    <w:tcW w:w="699" w:type="pct"/>
                    <w:shd w:val="clear" w:color="auto" w:fill="auto"/>
                    <w:vAlign w:val="center"/>
                  </w:tcPr>
                  <w:p>
                    <w:pPr>
                      <w:jc w:val="center"/>
                      <w:rPr>
                        <w:rFonts w:ascii="Times New Roman" w:hAnsi="Times New Roman" w:cs="Times New Roman"/>
                      </w:rPr>
                    </w:pPr>
                    <w:r>
                      <w:rPr>
                        <w:rFonts w:ascii="Times New Roman" w:cs="Times New Roman"/>
                      </w:rPr>
                      <w:t>减值准备</w:t>
                    </w:r>
                  </w:p>
                </w:tc>
              </w:sdtContent>
            </w:sdt>
            <w:sdt>
              <w:sdtPr>
                <w:rPr>
                  <w:rFonts w:ascii="Times New Roman" w:hAnsi="Times New Roman" w:cs="Times New Roman"/>
                </w:rPr>
                <w:tag w:val="_PLD_1516e7000a9747a28074e3f321fa96a7"/>
                <w:id w:val="865727238"/>
                <w:lock w:val="sdtLocked"/>
              </w:sdtPr>
              <w:sdtEndPr>
                <w:rPr>
                  <w:rFonts w:ascii="Times New Roman" w:hAnsi="Times New Roman" w:cs="Times New Roman"/>
                </w:rPr>
              </w:sdtEndPr>
              <w:sdtContent>
                <w:tc>
                  <w:tcPr>
                    <w:tcW w:w="777" w:type="pct"/>
                    <w:shd w:val="clear" w:color="auto" w:fill="auto"/>
                    <w:vAlign w:val="center"/>
                  </w:tcPr>
                  <w:p>
                    <w:pPr>
                      <w:jc w:val="center"/>
                      <w:rPr>
                        <w:rFonts w:ascii="Times New Roman" w:hAnsi="Times New Roman" w:cs="Times New Roman"/>
                      </w:rPr>
                    </w:pPr>
                    <w:r>
                      <w:rPr>
                        <w:rFonts w:ascii="Times New Roman" w:cs="Times New Roman"/>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4ebe1ee9ac3f4ad385baa94779730fbb"/>
                <w:id w:val="865727239"/>
                <w:lock w:val="sdtLocked"/>
              </w:sdtPr>
              <w:sdtEndPr>
                <w:rPr>
                  <w:rFonts w:ascii="Times New Roman" w:hAnsi="Times New Roman" w:cs="Times New Roman"/>
                </w:rPr>
              </w:sdtEndPr>
              <w:sdtContent>
                <w:tc>
                  <w:tcPr>
                    <w:tcW w:w="524" w:type="pct"/>
                    <w:shd w:val="clear" w:color="auto" w:fill="auto"/>
                  </w:tcPr>
                  <w:p>
                    <w:pPr>
                      <w:rPr>
                        <w:rFonts w:ascii="Times New Roman" w:hAnsi="Times New Roman" w:cs="Times New Roman"/>
                      </w:rPr>
                    </w:pPr>
                    <w:r>
                      <w:rPr>
                        <w:rFonts w:ascii="Times New Roman" w:cs="Times New Roman"/>
                      </w:rPr>
                      <w:t>对子公司投资</w:t>
                    </w:r>
                  </w:p>
                </w:tc>
              </w:sdtContent>
            </w:sdt>
            <w:tc>
              <w:tcPr>
                <w:tcW w:w="778"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201,049,523.79</w:t>
                </w:r>
              </w:p>
            </w:tc>
            <w:tc>
              <w:tcPr>
                <w:tcW w:w="699"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40,155,106.20</w:t>
                </w:r>
              </w:p>
            </w:tc>
            <w:tc>
              <w:tcPr>
                <w:tcW w:w="775"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160,894,417.59</w:t>
                </w:r>
              </w:p>
            </w:tc>
            <w:tc>
              <w:tcPr>
                <w:tcW w:w="748"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201,049,523.79</w:t>
                </w:r>
              </w:p>
            </w:tc>
            <w:tc>
              <w:tcPr>
                <w:tcW w:w="699"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40,155,106.20</w:t>
                </w:r>
              </w:p>
            </w:tc>
            <w:tc>
              <w:tcPr>
                <w:tcW w:w="777"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160,894,417.59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9263aaad34014fc5b2f7cd8ae963698b"/>
                <w:id w:val="865727240"/>
                <w:lock w:val="sdtLocked"/>
              </w:sdtPr>
              <w:sdtEndPr>
                <w:rPr>
                  <w:rFonts w:ascii="Times New Roman" w:hAnsi="Times New Roman" w:cs="Times New Roman"/>
                </w:rPr>
              </w:sdtEndPr>
              <w:sdtContent>
                <w:tc>
                  <w:tcPr>
                    <w:tcW w:w="524" w:type="pct"/>
                    <w:shd w:val="clear" w:color="auto" w:fill="auto"/>
                  </w:tcPr>
                  <w:p>
                    <w:pPr>
                      <w:rPr>
                        <w:rFonts w:ascii="Times New Roman" w:hAnsi="Times New Roman" w:cs="Times New Roman"/>
                      </w:rPr>
                    </w:pPr>
                    <w:r>
                      <w:rPr>
                        <w:rFonts w:ascii="Times New Roman" w:cs="Times New Roman"/>
                      </w:rPr>
                      <w:t>对联营、合营企业投资</w:t>
                    </w:r>
                  </w:p>
                </w:tc>
              </w:sdtContent>
            </w:sdt>
            <w:tc>
              <w:tcPr>
                <w:tcW w:w="778"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7,770,671.63</w:t>
                </w:r>
              </w:p>
            </w:tc>
            <w:tc>
              <w:tcPr>
                <w:tcW w:w="699"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7,770,671.63</w:t>
                </w:r>
              </w:p>
            </w:tc>
            <w:tc>
              <w:tcPr>
                <w:tcW w:w="775" w:type="pct"/>
                <w:shd w:val="clear" w:color="auto" w:fill="auto"/>
                <w:vAlign w:val="center"/>
              </w:tcPr>
              <w:p>
                <w:pPr>
                  <w:rPr>
                    <w:rFonts w:ascii="Times New Roman" w:hAnsi="Times New Roman" w:cs="Times New Roman"/>
                    <w:sz w:val="18"/>
                    <w:szCs w:val="18"/>
                  </w:rPr>
                </w:pPr>
              </w:p>
            </w:tc>
            <w:tc>
              <w:tcPr>
                <w:tcW w:w="748"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7,770,671.63</w:t>
                </w:r>
              </w:p>
            </w:tc>
            <w:tc>
              <w:tcPr>
                <w:tcW w:w="699"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7,770,671.63</w:t>
                </w:r>
              </w:p>
            </w:tc>
            <w:tc>
              <w:tcPr>
                <w:tcW w:w="777" w:type="pct"/>
                <w:shd w:val="clear" w:color="auto" w:fill="auto"/>
                <w:vAlign w:val="center"/>
              </w:tcPr>
              <w:p>
                <w:pP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imes New Roman" w:hAnsi="Times New Roman" w:cs="Times New Roman"/>
                </w:rPr>
                <w:tag w:val="_PLD_5ced5d3fd2d845df89e0e68805ac19fe"/>
                <w:id w:val="865727241"/>
                <w:lock w:val="sdtLocked"/>
              </w:sdtPr>
              <w:sdtEndPr>
                <w:rPr>
                  <w:rFonts w:ascii="Times New Roman" w:hAnsi="Times New Roman" w:cs="Times New Roman"/>
                </w:rPr>
              </w:sdtEndPr>
              <w:sdtContent>
                <w:tc>
                  <w:tcPr>
                    <w:tcW w:w="524" w:type="pct"/>
                    <w:shd w:val="clear" w:color="auto" w:fill="auto"/>
                    <w:vAlign w:val="center"/>
                  </w:tcPr>
                  <w:p>
                    <w:pPr>
                      <w:jc w:val="center"/>
                      <w:rPr>
                        <w:rFonts w:ascii="Times New Roman" w:hAnsi="Times New Roman" w:cs="Times New Roman"/>
                      </w:rPr>
                    </w:pPr>
                    <w:r>
                      <w:rPr>
                        <w:rFonts w:ascii="Times New Roman" w:cs="Times New Roman"/>
                      </w:rPr>
                      <w:t>合计</w:t>
                    </w:r>
                  </w:p>
                </w:tc>
              </w:sdtContent>
            </w:sdt>
            <w:tc>
              <w:tcPr>
                <w:tcW w:w="778"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208,820,195.42</w:t>
                </w:r>
              </w:p>
            </w:tc>
            <w:tc>
              <w:tcPr>
                <w:tcW w:w="699"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47,925,777.83</w:t>
                </w:r>
              </w:p>
            </w:tc>
            <w:tc>
              <w:tcPr>
                <w:tcW w:w="775"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160,894,417.59</w:t>
                </w:r>
              </w:p>
            </w:tc>
            <w:tc>
              <w:tcPr>
                <w:tcW w:w="748"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208,820,195.42</w:t>
                </w:r>
              </w:p>
            </w:tc>
            <w:tc>
              <w:tcPr>
                <w:tcW w:w="699"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47,925,777.83</w:t>
                </w:r>
              </w:p>
            </w:tc>
            <w:tc>
              <w:tcPr>
                <w:tcW w:w="777" w:type="pct"/>
                <w:shd w:val="clear" w:color="auto" w:fill="auto"/>
                <w:vAlign w:val="center"/>
              </w:tcPr>
              <w:p>
                <w:pPr>
                  <w:rPr>
                    <w:rFonts w:ascii="Times New Roman" w:hAnsi="Times New Roman" w:cs="Times New Roman"/>
                    <w:sz w:val="18"/>
                    <w:szCs w:val="18"/>
                  </w:rPr>
                </w:pPr>
                <w:r>
                  <w:rPr>
                    <w:rFonts w:ascii="Times New Roman" w:hAnsi="Times New Roman" w:cs="Times New Roman"/>
                    <w:sz w:val="18"/>
                    <w:szCs w:val="18"/>
                  </w:rPr>
                  <w:t>160,894,417.59</w:t>
                </w:r>
              </w:p>
            </w:tc>
          </w:tr>
        </w:tbl>
        <w:p>
          <w:pPr>
            <w:rPr>
              <w:szCs w:val="21"/>
            </w:rPr>
          </w:pPr>
        </w:p>
      </w:sdtContent>
    </w:sdt>
    <w:sdt>
      <w:sdtPr>
        <w:rPr>
          <w:rFonts w:hint="eastAsia" w:ascii="宋体" w:hAnsi="宋体" w:eastAsia="宋体" w:cs="宋体"/>
          <w:b w:val="0"/>
          <w:bCs w:val="0"/>
          <w:kern w:val="0"/>
          <w:szCs w:val="24"/>
        </w:rPr>
        <w:alias w:val="模块:对子公司投资"/>
        <w:tag w:val="_SEC_f8a5b8b7954e47eb81f4b0c9ee167266"/>
        <w:id w:val="865727259"/>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136"/>
            </w:numPr>
          </w:pPr>
          <w:r>
            <w:rPr>
              <w:rFonts w:hint="eastAsia"/>
            </w:rPr>
            <w:t>对子公司投资</w:t>
          </w:r>
        </w:p>
        <w:sdt>
          <w:sdtPr>
            <w:alias w:val="是否适用：母公司对子公司投资[双击切换]"/>
            <w:tag w:val="_GBC_db6ca6099b0a42bca0cbba7ead69557f"/>
            <w:id w:val="86572724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对子公司投资"/>
              <w:tag w:val="_GBC_744810ff600d4176af7d45c0bf0b7978"/>
              <w:id w:val="8657272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8657272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562"/>
            <w:gridCol w:w="709"/>
            <w:gridCol w:w="709"/>
            <w:gridCol w:w="1558"/>
            <w:gridCol w:w="113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43f5c326f4e64acb83b7062be90601f4"/>
                <w:id w:val="865727246"/>
                <w:lock w:val="sdtLocked"/>
              </w:sdtPr>
              <w:sdtEndPr>
                <w:rPr>
                  <w:rFonts w:ascii="Times New Roman" w:hAnsi="Times New Roman" w:cs="Times New Roman"/>
                </w:rPr>
              </w:sdtEndPr>
              <w:sdtContent>
                <w:tc>
                  <w:tcPr>
                    <w:tcW w:w="10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rPr>
                    </w:pPr>
                    <w:r>
                      <w:rPr>
                        <w:rFonts w:ascii="Times New Roman" w:cs="Times New Roman"/>
                      </w:rPr>
                      <w:t>被投资单位</w:t>
                    </w:r>
                  </w:p>
                </w:tc>
              </w:sdtContent>
            </w:sdt>
            <w:sdt>
              <w:sdtPr>
                <w:rPr>
                  <w:rFonts w:ascii="Times New Roman" w:hAnsi="Times New Roman" w:cs="Times New Roman"/>
                </w:rPr>
                <w:tag w:val="_PLD_bfc01ff1dea540d68a163c0b4f2658e7"/>
                <w:id w:val="865727247"/>
                <w:lock w:val="sdtLocked"/>
              </w:sdtPr>
              <w:sdtEndPr>
                <w:rPr>
                  <w:rFonts w:ascii="Times New Roman" w:hAnsi="Times New Roman" w:cs="Times New Roman"/>
                </w:rPr>
              </w:sdtEndPr>
              <w:sdtContent>
                <w:tc>
                  <w:tcPr>
                    <w:tcW w:w="8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rPr>
                    </w:pPr>
                    <w:r>
                      <w:rPr>
                        <w:rFonts w:ascii="Times New Roman" w:cs="Times New Roman"/>
                      </w:rPr>
                      <w:t>期初余额</w:t>
                    </w:r>
                  </w:p>
                </w:tc>
              </w:sdtContent>
            </w:sdt>
            <w:sdt>
              <w:sdtPr>
                <w:rPr>
                  <w:rFonts w:ascii="Times New Roman" w:hAnsi="Times New Roman" w:cs="Times New Roman"/>
                </w:rPr>
                <w:tag w:val="_PLD_2868730cdc514c8c888f9e5fbbf1861b"/>
                <w:id w:val="865727248"/>
                <w:lock w:val="sdtLocked"/>
              </w:sdtPr>
              <w:sdtEndPr>
                <w:rPr>
                  <w:rFonts w:ascii="Times New Roman" w:hAnsi="Times New Roman" w:cs="Times New Roman"/>
                </w:rPr>
              </w:sdtEndPr>
              <w:sdtContent>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rPr>
                    </w:pPr>
                    <w:r>
                      <w:rPr>
                        <w:rFonts w:ascii="Times New Roman" w:cs="Times New Roman"/>
                      </w:rPr>
                      <w:t>本期增加</w:t>
                    </w:r>
                  </w:p>
                </w:tc>
              </w:sdtContent>
            </w:sdt>
            <w:sdt>
              <w:sdtPr>
                <w:rPr>
                  <w:rFonts w:ascii="Times New Roman" w:hAnsi="Times New Roman" w:cs="Times New Roman"/>
                </w:rPr>
                <w:tag w:val="_PLD_53aab3e541434694890e1daaef86892e"/>
                <w:id w:val="865727249"/>
                <w:lock w:val="sdtLocked"/>
              </w:sdtPr>
              <w:sdtEndPr>
                <w:rPr>
                  <w:rFonts w:ascii="Times New Roman" w:hAnsi="Times New Roman" w:cs="Times New Roman"/>
                </w:rPr>
              </w:sdtEndPr>
              <w:sdtContent>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rPr>
                    </w:pPr>
                    <w:r>
                      <w:rPr>
                        <w:rFonts w:ascii="Times New Roman" w:cs="Times New Roman"/>
                      </w:rPr>
                      <w:t>本期减少</w:t>
                    </w:r>
                  </w:p>
                </w:tc>
              </w:sdtContent>
            </w:sdt>
            <w:sdt>
              <w:sdtPr>
                <w:rPr>
                  <w:rFonts w:ascii="Times New Roman" w:hAnsi="Times New Roman" w:cs="Times New Roman"/>
                </w:rPr>
                <w:tag w:val="_PLD_eeaa6cf867964b44953ca6fa9f1417b3"/>
                <w:id w:val="865727250"/>
                <w:lock w:val="sdtLocked"/>
              </w:sdtPr>
              <w:sdtEndPr>
                <w:rPr>
                  <w:rFonts w:ascii="Times New Roman" w:hAnsi="Times New Roman" w:cs="Times New Roman"/>
                </w:rPr>
              </w:sdtEndPr>
              <w:sdtContent>
                <w:tc>
                  <w:tcPr>
                    <w:tcW w:w="8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rPr>
                    </w:pPr>
                    <w:r>
                      <w:rPr>
                        <w:rFonts w:ascii="Times New Roman" w:cs="Times New Roman"/>
                      </w:rPr>
                      <w:t>期末余额</w:t>
                    </w:r>
                  </w:p>
                </w:tc>
              </w:sdtContent>
            </w:sdt>
            <w:sdt>
              <w:sdtPr>
                <w:rPr>
                  <w:rFonts w:ascii="Times New Roman" w:hAnsi="Times New Roman" w:cs="Times New Roman"/>
                </w:rPr>
                <w:tag w:val="_PLD_4365562ff41a4c1fbb543509a4ea61f6"/>
                <w:id w:val="865727251"/>
                <w:lock w:val="sdtLocked"/>
              </w:sdtPr>
              <w:sdtEndPr>
                <w:rPr>
                  <w:rFonts w:ascii="Times New Roman" w:hAnsi="Times New Roman" w:cs="Times New Roman"/>
                </w:rPr>
              </w:sdtEndPr>
              <w:sdtContent>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rPr>
                      <w:t>本期计提减值准备</w:t>
                    </w:r>
                  </w:p>
                </w:tc>
              </w:sdtContent>
            </w:sdt>
            <w:sdt>
              <w:sdtPr>
                <w:rPr>
                  <w:rFonts w:ascii="Times New Roman" w:hAnsi="Times New Roman" w:cs="Times New Roman"/>
                </w:rPr>
                <w:tag w:val="_PLD_1d05d35b40794516842b0264b05f0a95"/>
                <w:id w:val="865727252"/>
                <w:lock w:val="sdtLocked"/>
              </w:sdtPr>
              <w:sdtEndPr>
                <w:rPr>
                  <w:rFonts w:ascii="Times New Roman" w:hAnsi="Times New Roman" w:cs="Times New Roman"/>
                </w:rPr>
              </w:sdtEndPr>
              <w:sdtContent>
                <w:tc>
                  <w:tcPr>
                    <w:tcW w:w="78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rPr>
                    </w:pPr>
                    <w:r>
                      <w:rPr>
                        <w:rFonts w:ascii="Times New Roman" w:cs="Times New Roman"/>
                      </w:rPr>
                      <w:t>减值准备期末余额</w:t>
                    </w:r>
                  </w:p>
                </w:tc>
              </w:sdtContent>
            </w:sdt>
          </w:tr>
          <w:sdt>
            <w:sdtPr>
              <w:rPr>
                <w:rFonts w:ascii="Times New Roman" w:hAnsi="Times New Roman" w:cs="Times New Roman"/>
              </w:rPr>
              <w:alias w:val="长期股权投资明细"/>
              <w:tag w:val="_TUP_ffd53d91c32d4e5ea37a6c2ca799f0e2"/>
              <w:id w:val="865727253"/>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Times New Roman" w:cs="Times New Roman"/>
                      </w:rPr>
                      <w:t>柳州惠好卫生用品有限公司</w:t>
                    </w:r>
                  </w:p>
                </w:tc>
                <w:tc>
                  <w:tcPr>
                    <w:tcW w:w="8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13,105,106.20</w:t>
                    </w:r>
                  </w:p>
                </w:tc>
                <w:tc>
                  <w:tcPr>
                    <w:tcW w:w="39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39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8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13,105,106.20</w:t>
                    </w:r>
                  </w:p>
                </w:tc>
                <w:tc>
                  <w:tcPr>
                    <w:tcW w:w="62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7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13,105,106.20</w:t>
                    </w:r>
                  </w:p>
                </w:tc>
              </w:tr>
            </w:sdtContent>
          </w:sdt>
          <w:sdt>
            <w:sdtPr>
              <w:rPr>
                <w:rFonts w:ascii="Times New Roman" w:hAnsi="Times New Roman" w:cs="Times New Roman"/>
              </w:rPr>
              <w:alias w:val="长期股权投资明细"/>
              <w:tag w:val="_TUP_ffd53d91c32d4e5ea37a6c2ca799f0e2"/>
              <w:id w:val="865727254"/>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Times New Roman" w:cs="Times New Roman"/>
                      </w:rPr>
                      <w:t>柳州两面针进出口贸易有限公司</w:t>
                    </w:r>
                  </w:p>
                </w:tc>
                <w:tc>
                  <w:tcPr>
                    <w:tcW w:w="8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2,550,000.00</w:t>
                    </w:r>
                  </w:p>
                </w:tc>
                <w:tc>
                  <w:tcPr>
                    <w:tcW w:w="39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39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8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2,550,000.00</w:t>
                    </w:r>
                  </w:p>
                </w:tc>
                <w:tc>
                  <w:tcPr>
                    <w:tcW w:w="62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7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2,550,000.00</w:t>
                    </w:r>
                  </w:p>
                </w:tc>
              </w:tr>
            </w:sdtContent>
          </w:sdt>
          <w:sdt>
            <w:sdtPr>
              <w:rPr>
                <w:rFonts w:ascii="Times New Roman" w:hAnsi="Times New Roman" w:cs="Times New Roman"/>
              </w:rPr>
              <w:alias w:val="长期股权投资明细"/>
              <w:tag w:val="_TUP_ffd53d91c32d4e5ea37a6c2ca799f0e2"/>
              <w:id w:val="865727255"/>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Times New Roman" w:cs="Times New Roman"/>
                      </w:rPr>
                      <w:t>广西两面针亿康药业股份有限公司</w:t>
                    </w:r>
                  </w:p>
                </w:tc>
                <w:tc>
                  <w:tcPr>
                    <w:tcW w:w="863"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87,621,417.59</w:t>
                    </w:r>
                  </w:p>
                </w:tc>
                <w:tc>
                  <w:tcPr>
                    <w:tcW w:w="39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39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8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87,621,417.59</w:t>
                    </w:r>
                  </w:p>
                </w:tc>
                <w:tc>
                  <w:tcPr>
                    <w:tcW w:w="62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789"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r>
            </w:sdtContent>
          </w:sdt>
        </w:tbl>
        <w:p>
          <w:r>
            <w:br w:type="page"/>
          </w:r>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29"/>
            <w:gridCol w:w="670"/>
            <w:gridCol w:w="709"/>
            <w:gridCol w:w="1558"/>
            <w:gridCol w:w="1135"/>
            <w:gridCol w:w="1853"/>
          </w:tblGrid>
          <w:sdt>
            <w:sdtPr>
              <w:rPr>
                <w:rFonts w:ascii="Times New Roman" w:hAnsi="Times New Roman" w:cs="Times New Roman"/>
              </w:rPr>
              <w:alias w:val="长期股权投资明细"/>
              <w:tag w:val="_TUP_ffd53d91c32d4e5ea37a6c2ca799f0e2"/>
              <w:id w:val="865727256"/>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Times New Roman" w:cs="Times New Roman"/>
                      </w:rPr>
                      <w:t>安徽两面针</w:t>
                    </w:r>
                    <w:r>
                      <w:rPr>
                        <w:rFonts w:ascii="Times New Roman" w:hAnsi="Times New Roman" w:cs="Times New Roman"/>
                      </w:rPr>
                      <w:t>•</w:t>
                    </w:r>
                    <w:r>
                      <w:rPr>
                        <w:rFonts w:ascii="Times New Roman" w:cs="Times New Roman"/>
                      </w:rPr>
                      <w:t>芳草日化有限公司</w:t>
                    </w:r>
                  </w:p>
                </w:tc>
                <w:tc>
                  <w:tcPr>
                    <w:tcW w:w="84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24,500,000.00</w:t>
                    </w:r>
                  </w:p>
                </w:tc>
                <w:tc>
                  <w:tcPr>
                    <w:tcW w:w="37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39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8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24,500,000.00</w:t>
                    </w:r>
                  </w:p>
                </w:tc>
                <w:tc>
                  <w:tcPr>
                    <w:tcW w:w="62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102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24,500,000.00</w:t>
                    </w:r>
                  </w:p>
                </w:tc>
              </w:tr>
            </w:sdtContent>
          </w:sdt>
          <w:sdt>
            <w:sdtPr>
              <w:rPr>
                <w:rFonts w:ascii="Times New Roman" w:hAnsi="Times New Roman" w:cs="Times New Roman"/>
              </w:rPr>
              <w:alias w:val="长期股权投资明细"/>
              <w:tag w:val="_TUP_ffd53d91c32d4e5ea37a6c2ca799f0e2"/>
              <w:id w:val="865727257"/>
              <w:lock w:val="sdtLocked"/>
            </w:sdtPr>
            <w:sdtEndPr>
              <w:rPr>
                <w:rFonts w:ascii="Times New Roman" w:hAnsi="Times New Roman" w:cs="Times New Roman"/>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Times New Roman" w:cs="Times New Roman"/>
                      </w:rPr>
                      <w:t>两面针</w:t>
                    </w:r>
                    <w:r>
                      <w:rPr>
                        <w:rFonts w:ascii="Times New Roman" w:hAnsi="Times New Roman" w:cs="Times New Roman"/>
                      </w:rPr>
                      <w:t>(</w:t>
                    </w:r>
                    <w:r>
                      <w:rPr>
                        <w:rFonts w:ascii="Times New Roman" w:cs="Times New Roman"/>
                      </w:rPr>
                      <w:t>江苏</w:t>
                    </w:r>
                    <w:r>
                      <w:rPr>
                        <w:rFonts w:ascii="Times New Roman" w:hAnsi="Times New Roman" w:cs="Times New Roman"/>
                      </w:rPr>
                      <w:t>)</w:t>
                    </w:r>
                    <w:r>
                      <w:rPr>
                        <w:rFonts w:ascii="Times New Roman" w:cs="Times New Roman"/>
                      </w:rPr>
                      <w:t>实业有限公司</w:t>
                    </w:r>
                  </w:p>
                </w:tc>
                <w:tc>
                  <w:tcPr>
                    <w:tcW w:w="84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73,273,000.00</w:t>
                    </w:r>
                  </w:p>
                </w:tc>
                <w:tc>
                  <w:tcPr>
                    <w:tcW w:w="37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39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8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73,273,000.00</w:t>
                    </w:r>
                  </w:p>
                </w:tc>
                <w:tc>
                  <w:tcPr>
                    <w:tcW w:w="62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102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6d78abc7997f45e2969ef24257800aca"/>
                <w:id w:val="865727258"/>
                <w:lock w:val="sdtLocked"/>
              </w:sdtPr>
              <w:sdtEndPr>
                <w:rPr>
                  <w:rFonts w:ascii="Times New Roman" w:hAnsi="Times New Roman" w:cs="Times New Roman"/>
                </w:rPr>
              </w:sdtEndPr>
              <w:sdtContent>
                <w:tc>
                  <w:tcPr>
                    <w:tcW w:w="8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cs="Times New Roman"/>
                      </w:rPr>
                      <w:t>合计</w:t>
                    </w:r>
                  </w:p>
                </w:tc>
              </w:sdtContent>
            </w:sdt>
            <w:tc>
              <w:tcPr>
                <w:tcW w:w="845"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201,049,523.79</w:t>
                </w:r>
              </w:p>
            </w:tc>
            <w:tc>
              <w:tcPr>
                <w:tcW w:w="370"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392"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861"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201,049,523.79</w:t>
                </w:r>
              </w:p>
            </w:tc>
            <w:tc>
              <w:tcPr>
                <w:tcW w:w="62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p>
            </w:tc>
            <w:tc>
              <w:tcPr>
                <w:tcW w:w="1024"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rPr>
                </w:pPr>
                <w:r>
                  <w:rPr>
                    <w:rFonts w:ascii="Times New Roman" w:hAnsi="Times New Roman" w:cs="Times New Roman"/>
                  </w:rPr>
                  <w:t>40,155,106.20</w:t>
                </w:r>
              </w:p>
            </w:tc>
          </w:tr>
        </w:tbl>
        <w:p/>
        <w:p>
          <w:pPr>
            <w:rPr>
              <w:szCs w:val="21"/>
            </w:rPr>
          </w:pPr>
        </w:p>
      </w:sdtContent>
    </w:sdt>
    <w:sdt>
      <w:sdtPr>
        <w:rPr>
          <w:rFonts w:hint="eastAsia" w:ascii="宋体" w:hAnsi="宋体" w:eastAsia="宋体" w:cs="宋体"/>
          <w:b w:val="0"/>
          <w:bCs w:val="0"/>
          <w:kern w:val="0"/>
          <w:szCs w:val="24"/>
        </w:rPr>
        <w:alias w:val="模块:对联营、合营企业投资"/>
        <w:tag w:val="_SEC_4a653049f75d481585b4f9d9da6a8d0e"/>
        <w:id w:val="865727285"/>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136"/>
            </w:numPr>
          </w:pPr>
          <w:r>
            <w:rPr>
              <w:rFonts w:hint="eastAsia"/>
            </w:rPr>
            <w:t>对联营、合营企业投资</w:t>
          </w:r>
        </w:p>
        <w:sdt>
          <w:sdtPr>
            <w:alias w:val="是否适用：母公司对联营、合营企业投资[双击切换]"/>
            <w:tag w:val="_GBC_2e4760cb979247e69579530b3868e897"/>
            <w:id w:val="86572726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8657272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865727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7"/>
            <w:tblW w:w="50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417"/>
            <w:gridCol w:w="698"/>
            <w:gridCol w:w="613"/>
            <w:gridCol w:w="316"/>
            <w:gridCol w:w="316"/>
            <w:gridCol w:w="648"/>
            <w:gridCol w:w="334"/>
            <w:gridCol w:w="375"/>
            <w:gridCol w:w="206"/>
            <w:gridCol w:w="31"/>
            <w:gridCol w:w="1531"/>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cddf860d624b41069bef0850b92b7db2"/>
                <w:id w:val="865727263"/>
              </w:sdtPr>
              <w:sdtContent>
                <w:tc>
                  <w:tcPr>
                    <w:tcW w:w="622"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投资</w:t>
                    </w:r>
                  </w:p>
                  <w:p>
                    <w:pPr>
                      <w:jc w:val="center"/>
                      <w:rPr>
                        <w:szCs w:val="21"/>
                      </w:rPr>
                    </w:pPr>
                    <w:r>
                      <w:rPr>
                        <w:rFonts w:hint="eastAsia"/>
                        <w:szCs w:val="21"/>
                      </w:rPr>
                      <w:t>单位</w:t>
                    </w:r>
                  </w:p>
                </w:tc>
              </w:sdtContent>
            </w:sdt>
            <w:sdt>
              <w:sdtPr>
                <w:tag w:val="_PLD_1e9893e3e3854470a87271f1c7db6cdb"/>
                <w:id w:val="865727264"/>
              </w:sdtPr>
              <w:sdtContent>
                <w:tc>
                  <w:tcPr>
                    <w:tcW w:w="772"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51e202fa7d4541e8b1073ad1aab00e23"/>
                <w:id w:val="865727265"/>
              </w:sdtPr>
              <w:sdtContent>
                <w:tc>
                  <w:tcPr>
                    <w:tcW w:w="1909"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本期增减变动</w:t>
                    </w:r>
                  </w:p>
                </w:tc>
              </w:sdtContent>
            </w:sdt>
            <w:sdt>
              <w:sdtPr>
                <w:tag w:val="_PLD_fb68ab3bfe254cb4ac4728b9c324a1ea"/>
                <w:id w:val="865727266"/>
              </w:sdtPr>
              <w:sdtContent>
                <w:tc>
                  <w:tcPr>
                    <w:tcW w:w="851" w:type="pct"/>
                    <w:gridSpan w:val="2"/>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tag w:val="_PLD_79ea6426597c4707b961bbd96c8cf19f"/>
                <w:id w:val="865727267"/>
              </w:sdtPr>
              <w:sdtContent>
                <w:tc>
                  <w:tcPr>
                    <w:tcW w:w="847"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c>
              <w:tcPr>
                <w:tcW w:w="772"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sdt>
              <w:sdtPr>
                <w:tag w:val="_PLD_759fe0f59b6046308988b932a5f90e06"/>
                <w:id w:val="865727268"/>
              </w:sdtPr>
              <w:sdtContent>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追加投资</w:t>
                    </w:r>
                  </w:p>
                </w:tc>
              </w:sdtContent>
            </w:sdt>
            <w:sdt>
              <w:sdtPr>
                <w:tag w:val="_PLD_6f033bedb79a4bd7bc36dc52845a5ea0"/>
                <w:id w:val="865727269"/>
              </w:sdtPr>
              <w:sdtContent>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减少投资</w:t>
                    </w:r>
                  </w:p>
                </w:tc>
              </w:sdtContent>
            </w:sdt>
            <w:sdt>
              <w:sdtPr>
                <w:tag w:val="_PLD_67e4baac3d05451d940d328c18f19014"/>
                <w:id w:val="865727270"/>
              </w:sdtPr>
              <w:sdtContent>
                <w:tc>
                  <w:tcPr>
                    <w:tcW w:w="1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权益法下确认的投资损益</w:t>
                    </w:r>
                  </w:p>
                </w:tc>
              </w:sdtContent>
            </w:sdt>
            <w:sdt>
              <w:sdtPr>
                <w:tag w:val="_PLD_700419003e5b4596b973710043374374"/>
                <w:id w:val="865727271"/>
              </w:sdtPr>
              <w:sdtContent>
                <w:tc>
                  <w:tcPr>
                    <w:tcW w:w="1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其他综合收益调整</w:t>
                    </w:r>
                  </w:p>
                </w:tc>
              </w:sdtContent>
            </w:sdt>
            <w:sdt>
              <w:sdtPr>
                <w:tag w:val="_PLD_9318c7f257d249e0a0b9bf70263601d5"/>
                <w:id w:val="865727272"/>
              </w:sdtPr>
              <w:sdtContent>
                <w:tc>
                  <w:tcPr>
                    <w:tcW w:w="3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其他权益变动</w:t>
                    </w:r>
                  </w:p>
                </w:tc>
              </w:sdtContent>
            </w:sdt>
            <w:sdt>
              <w:sdtPr>
                <w:tag w:val="_PLD_efb3a8c8f6b64ad1a5fbb4cf67eb4c96"/>
                <w:id w:val="865727273"/>
              </w:sdtPr>
              <w:sdtContent>
                <w:tc>
                  <w:tcPr>
                    <w:tcW w:w="1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宣告发放现金股利或利润</w:t>
                    </w:r>
                  </w:p>
                </w:tc>
              </w:sdtContent>
            </w:sdt>
            <w:sdt>
              <w:sdtPr>
                <w:tag w:val="_PLD_2cc45ca82119420bb4d261a3eb788ba0"/>
                <w:id w:val="865727274"/>
              </w:sdtPr>
              <w:sdtContent>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计提减值准备</w:t>
                    </w:r>
                  </w:p>
                </w:tc>
              </w:sdtContent>
            </w:sdt>
            <w:sdt>
              <w:sdtPr>
                <w:tag w:val="_PLD_85d3aa0f514447b38d92097f7a30e385"/>
                <w:id w:val="865727275"/>
              </w:sdtPr>
              <w:sdtContent>
                <w:tc>
                  <w:tcPr>
                    <w:tcW w:w="12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w:t>
                    </w:r>
                  </w:p>
                </w:tc>
              </w:sdtContent>
            </w:sdt>
            <w:tc>
              <w:tcPr>
                <w:tcW w:w="833" w:type="pct"/>
                <w:tcBorders>
                  <w:left w:val="single" w:color="auto" w:sz="4" w:space="0"/>
                  <w:bottom w:val="single" w:color="auto" w:sz="4" w:space="0"/>
                  <w:right w:val="single" w:color="auto" w:sz="4" w:space="0"/>
                </w:tcBorders>
                <w:shd w:val="clear" w:color="auto" w:fill="auto"/>
              </w:tcPr>
              <w:p>
                <w:pPr>
                  <w:jc w:val="center"/>
                  <w:rPr>
                    <w:szCs w:val="21"/>
                  </w:rPr>
                </w:pPr>
              </w:p>
            </w:tc>
            <w:tc>
              <w:tcPr>
                <w:tcW w:w="847" w:type="pct"/>
                <w:tcBorders>
                  <w:left w:val="single" w:color="auto" w:sz="4" w:space="0"/>
                  <w:bottom w:val="single" w:color="auto" w:sz="4" w:space="0"/>
                  <w:right w:val="single" w:color="auto" w:sz="4" w:space="0"/>
                </w:tcBorders>
                <w:shd w:val="clear" w:color="auto" w:fill="auto"/>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de7a3b12554dad8d8701df843651f7"/>
                <w:id w:val="865727276"/>
              </w:sdtPr>
              <w:sdtContent>
                <w:tc>
                  <w:tcPr>
                    <w:tcW w:w="5000" w:type="pct"/>
                    <w:gridSpan w:val="13"/>
                    <w:tcBorders>
                      <w:top w:val="single" w:color="auto" w:sz="4" w:space="0"/>
                      <w:left w:val="single" w:color="auto" w:sz="4" w:space="0"/>
                      <w:bottom w:val="single" w:color="auto" w:sz="4" w:space="0"/>
                      <w:right w:val="single" w:color="auto" w:sz="4" w:space="0"/>
                    </w:tcBorders>
                    <w:shd w:val="clear" w:color="auto" w:fill="auto"/>
                  </w:tcPr>
                  <w:p>
                    <w:pPr>
                      <w:tabs>
                        <w:tab w:val="left" w:pos="7815"/>
                      </w:tabs>
                      <w:rPr>
                        <w:szCs w:val="21"/>
                      </w:rPr>
                    </w:pPr>
                    <w:r>
                      <w:rPr>
                        <w:rFonts w:hint="eastAsia"/>
                        <w:szCs w:val="21"/>
                      </w:rPr>
                      <w:t>一、合营企业</w:t>
                    </w:r>
                  </w:p>
                </w:tc>
              </w:sdtContent>
            </w:sdt>
          </w:tr>
          <w:sdt>
            <w:sdtPr>
              <w:rPr>
                <w:szCs w:val="21"/>
              </w:rPr>
              <w:alias w:val="合营企业投资信息明细"/>
              <w:tag w:val="_TUP_7ae7c93a76644e18b4ce7e7962b3c843"/>
              <w:id w:val="86572727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tcBorders>
                      <w:top w:val="single" w:color="auto" w:sz="4" w:space="0"/>
                      <w:left w:val="single" w:color="auto" w:sz="4" w:space="0"/>
                      <w:bottom w:val="single" w:color="auto" w:sz="4" w:space="0"/>
                      <w:right w:val="single" w:color="auto" w:sz="4" w:space="0"/>
                    </w:tcBorders>
                    <w:shd w:val="clear" w:color="auto" w:fill="33CCCC"/>
                  </w:tcPr>
                  <w:p>
                    <w:pPr>
                      <w:rPr>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380"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334"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353"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8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204"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29" w:type="pct"/>
                    <w:gridSpan w:val="2"/>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833"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847"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r>
            </w:sdtContent>
          </w:sdt>
          <w:sdt>
            <w:sdtPr>
              <w:rPr>
                <w:szCs w:val="21"/>
              </w:rPr>
              <w:alias w:val="合营企业投资信息明细"/>
              <w:tag w:val="_TUP_7ae7c93a76644e18b4ce7e7962b3c843"/>
              <w:id w:val="86572727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tcBorders>
                      <w:top w:val="single" w:color="auto" w:sz="4" w:space="0"/>
                      <w:left w:val="single" w:color="auto" w:sz="4" w:space="0"/>
                      <w:bottom w:val="single" w:color="auto" w:sz="4" w:space="0"/>
                      <w:right w:val="single" w:color="auto" w:sz="4" w:space="0"/>
                    </w:tcBorders>
                    <w:shd w:val="clear" w:color="auto" w:fill="33CCCC"/>
                  </w:tcPr>
                  <w:p>
                    <w:pPr>
                      <w:rPr>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380"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334"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353"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8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204"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29" w:type="pct"/>
                    <w:gridSpan w:val="2"/>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833"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847"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5532ff6de38446798c10c6b50f591fc"/>
                <w:id w:val="865727279"/>
              </w:sdtPr>
              <w:sdtContent>
                <w:tc>
                  <w:tcPr>
                    <w:tcW w:w="622" w:type="pct"/>
                    <w:tcBorders>
                      <w:top w:val="single" w:color="auto" w:sz="4" w:space="0"/>
                      <w:left w:val="single" w:color="auto" w:sz="4" w:space="0"/>
                      <w:bottom w:val="single" w:color="auto" w:sz="4" w:space="0"/>
                      <w:right w:val="single" w:color="auto" w:sz="4" w:space="0"/>
                    </w:tcBorders>
                    <w:shd w:val="clear" w:color="auto" w:fill="33CCCC"/>
                  </w:tcPr>
                  <w:p>
                    <w:pPr>
                      <w:rPr>
                        <w:szCs w:val="21"/>
                      </w:rPr>
                    </w:pPr>
                    <w:r>
                      <w:rPr>
                        <w:rFonts w:hint="eastAsia"/>
                        <w:szCs w:val="21"/>
                      </w:rPr>
                      <w:t>小计</w:t>
                    </w:r>
                  </w:p>
                </w:tc>
              </w:sdtContent>
            </w:sdt>
            <w:tc>
              <w:tcPr>
                <w:tcW w:w="77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380"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334"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353"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82"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204"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129" w:type="pct"/>
                <w:gridSpan w:val="2"/>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833"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c>
              <w:tcPr>
                <w:tcW w:w="847" w:type="pct"/>
                <w:tcBorders>
                  <w:top w:val="single" w:color="auto" w:sz="4" w:space="0"/>
                  <w:left w:val="single" w:color="auto" w:sz="4" w:space="0"/>
                  <w:bottom w:val="single" w:color="auto" w:sz="4" w:space="0"/>
                  <w:right w:val="single" w:color="auto" w:sz="4" w:space="0"/>
                </w:tcBorders>
                <w:shd w:val="clear" w:color="auto" w:fill="33CCCC"/>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3021cffa734643a0c35649ee4b5043"/>
                <w:id w:val="865727280"/>
              </w:sdtPr>
              <w:sdtContent>
                <w:tc>
                  <w:tcPr>
                    <w:tcW w:w="5000" w:type="pct"/>
                    <w:gridSpan w:val="13"/>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二、联营企业</w:t>
                    </w:r>
                  </w:p>
                </w:tc>
              </w:sdtContent>
            </w:sdt>
          </w:tr>
          <w:sdt>
            <w:sdtPr>
              <w:rPr>
                <w:rFonts w:hint="eastAsia"/>
                <w:szCs w:val="21"/>
              </w:rPr>
              <w:alias w:val="联营企业投资信息明细"/>
              <w:tag w:val="_TUP_eaba507245ee4361a2dbb347dbaafb94"/>
              <w:id w:val="865727281"/>
              <w:lock w:val="sdtLocked"/>
            </w:sdtPr>
            <w:sdtEndPr>
              <w:rPr>
                <w:rFonts w:hint="default"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tcBorders>
                      <w:top w:val="single" w:color="auto" w:sz="4" w:space="0"/>
                      <w:left w:val="single" w:color="auto" w:sz="4" w:space="0"/>
                      <w:bottom w:val="single" w:color="auto" w:sz="4" w:space="0"/>
                      <w:right w:val="single" w:color="auto" w:sz="4" w:space="0"/>
                    </w:tcBorders>
                    <w:shd w:val="clear" w:color="auto" w:fill="33CCCC"/>
                  </w:tcPr>
                  <w:p>
                    <w:pPr>
                      <w:rPr>
                        <w:szCs w:val="21"/>
                      </w:rPr>
                    </w:pPr>
                    <w:r>
                      <w:t>柳州市玉洁口腔卫生用品有限责任公司</w:t>
                    </w:r>
                  </w:p>
                </w:tc>
                <w:tc>
                  <w:tcPr>
                    <w:tcW w:w="7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r>
                      <w:rPr>
                        <w:rFonts w:ascii="Times New Roman" w:hAnsi="Times New Roman" w:cs="Times New Roman"/>
                      </w:rPr>
                      <w:t>3,854,508.49</w:t>
                    </w:r>
                  </w:p>
                </w:tc>
                <w:tc>
                  <w:tcPr>
                    <w:tcW w:w="380"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334"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353"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8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204"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29" w:type="pct"/>
                    <w:gridSpan w:val="2"/>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833"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 w:val="24"/>
                      </w:rPr>
                    </w:pPr>
                    <w:r>
                      <w:rPr>
                        <w:rFonts w:ascii="Times New Roman" w:hAnsi="Times New Roman" w:cs="Times New Roman"/>
                      </w:rPr>
                      <w:t>3,854,508.49</w:t>
                    </w:r>
                  </w:p>
                </w:tc>
                <w:tc>
                  <w:tcPr>
                    <w:tcW w:w="847"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r>
                      <w:rPr>
                        <w:rFonts w:ascii="Times New Roman" w:hAnsi="Times New Roman" w:cs="Times New Roman"/>
                      </w:rPr>
                      <w:t>3,854,508.49</w:t>
                    </w:r>
                  </w:p>
                </w:tc>
              </w:tr>
            </w:sdtContent>
          </w:sdt>
          <w:sdt>
            <w:sdtPr>
              <w:rPr>
                <w:rFonts w:hint="eastAsia"/>
                <w:szCs w:val="21"/>
              </w:rPr>
              <w:alias w:val="联营企业投资信息明细"/>
              <w:tag w:val="_TUP_eaba507245ee4361a2dbb347dbaafb94"/>
              <w:id w:val="865727282"/>
              <w:lock w:val="sdtLocked"/>
            </w:sdtPr>
            <w:sdtEndPr>
              <w:rPr>
                <w:rFonts w:hint="default"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tcBorders>
                      <w:top w:val="single" w:color="auto" w:sz="4" w:space="0"/>
                      <w:left w:val="single" w:color="auto" w:sz="4" w:space="0"/>
                      <w:bottom w:val="single" w:color="auto" w:sz="4" w:space="0"/>
                      <w:right w:val="single" w:color="auto" w:sz="4" w:space="0"/>
                    </w:tcBorders>
                    <w:shd w:val="clear" w:color="auto" w:fill="33CCCC"/>
                  </w:tcPr>
                  <w:p>
                    <w:pPr>
                      <w:rPr>
                        <w:szCs w:val="21"/>
                      </w:rPr>
                    </w:pPr>
                    <w:r>
                      <w:t>广西两面针九洲房地产开发有限公司</w:t>
                    </w:r>
                  </w:p>
                </w:tc>
                <w:tc>
                  <w:tcPr>
                    <w:tcW w:w="7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r>
                      <w:rPr>
                        <w:rFonts w:ascii="Times New Roman" w:hAnsi="Times New Roman" w:cs="Times New Roman"/>
                      </w:rPr>
                      <w:t>3,916,163.14</w:t>
                    </w:r>
                  </w:p>
                </w:tc>
                <w:tc>
                  <w:tcPr>
                    <w:tcW w:w="380"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334"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353"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8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204"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29" w:type="pct"/>
                    <w:gridSpan w:val="2"/>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833"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 w:val="24"/>
                      </w:rPr>
                    </w:pPr>
                    <w:r>
                      <w:rPr>
                        <w:rFonts w:ascii="Times New Roman" w:hAnsi="Times New Roman" w:cs="Times New Roman"/>
                      </w:rPr>
                      <w:t>3,916,163.14</w:t>
                    </w:r>
                  </w:p>
                </w:tc>
                <w:tc>
                  <w:tcPr>
                    <w:tcW w:w="847"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r>
                      <w:rPr>
                        <w:rFonts w:ascii="Times New Roman" w:hAnsi="Times New Roman" w:cs="Times New Roman"/>
                      </w:rPr>
                      <w:t>3,916,163.14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8383730084541adb8db21cc185c3f8a"/>
                <w:id w:val="865727283"/>
              </w:sdtPr>
              <w:sdtContent>
                <w:tc>
                  <w:tcPr>
                    <w:tcW w:w="622" w:type="pct"/>
                    <w:tcBorders>
                      <w:top w:val="single" w:color="auto" w:sz="4" w:space="0"/>
                      <w:left w:val="single" w:color="auto" w:sz="4" w:space="0"/>
                      <w:bottom w:val="single" w:color="auto" w:sz="4" w:space="0"/>
                      <w:right w:val="single" w:color="auto" w:sz="4" w:space="0"/>
                    </w:tcBorders>
                    <w:shd w:val="clear" w:color="auto" w:fill="33CCCC"/>
                  </w:tcPr>
                  <w:p>
                    <w:pPr>
                      <w:rPr>
                        <w:szCs w:val="21"/>
                      </w:rPr>
                    </w:pPr>
                    <w:r>
                      <w:rPr>
                        <w:rFonts w:hint="eastAsia"/>
                        <w:szCs w:val="21"/>
                      </w:rPr>
                      <w:t>小计</w:t>
                    </w:r>
                  </w:p>
                </w:tc>
              </w:sdtContent>
            </w:sdt>
            <w:tc>
              <w:tcPr>
                <w:tcW w:w="7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r>
                  <w:rPr>
                    <w:rFonts w:ascii="Times New Roman" w:hAnsi="Times New Roman" w:cs="Times New Roman"/>
                  </w:rPr>
                  <w:t>7,770,671.63</w:t>
                </w:r>
              </w:p>
            </w:tc>
            <w:tc>
              <w:tcPr>
                <w:tcW w:w="380"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334"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353"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8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204"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29" w:type="pct"/>
                <w:gridSpan w:val="2"/>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833"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 w:val="24"/>
                  </w:rPr>
                </w:pPr>
                <w:r>
                  <w:rPr>
                    <w:rFonts w:ascii="Times New Roman" w:hAnsi="Times New Roman" w:cs="Times New Roman"/>
                  </w:rPr>
                  <w:t>7,770,671.63</w:t>
                </w:r>
              </w:p>
            </w:tc>
            <w:tc>
              <w:tcPr>
                <w:tcW w:w="847"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r>
                  <w:rPr>
                    <w:rFonts w:ascii="Times New Roman" w:hAnsi="Times New Roman" w:cs="Times New Roman"/>
                  </w:rPr>
                  <w:t>7,770,671.63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b0583c56526447a8a37f554e73cdf58"/>
                <w:id w:val="865727284"/>
              </w:sdtPr>
              <w:sdtContent>
                <w:tc>
                  <w:tcPr>
                    <w:tcW w:w="622" w:type="pct"/>
                    <w:tcBorders>
                      <w:top w:val="single" w:color="auto" w:sz="4" w:space="0"/>
                      <w:left w:val="single" w:color="auto" w:sz="4" w:space="0"/>
                      <w:bottom w:val="single" w:color="auto" w:sz="4" w:space="0"/>
                      <w:right w:val="single" w:color="auto" w:sz="4" w:space="0"/>
                    </w:tcBorders>
                    <w:shd w:val="clear" w:color="auto" w:fill="33CCCC"/>
                    <w:vAlign w:val="center"/>
                  </w:tcPr>
                  <w:p>
                    <w:pPr>
                      <w:jc w:val="center"/>
                      <w:rPr>
                        <w:szCs w:val="21"/>
                      </w:rPr>
                    </w:pPr>
                    <w:r>
                      <w:rPr>
                        <w:rFonts w:hint="eastAsia"/>
                        <w:szCs w:val="21"/>
                      </w:rPr>
                      <w:t>合计</w:t>
                    </w:r>
                  </w:p>
                </w:tc>
              </w:sdtContent>
            </w:sdt>
            <w:tc>
              <w:tcPr>
                <w:tcW w:w="7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r>
                  <w:rPr>
                    <w:rFonts w:ascii="Times New Roman" w:hAnsi="Times New Roman" w:cs="Times New Roman"/>
                    <w:szCs w:val="21"/>
                  </w:rPr>
                  <w:t>7,770,671.63</w:t>
                </w:r>
              </w:p>
            </w:tc>
            <w:tc>
              <w:tcPr>
                <w:tcW w:w="380"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334"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7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353"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82"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204"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129" w:type="pct"/>
                <w:gridSpan w:val="2"/>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p>
            </w:tc>
            <w:tc>
              <w:tcPr>
                <w:tcW w:w="833"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r>
                  <w:rPr>
                    <w:rFonts w:ascii="Times New Roman" w:hAnsi="Times New Roman" w:cs="Times New Roman"/>
                    <w:szCs w:val="21"/>
                  </w:rPr>
                  <w:t>7,770,671.63</w:t>
                </w:r>
              </w:p>
            </w:tc>
            <w:tc>
              <w:tcPr>
                <w:tcW w:w="847" w:type="pct"/>
                <w:tcBorders>
                  <w:top w:val="single" w:color="auto" w:sz="4" w:space="0"/>
                  <w:left w:val="single" w:color="auto" w:sz="4" w:space="0"/>
                  <w:bottom w:val="single" w:color="auto" w:sz="4" w:space="0"/>
                  <w:right w:val="single" w:color="auto" w:sz="4" w:space="0"/>
                </w:tcBorders>
                <w:shd w:val="clear" w:color="auto" w:fill="33CCCC"/>
                <w:vAlign w:val="center"/>
              </w:tcPr>
              <w:p>
                <w:pPr>
                  <w:jc w:val="right"/>
                  <w:rPr>
                    <w:rFonts w:ascii="Times New Roman" w:hAnsi="Times New Roman" w:cs="Times New Roman"/>
                    <w:szCs w:val="21"/>
                  </w:rPr>
                </w:pPr>
                <w:r>
                  <w:rPr>
                    <w:rFonts w:ascii="Times New Roman" w:hAnsi="Times New Roman" w:cs="Times New Roman"/>
                    <w:szCs w:val="21"/>
                  </w:rPr>
                  <w:t>7,770,671.63</w:t>
                </w:r>
              </w:p>
            </w:tc>
          </w:tr>
        </w:tbl>
      </w:sdtContent>
    </w:sdt>
    <w:p>
      <w:pPr>
        <w:rPr>
          <w:szCs w:val="21"/>
        </w:rPr>
      </w:pPr>
    </w:p>
    <w:sdt>
      <w:sdtPr>
        <w:rPr>
          <w:rFonts w:hint="eastAsia" w:ascii="宋体" w:hAnsi="宋体" w:cs="宋体"/>
          <w:b w:val="0"/>
          <w:bCs w:val="0"/>
          <w:kern w:val="0"/>
          <w:szCs w:val="24"/>
        </w:rPr>
        <w:alias w:val="模块:营业收入"/>
        <w:tag w:val="_SEC_167f1b451fcb4d4d88898ec4d506ea2d"/>
        <w:id w:val="865727301"/>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132"/>
            </w:numPr>
          </w:pPr>
          <w:r>
            <w:rPr>
              <w:rFonts w:hint="eastAsia"/>
            </w:rPr>
            <w:t>营业收入和营业成本</w:t>
          </w:r>
        </w:p>
        <w:p>
          <w:pPr>
            <w:pStyle w:val="5"/>
            <w:numPr>
              <w:ilvl w:val="0"/>
              <w:numId w:val="137"/>
            </w:numPr>
          </w:pPr>
          <w:r>
            <w:rPr>
              <w:rFonts w:hint="eastAsia"/>
            </w:rPr>
            <w:t>营业收入和营业成本情况</w:t>
          </w:r>
        </w:p>
        <w:sdt>
          <w:sdtPr>
            <w:rPr>
              <w:rFonts w:hint="eastAsia" w:ascii="宋体" w:hAnsi="宋体"/>
              <w:bCs/>
              <w:szCs w:val="21"/>
            </w:rPr>
            <w:alias w:val="是否适用：母公司营业收入和营业成本[双击切换]"/>
            <w:tag w:val="_GBC_3cf10265cb614c79a538bd06daf8da74"/>
            <w:id w:val="865727288"/>
            <w:lock w:val="sdtLocked"/>
            <w:placeholder>
              <w:docPart w:val="GBC22222222222222222222222222222"/>
            </w:placeholder>
          </w:sdtPr>
          <w:sdtEndPr>
            <w:rPr>
              <w:rFonts w:hint="eastAsia" w:ascii="宋体" w:hAnsi="宋体"/>
              <w:bCs/>
              <w:szCs w:val="21"/>
            </w:rPr>
          </w:sdtEndPr>
          <w:sdtContent>
            <w:p>
              <w:pPr>
                <w:pStyle w:val="55"/>
                <w:ind w:firstLine="0" w:firstLineChars="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pPr>
            <w:pStyle w:val="55"/>
            <w:ind w:firstLine="0" w:firstLineChars="0"/>
            <w:jc w:val="right"/>
            <w:rPr>
              <w:rFonts w:ascii="宋体" w:hAnsi="宋体"/>
              <w:kern w:val="0"/>
              <w:szCs w:val="21"/>
            </w:rPr>
          </w:pPr>
          <w:r>
            <w:rPr>
              <w:rFonts w:hint="eastAsia" w:ascii="宋体" w:hAnsi="宋体"/>
              <w:bCs/>
              <w:szCs w:val="21"/>
            </w:rPr>
            <w:t>单位：</w:t>
          </w:r>
          <w:sdt>
            <w:sdtPr>
              <w:rPr>
                <w:rFonts w:hint="eastAsia" w:ascii="宋体" w:hAnsi="宋体"/>
                <w:bCs/>
                <w:szCs w:val="21"/>
              </w:rPr>
              <w:alias w:val="单位：母公司财务附注：营业收入"/>
              <w:tag w:val="_GBC_5e6e6011a00b4111b618be40fba11dc1"/>
              <w:id w:val="8657272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bCs/>
                <w:szCs w:val="21"/>
              </w:rPr>
            </w:sdtEndPr>
            <w:sdtContent>
              <w:r>
                <w:rPr>
                  <w:rFonts w:hint="eastAsia" w:ascii="宋体" w:hAnsi="宋体"/>
                  <w:bCs/>
                  <w:szCs w:val="21"/>
                </w:rPr>
                <w:t>元</w:t>
              </w:r>
            </w:sdtContent>
          </w:sdt>
          <w:r>
            <w:rPr>
              <w:rFonts w:hint="eastAsia" w:ascii="宋体" w:hAnsi="宋体"/>
              <w:bCs/>
              <w:szCs w:val="21"/>
            </w:rPr>
            <w:t xml:space="preserve">  币种：</w:t>
          </w:r>
          <w:sdt>
            <w:sdtPr>
              <w:rPr>
                <w:rFonts w:hint="eastAsia" w:ascii="宋体" w:hAnsi="宋体"/>
                <w:bCs/>
                <w:szCs w:val="21"/>
              </w:rPr>
              <w:alias w:val="币种：母公司财务附注：营业收入"/>
              <w:tag w:val="_GBC_5940d445dfb6426f97376a89f3df08e7"/>
              <w:id w:val="865727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bCs/>
                <w:szCs w:val="21"/>
              </w:rPr>
            </w:sdtEndPr>
            <w:sdtContent>
              <w:r>
                <w:rPr>
                  <w:rFonts w:hint="eastAsia" w:ascii="宋体" w:hAnsi="宋体"/>
                  <w:bCs/>
                  <w:szCs w:val="21"/>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1687"/>
            <w:gridCol w:w="1582"/>
            <w:gridCol w:w="1687"/>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03d52d676cf8435a8f7a530f92cd7617"/>
                <w:id w:val="865727291"/>
                <w:lock w:val="sdtLocked"/>
              </w:sdtPr>
              <w:sdtEndPr>
                <w:rPr>
                  <w:rFonts w:ascii="Times New Roman" w:hAnsi="Times New Roman" w:cs="Times New Roman"/>
                </w:rPr>
              </w:sdtEndPr>
              <w:sdtContent>
                <w:tc>
                  <w:tcPr>
                    <w:tcW w:w="1390"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项目</w:t>
                    </w:r>
                  </w:p>
                </w:tc>
              </w:sdtContent>
            </w:sdt>
            <w:sdt>
              <w:sdtPr>
                <w:rPr>
                  <w:rFonts w:ascii="Times New Roman" w:hAnsi="Times New Roman" w:cs="Times New Roman"/>
                </w:rPr>
                <w:tag w:val="_PLD_32b5faadfe0b45d19044be5526af3c2d"/>
                <w:id w:val="865727292"/>
                <w:lock w:val="sdtLocked"/>
              </w:sdtPr>
              <w:sdtEndPr>
                <w:rPr>
                  <w:rFonts w:ascii="Times New Roman" w:hAnsi="Times New Roman" w:cs="Times New Roman"/>
                </w:rPr>
              </w:sdtEndPr>
              <w:sdtContent>
                <w:tc>
                  <w:tcPr>
                    <w:tcW w:w="180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5e3b95dc7e564cbabd77bf88c8a43781"/>
                <w:id w:val="865727293"/>
                <w:lock w:val="sdtLocked"/>
              </w:sdtPr>
              <w:sdtEndPr>
                <w:rPr>
                  <w:rFonts w:ascii="Times New Roman" w:hAnsi="Times New Roman" w:cs="Times New Roman"/>
                </w:rPr>
              </w:sdtEndPr>
              <w:sdtContent>
                <w:tc>
                  <w:tcPr>
                    <w:tcW w:w="180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p>
            </w:tc>
            <w:sdt>
              <w:sdtPr>
                <w:rPr>
                  <w:rFonts w:ascii="Times New Roman" w:hAnsi="Times New Roman" w:cs="Times New Roman"/>
                </w:rPr>
                <w:tag w:val="_PLD_35d68e9def174e9fb111f9c26dc6e586"/>
                <w:id w:val="865727294"/>
                <w:lock w:val="sdtLocked"/>
              </w:sdtPr>
              <w:sdtEndPr>
                <w:rPr>
                  <w:rFonts w:ascii="Times New Roman" w:hAnsi="Times New Roman" w:cs="Times New Roman"/>
                </w:rPr>
              </w:sdtEndPr>
              <w:sdtContent>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收入</w:t>
                    </w:r>
                  </w:p>
                </w:tc>
              </w:sdtContent>
            </w:sdt>
            <w:sdt>
              <w:sdtPr>
                <w:rPr>
                  <w:rFonts w:ascii="Times New Roman" w:hAnsi="Times New Roman" w:cs="Times New Roman"/>
                </w:rPr>
                <w:tag w:val="_PLD_bca4c40811a6455bb6f684093a6c0c7d"/>
                <w:id w:val="865727295"/>
                <w:lock w:val="sdtLocked"/>
              </w:sdtPr>
              <w:sdtEndPr>
                <w:rPr>
                  <w:rFonts w:ascii="Times New Roman" w:hAnsi="Times New Roman" w:cs="Times New Roman"/>
                </w:rPr>
              </w:sdtEndPr>
              <w:sdtConten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成本</w:t>
                    </w:r>
                  </w:p>
                </w:tc>
              </w:sdtContent>
            </w:sdt>
            <w:sdt>
              <w:sdtPr>
                <w:rPr>
                  <w:rFonts w:ascii="Times New Roman" w:hAnsi="Times New Roman" w:cs="Times New Roman"/>
                </w:rPr>
                <w:tag w:val="_PLD_913bf231029842ff9aedaf2297b238c1"/>
                <w:id w:val="865727296"/>
                <w:lock w:val="sdtLocked"/>
              </w:sdtPr>
              <w:sdtEndPr>
                <w:rPr>
                  <w:rFonts w:ascii="Times New Roman" w:hAnsi="Times New Roman" w:cs="Times New Roman"/>
                </w:rPr>
              </w:sdtEndPr>
              <w:sdtContent>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收入</w:t>
                    </w:r>
                  </w:p>
                </w:tc>
              </w:sdtContent>
            </w:sdt>
            <w:sdt>
              <w:sdtPr>
                <w:rPr>
                  <w:rFonts w:ascii="Times New Roman" w:hAnsi="Times New Roman" w:cs="Times New Roman"/>
                </w:rPr>
                <w:tag w:val="_PLD_f626f406150145439510a3b7f1a71e39"/>
                <w:id w:val="865727297"/>
                <w:lock w:val="sdtLocked"/>
              </w:sdtPr>
              <w:sdtEndPr>
                <w:rPr>
                  <w:rFonts w:ascii="Times New Roman" w:hAnsi="Times New Roman" w:cs="Times New Roman"/>
                </w:rPr>
              </w:sdtEndPr>
              <w:sdtContent>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e96be68b278431da8715a6c739b83b7"/>
                <w:id w:val="865727298"/>
                <w:lock w:val="sdtLocked"/>
              </w:sdtPr>
              <w:sdtEndPr>
                <w:rPr>
                  <w:rFonts w:ascii="Times New Roman" w:hAnsi="Times New Roman" w:cs="Times New Roman"/>
                </w:rPr>
              </w:sdtEndPr>
              <w:sdtContent>
                <w:tc>
                  <w:tcPr>
                    <w:tcW w:w="1390"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主营业务</w:t>
                    </w:r>
                  </w:p>
                </w:tc>
              </w:sdtContent>
            </w:sdt>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136,942,958.90</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86,522,178.03</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153,902,265.81</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99,143,911.01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6bfc9b53230c4537ab9d4895c4ac21b6"/>
                <w:id w:val="865727299"/>
                <w:lock w:val="sdtLocked"/>
              </w:sdtPr>
              <w:sdtEndPr>
                <w:rPr>
                  <w:rFonts w:ascii="Times New Roman" w:hAnsi="Times New Roman" w:cs="Times New Roman"/>
                </w:rPr>
              </w:sdtEndPr>
              <w:sdtContent>
                <w:tc>
                  <w:tcPr>
                    <w:tcW w:w="1390"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Cs w:val="21"/>
                      </w:rPr>
                    </w:pPr>
                    <w:r>
                      <w:rPr>
                        <w:rFonts w:ascii="Times New Roman" w:cs="Times New Roman"/>
                        <w:szCs w:val="21"/>
                      </w:rPr>
                      <w:t>其他业务</w:t>
                    </w:r>
                  </w:p>
                </w:tc>
              </w:sdtContent>
            </w:sdt>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5,134,826.09</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4,023,889.52</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4,779,070.85</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3,944,054.92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d72589b11fca4f8e9290f2128cc382b9"/>
                <w:id w:val="865727300"/>
                <w:lock w:val="sdtLocked"/>
              </w:sdtPr>
              <w:sdtEndPr>
                <w:rPr>
                  <w:rFonts w:ascii="Times New Roman" w:hAnsi="Times New Roman" w:cs="Times New Roman"/>
                </w:rPr>
              </w:sdtEndPr>
              <w:sdtContent>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cs="Times New Roman"/>
                        <w:szCs w:val="21"/>
                      </w:rPr>
                      <w:t>合计</w:t>
                    </w:r>
                  </w:p>
                </w:tc>
              </w:sdtContent>
            </w:sdt>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142,077,784.99</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90,546,067.55</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158,681,336.66</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imes New Roman" w:hAnsi="Times New Roman" w:cs="Times New Roman"/>
                    <w:sz w:val="24"/>
                  </w:rPr>
                </w:pPr>
                <w:r>
                  <w:rPr>
                    <w:rFonts w:ascii="Times New Roman" w:hAnsi="Times New Roman" w:cs="Times New Roman"/>
                  </w:rPr>
                  <w:t>103,087,965.93</w:t>
                </w:r>
              </w:p>
            </w:tc>
          </w:tr>
        </w:tbl>
        <w:p/>
      </w:sdtContent>
    </w:sdt>
    <w:sdt>
      <w:sdtPr>
        <w:rPr>
          <w:rFonts w:hint="eastAsia" w:ascii="宋体" w:hAnsi="宋体" w:eastAsia="宋体" w:cs="宋体"/>
          <w:b w:val="0"/>
          <w:bCs w:val="0"/>
          <w:kern w:val="0"/>
          <w:szCs w:val="24"/>
        </w:rPr>
        <w:alias w:val="模块:合同产生的收入的情况"/>
        <w:tag w:val="_SEC_a0a33d96e9f9469a9966c7cb475fdfc4"/>
        <w:id w:val="865727303"/>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137"/>
            </w:numPr>
          </w:pPr>
          <w:bookmarkStart w:id="247" w:name="_Hlk533798810"/>
          <w:r>
            <w:rPr>
              <w:rFonts w:hint="eastAsia"/>
            </w:rPr>
            <w:t>合同产生的收入的情况</w:t>
          </w:r>
        </w:p>
        <w:sdt>
          <w:sdtPr>
            <w:rPr>
              <w:rFonts w:ascii="宋体" w:hAnsi="宋体"/>
              <w:szCs w:val="21"/>
            </w:rPr>
            <w:alias w:val="是否适用：母公司合同产生的收入[双击切换]"/>
            <w:tag w:val="_GBC_f459dad39f414a73aa2c0673b99e3d8b"/>
            <w:id w:val="865727302"/>
            <w:lock w:val="sdtLocked"/>
            <w:placeholder>
              <w:docPart w:val="GBC22222222222222222222222222222"/>
            </w:placeholder>
          </w:sdtPr>
          <w:sdtEndPr>
            <w:rPr>
              <w:rFonts w:ascii="宋体" w:hAnsi="宋体"/>
              <w:szCs w:val="21"/>
            </w:rPr>
          </w:sdtEndPr>
          <w:sdtContent>
            <w:p>
              <w:pPr>
                <w:pStyle w:val="55"/>
                <w:ind w:firstLine="0" w:firstLineChars="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
      </w:sdtContent>
    </w:sdt>
    <w:bookmarkEnd w:id="247"/>
    <w:sdt>
      <w:sdtPr>
        <w:rPr>
          <w:rFonts w:hint="eastAsia" w:ascii="宋体" w:hAnsi="宋体" w:eastAsia="宋体" w:cs="宋体"/>
          <w:b w:val="0"/>
          <w:bCs w:val="0"/>
          <w:kern w:val="0"/>
          <w:szCs w:val="24"/>
        </w:rPr>
        <w:alias w:val="模块:履约义务的说明"/>
        <w:tag w:val="_SEC_52d2e3e0b9aa4fa7a4925852d3c67b9d"/>
        <w:id w:val="86572730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137"/>
            </w:numPr>
          </w:pPr>
          <w:bookmarkStart w:id="248" w:name="_Hlk533798917"/>
          <w:r>
            <w:rPr>
              <w:rFonts w:hint="eastAsia"/>
            </w:rPr>
            <w:t>履约义务的说明</w:t>
          </w:r>
        </w:p>
        <w:sdt>
          <w:sdtPr>
            <w:alias w:val="是否适用：母公司履约义务的说明[双击切换]"/>
            <w:tag w:val="_GBC_2fc3f5c164844c5a8203f2c7e77870c1"/>
            <w:id w:val="86572730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48"/>
    <w:sdt>
      <w:sdtPr>
        <w:rPr>
          <w:rFonts w:hint="eastAsia" w:ascii="宋体" w:hAnsi="宋体" w:eastAsia="宋体" w:cs="宋体"/>
          <w:b w:val="0"/>
          <w:bCs w:val="0"/>
          <w:kern w:val="0"/>
          <w:szCs w:val="24"/>
        </w:rPr>
        <w:alias w:val="模块:分摊至剩余履约义务的说明"/>
        <w:tag w:val="_SEC_b803be9d61b44303b6da1e3330ef906c"/>
        <w:id w:val="865727307"/>
        <w:lock w:val="sdtLocked"/>
        <w:placeholder>
          <w:docPart w:val="GBC22222222222222222222222222222"/>
        </w:placeholder>
      </w:sdtPr>
      <w:sdtEndPr>
        <w:rPr>
          <w:rFonts w:hint="eastAsia" w:ascii="Arial" w:hAnsi="Arial" w:eastAsia="宋体" w:cs="宋体"/>
          <w:b w:val="0"/>
          <w:bCs w:val="0"/>
          <w:kern w:val="0"/>
          <w:szCs w:val="21"/>
        </w:rPr>
      </w:sdtEndPr>
      <w:sdtContent>
        <w:p>
          <w:pPr>
            <w:pStyle w:val="5"/>
            <w:numPr>
              <w:ilvl w:val="0"/>
              <w:numId w:val="137"/>
            </w:numPr>
          </w:pPr>
          <w:bookmarkStart w:id="249" w:name="_Hlk533798958"/>
          <w:r>
            <w:rPr>
              <w:rFonts w:hint="eastAsia"/>
            </w:rPr>
            <w:t>分摊至剩余履约义务的说明</w:t>
          </w:r>
        </w:p>
        <w:sdt>
          <w:sdtPr>
            <w:alias w:val="是否适用：母公司分摊至剩余履约义务的说明[双击切换]"/>
            <w:tag w:val="_GBC_7f0a9adae5ea4624a849a396f1ce90b1"/>
            <w:id w:val="865727306"/>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Arial" w:hAnsi="Arial"/>
              <w:szCs w:val="21"/>
            </w:rPr>
          </w:pPr>
        </w:p>
      </w:sdtContent>
    </w:sdt>
    <w:bookmarkEnd w:id="249"/>
    <w:sdt>
      <w:sdtPr>
        <w:rPr>
          <w:rFonts w:ascii="宋体" w:hAnsi="宋体" w:cs="宋体"/>
          <w:b w:val="0"/>
          <w:bCs w:val="0"/>
          <w:kern w:val="0"/>
          <w:szCs w:val="21"/>
        </w:rPr>
        <w:alias w:val="模块:"/>
        <w:tag w:val="_SEC_0ba2a4db50ed47afbd78e67c0a069c58"/>
        <w:id w:val="865727332"/>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132"/>
            </w:numPr>
            <w:rPr>
              <w:rFonts w:ascii="宋体" w:hAnsi="宋体"/>
              <w:szCs w:val="21"/>
            </w:rPr>
          </w:pPr>
          <w:bookmarkStart w:id="250" w:name="OLE_LINK6"/>
          <w:bookmarkStart w:id="251" w:name="_Hlk10548739"/>
          <w:bookmarkStart w:id="252" w:name="_Hlk24031063"/>
          <w:r>
            <w:rPr>
              <w:rFonts w:hint="eastAsia" w:ascii="宋体" w:hAnsi="宋体"/>
              <w:szCs w:val="21"/>
            </w:rPr>
            <w:t>投资收益</w:t>
          </w:r>
          <w:bookmarkEnd w:id="250"/>
        </w:p>
        <w:sdt>
          <w:sdtPr>
            <w:alias w:val="是否适用：母公司投资收益[双击切换]"/>
            <w:tag w:val="_GBC_c2bb46ec06e343088b38ac6340f45fb2"/>
            <w:id w:val="86572731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8657273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865727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269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507ed5c985ab48c59a18c2d57dd68c9c"/>
                <w:id w:val="865727313"/>
                <w:lock w:val="sdtLocked"/>
              </w:sdtPr>
              <w:sdtEndPr>
                <w:rPr>
                  <w:rFonts w:ascii="Times New Roman" w:hAnsi="Times New Roman" w:cs="Times New Roman"/>
                </w:rPr>
              </w:sdtEndPr>
              <w:sdtContent>
                <w:tc>
                  <w:tcPr>
                    <w:tcW w:w="2018" w:type="pct"/>
                    <w:vAlign w:val="center"/>
                  </w:tcPr>
                  <w:p>
                    <w:pPr>
                      <w:ind w:left="420" w:hanging="420"/>
                      <w:jc w:val="center"/>
                      <w:rPr>
                        <w:rFonts w:ascii="Times New Roman" w:hAnsi="Times New Roman" w:cs="Times New Roman"/>
                        <w:szCs w:val="21"/>
                      </w:rPr>
                    </w:pPr>
                    <w:bookmarkStart w:id="253" w:name="_Hlk24031106"/>
                    <w:r>
                      <w:rPr>
                        <w:rFonts w:ascii="Times New Roman" w:cs="Times New Roman"/>
                        <w:szCs w:val="21"/>
                      </w:rPr>
                      <w:t>项目</w:t>
                    </w:r>
                  </w:p>
                </w:tc>
              </w:sdtContent>
            </w:sdt>
            <w:sdt>
              <w:sdtPr>
                <w:rPr>
                  <w:rFonts w:ascii="Times New Roman" w:hAnsi="Times New Roman" w:cs="Times New Roman"/>
                </w:rPr>
                <w:tag w:val="_PLD_47187d04b5814de2ac4d8e7ab7f3dcf5"/>
                <w:id w:val="865727314"/>
                <w:lock w:val="sdtLocked"/>
              </w:sdtPr>
              <w:sdtEndPr>
                <w:rPr>
                  <w:rFonts w:ascii="Times New Roman" w:hAnsi="Times New Roman" w:cs="Times New Roman"/>
                </w:rPr>
              </w:sdtEndPr>
              <w:sdtContent>
                <w:tc>
                  <w:tcPr>
                    <w:tcW w:w="1488" w:type="pct"/>
                    <w:vAlign w:val="center"/>
                  </w:tcPr>
                  <w:p>
                    <w:pPr>
                      <w:jc w:val="center"/>
                      <w:rPr>
                        <w:rFonts w:ascii="Times New Roman" w:hAnsi="Times New Roman" w:cs="Times New Roman"/>
                        <w:szCs w:val="21"/>
                      </w:rPr>
                    </w:pPr>
                    <w:r>
                      <w:rPr>
                        <w:rFonts w:ascii="Times New Roman" w:cs="Times New Roman"/>
                        <w:szCs w:val="21"/>
                      </w:rPr>
                      <w:t>本期发生额</w:t>
                    </w:r>
                  </w:p>
                </w:tc>
              </w:sdtContent>
            </w:sdt>
            <w:sdt>
              <w:sdtPr>
                <w:rPr>
                  <w:rFonts w:ascii="Times New Roman" w:hAnsi="Times New Roman" w:cs="Times New Roman"/>
                </w:rPr>
                <w:tag w:val="_PLD_9b38c11702ff453c93beb78507ab4be2"/>
                <w:id w:val="865727315"/>
                <w:lock w:val="sdtLocked"/>
              </w:sdtPr>
              <w:sdtEndPr>
                <w:rPr>
                  <w:rFonts w:ascii="Times New Roman" w:hAnsi="Times New Roman" w:cs="Times New Roman"/>
                </w:rPr>
              </w:sdtEndPr>
              <w:sdtContent>
                <w:tc>
                  <w:tcPr>
                    <w:tcW w:w="1494" w:type="pct"/>
                    <w:vAlign w:val="center"/>
                  </w:tcPr>
                  <w:p>
                    <w:pPr>
                      <w:jc w:val="center"/>
                      <w:rPr>
                        <w:rFonts w:ascii="Times New Roman" w:hAnsi="Times New Roman" w:cs="Times New Roman"/>
                        <w:szCs w:val="21"/>
                      </w:rPr>
                    </w:pPr>
                    <w:r>
                      <w:rPr>
                        <w:rFonts w:ascii="Times New Roman" w:cs="Times New Roman"/>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8cd2c80808be48458043e409ca328206"/>
                  <w:id w:val="865727316"/>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成本法核算的长期股权投资收益</w:t>
                    </w:r>
                  </w:p>
                </w:sdtContent>
              </w:sdt>
            </w:tc>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78aae1ee78b444e907d11c241833812"/>
                <w:id w:val="865727317"/>
                <w:lock w:val="sdtLocked"/>
              </w:sdtPr>
              <w:sdtEndPr>
                <w:rPr>
                  <w:rFonts w:ascii="Times New Roman" w:hAnsi="Times New Roman" w:cs="Times New Roman"/>
                </w:rPr>
              </w:sdtEndPr>
              <w:sdtContent>
                <w:tc>
                  <w:tcPr>
                    <w:tcW w:w="2018" w:type="pct"/>
                  </w:tcPr>
                  <w:p>
                    <w:pPr>
                      <w:rPr>
                        <w:rFonts w:ascii="Times New Roman" w:hAnsi="Times New Roman" w:cs="Times New Roman"/>
                        <w:szCs w:val="21"/>
                      </w:rPr>
                    </w:pPr>
                    <w:r>
                      <w:rPr>
                        <w:rFonts w:ascii="Times New Roman" w:cs="Times New Roman"/>
                        <w:szCs w:val="21"/>
                      </w:rPr>
                      <w:t>权益法核算的长期股权投资收益</w:t>
                    </w:r>
                  </w:p>
                </w:tc>
              </w:sdtContent>
            </w:sdt>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2ac3541301b34caa9c5158401e6bfd0d"/>
                <w:id w:val="865727318"/>
                <w:lock w:val="sdtLocked"/>
              </w:sdtPr>
              <w:sdtEndPr>
                <w:rPr>
                  <w:rFonts w:ascii="Times New Roman" w:hAnsi="Times New Roman" w:cs="Times New Roman"/>
                </w:rPr>
              </w:sdtEndPr>
              <w:sdtContent>
                <w:tc>
                  <w:tcPr>
                    <w:tcW w:w="2018" w:type="pct"/>
                  </w:tcPr>
                  <w:p>
                    <w:pPr>
                      <w:rPr>
                        <w:rFonts w:ascii="Times New Roman" w:hAnsi="Times New Roman" w:cs="Times New Roman"/>
                        <w:szCs w:val="21"/>
                      </w:rPr>
                    </w:pPr>
                    <w:r>
                      <w:rPr>
                        <w:rFonts w:ascii="Times New Roman" w:cs="Times New Roman"/>
                        <w:szCs w:val="21"/>
                      </w:rPr>
                      <w:t>处置长期股权投资产生的投资收益</w:t>
                    </w:r>
                  </w:p>
                </w:tc>
              </w:sdtContent>
            </w:sdt>
            <w:tc>
              <w:tcPr>
                <w:tcW w:w="1488" w:type="pct"/>
              </w:tcPr>
              <w:p>
                <w:pPr>
                  <w:jc w:val="right"/>
                  <w:rPr>
                    <w:rFonts w:ascii="Times New Roman" w:hAnsi="Times New Roman" w:cs="Times New Roman"/>
                    <w:szCs w:val="21"/>
                  </w:rPr>
                </w:pPr>
              </w:p>
            </w:tc>
            <w:tc>
              <w:tcPr>
                <w:tcW w:w="1494" w:type="pct"/>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374e0bfdf40b4b1cb34581f2b2a66168"/>
                  <w:id w:val="865727319"/>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交易性金融资产在持有期间的投资收益</w:t>
                    </w:r>
                  </w:p>
                </w:sdtContent>
              </w:sdt>
            </w:tc>
            <w:tc>
              <w:tcPr>
                <w:tcW w:w="1488" w:type="pct"/>
                <w:vAlign w:val="center"/>
              </w:tcPr>
              <w:p>
                <w:pPr>
                  <w:jc w:val="right"/>
                  <w:rPr>
                    <w:rFonts w:ascii="Times New Roman" w:hAnsi="Times New Roman" w:cs="Times New Roman"/>
                    <w:sz w:val="24"/>
                  </w:rPr>
                </w:pPr>
                <w:r>
                  <w:rPr>
                    <w:rFonts w:ascii="Times New Roman" w:hAnsi="Times New Roman" w:cs="Times New Roman"/>
                  </w:rPr>
                  <w:t>3,583,302.99</w:t>
                </w:r>
              </w:p>
            </w:tc>
            <w:tc>
              <w:tcPr>
                <w:tcW w:w="1494" w:type="pct"/>
                <w:vAlign w:val="center"/>
              </w:tcPr>
              <w:p>
                <w:pPr>
                  <w:jc w:val="right"/>
                  <w:rPr>
                    <w:rFonts w:ascii="Times New Roman" w:hAnsi="Times New Roman" w:cs="Times New Roman"/>
                    <w:sz w:val="24"/>
                  </w:rPr>
                </w:pPr>
                <w:r>
                  <w:rPr>
                    <w:rFonts w:ascii="Times New Roman" w:hAnsi="Times New Roman" w:cs="Times New Roman"/>
                  </w:rPr>
                  <w:t>4,404,519.99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1b350f75b27b4ec1915755daf5ccab96"/>
                  <w:id w:val="865727320"/>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其他权益工具投资在持有期间取得的股利收入</w:t>
                    </w:r>
                  </w:p>
                </w:sdtContent>
              </w:sdt>
            </w:tc>
            <w:tc>
              <w:tcPr>
                <w:tcW w:w="1488" w:type="pct"/>
                <w:vAlign w:val="center"/>
              </w:tcPr>
              <w:p>
                <w:pPr>
                  <w:jc w:val="right"/>
                  <w:rPr>
                    <w:rFonts w:ascii="Times New Roman" w:hAnsi="Times New Roman" w:cs="Times New Roman"/>
                    <w:sz w:val="24"/>
                  </w:rPr>
                </w:pPr>
                <w:r>
                  <w:rPr>
                    <w:rFonts w:ascii="Times New Roman" w:hAnsi="Times New Roman" w:cs="Times New Roman"/>
                  </w:rPr>
                  <w:t>15,060,000.00</w:t>
                </w:r>
              </w:p>
            </w:tc>
            <w:tc>
              <w:tcPr>
                <w:tcW w:w="1494" w:type="pct"/>
                <w:vAlign w:val="center"/>
              </w:tcPr>
              <w:p>
                <w:pPr>
                  <w:jc w:val="right"/>
                  <w:rPr>
                    <w:rFonts w:ascii="Times New Roman" w:hAnsi="Times New Roman" w:cs="Times New Roman"/>
                    <w:sz w:val="24"/>
                  </w:rPr>
                </w:pPr>
                <w:r>
                  <w:rPr>
                    <w:rFonts w:ascii="Times New Roman" w:hAnsi="Times New Roman" w:cs="Times New Roman"/>
                  </w:rPr>
                  <w:t>14,538,560.00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631be1516e0b415d8f100eb0dcf09db0"/>
                  <w:id w:val="865727321"/>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债权投资在持有期间取得的利息收入</w:t>
                    </w:r>
                  </w:p>
                </w:sdtContent>
              </w:sdt>
            </w:tc>
            <w:tc>
              <w:tcPr>
                <w:tcW w:w="1488" w:type="pct"/>
                <w:vAlign w:val="center"/>
              </w:tcPr>
              <w:p>
                <w:pPr>
                  <w:jc w:val="right"/>
                  <w:rPr>
                    <w:rFonts w:ascii="Times New Roman" w:hAnsi="Times New Roman" w:cs="Times New Roman"/>
                    <w:sz w:val="24"/>
                  </w:rPr>
                </w:pPr>
              </w:p>
            </w:tc>
            <w:tc>
              <w:tcPr>
                <w:tcW w:w="1494" w:type="pct"/>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ee3b83cd3a7249b686afc560545ae359"/>
                  <w:id w:val="865727322"/>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其他债权投资在持有期间取得的利息收入</w:t>
                    </w:r>
                  </w:p>
                </w:sdtContent>
              </w:sdt>
            </w:tc>
            <w:tc>
              <w:tcPr>
                <w:tcW w:w="1488" w:type="pct"/>
                <w:vAlign w:val="center"/>
              </w:tcPr>
              <w:p>
                <w:pPr>
                  <w:jc w:val="right"/>
                  <w:rPr>
                    <w:rFonts w:ascii="Times New Roman" w:hAnsi="Times New Roman" w:cs="Times New Roman"/>
                    <w:szCs w:val="21"/>
                  </w:rPr>
                </w:pPr>
              </w:p>
            </w:tc>
            <w:tc>
              <w:tcPr>
                <w:tcW w:w="1494"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758e14bdd66344efaa98853500ab9b1b"/>
                  <w:id w:val="865727323"/>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处置交易性金融资产取得的投资收益</w:t>
                    </w:r>
                  </w:p>
                </w:sdtContent>
              </w:sdt>
            </w:tc>
            <w:tc>
              <w:tcPr>
                <w:tcW w:w="1488" w:type="pct"/>
                <w:vAlign w:val="center"/>
              </w:tcPr>
              <w:p>
                <w:pPr>
                  <w:jc w:val="right"/>
                  <w:rPr>
                    <w:rFonts w:ascii="Times New Roman" w:hAnsi="Times New Roman" w:cs="Times New Roman"/>
                    <w:szCs w:val="21"/>
                  </w:rPr>
                </w:pPr>
              </w:p>
            </w:tc>
            <w:tc>
              <w:tcPr>
                <w:tcW w:w="1494"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58142a07ed7f48d08e7ca9c34b6953c0"/>
                  <w:id w:val="865727324"/>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处置其他权益工具投资取得的投资收益</w:t>
                    </w:r>
                  </w:p>
                </w:sdtContent>
              </w:sdt>
            </w:tc>
            <w:tc>
              <w:tcPr>
                <w:tcW w:w="1488" w:type="pct"/>
                <w:vAlign w:val="center"/>
              </w:tcPr>
              <w:p>
                <w:pPr>
                  <w:jc w:val="right"/>
                  <w:rPr>
                    <w:rFonts w:ascii="Times New Roman" w:hAnsi="Times New Roman" w:cs="Times New Roman"/>
                    <w:sz w:val="24"/>
                  </w:rPr>
                </w:pPr>
              </w:p>
            </w:tc>
            <w:tc>
              <w:tcPr>
                <w:tcW w:w="1494" w:type="pct"/>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dd85e904694c430990d653da7e3d92c5"/>
                  <w:id w:val="865727325"/>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处置债权投资取得的投资收益</w:t>
                    </w:r>
                  </w:p>
                </w:sdtContent>
              </w:sdt>
            </w:tc>
            <w:tc>
              <w:tcPr>
                <w:tcW w:w="1488" w:type="pct"/>
                <w:vAlign w:val="center"/>
              </w:tcPr>
              <w:p>
                <w:pPr>
                  <w:jc w:val="right"/>
                  <w:rPr>
                    <w:rFonts w:ascii="Times New Roman" w:hAnsi="Times New Roman" w:cs="Times New Roman"/>
                    <w:szCs w:val="21"/>
                  </w:rPr>
                </w:pPr>
              </w:p>
            </w:tc>
            <w:tc>
              <w:tcPr>
                <w:tcW w:w="1494"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cabbb65cd6154c50a0174edd2786682c"/>
                  <w:id w:val="865727326"/>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处置其他债权投资取得的投资收益</w:t>
                    </w:r>
                  </w:p>
                </w:sdtContent>
              </w:sdt>
            </w:tc>
            <w:tc>
              <w:tcPr>
                <w:tcW w:w="1488" w:type="pct"/>
                <w:vAlign w:val="center"/>
              </w:tcPr>
              <w:p>
                <w:pPr>
                  <w:jc w:val="right"/>
                  <w:rPr>
                    <w:rFonts w:ascii="Times New Roman" w:hAnsi="Times New Roman" w:cs="Times New Roman"/>
                    <w:szCs w:val="21"/>
                  </w:rPr>
                </w:pPr>
              </w:p>
            </w:tc>
            <w:tc>
              <w:tcPr>
                <w:tcW w:w="1494" w:type="pct"/>
                <w:vAlign w:val="center"/>
              </w:tcPr>
              <w:p>
                <w:pPr>
                  <w:jc w:val="righ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ascii="Times New Roman" w:hAnsi="Times New Roman" w:cs="Times New Roman"/>
                  </w:rPr>
                  <w:tag w:val="_PLD_ebfd5e63b1a34f1ea8395cc25654112a"/>
                  <w:id w:val="865727327"/>
                  <w:lock w:val="sdtLocked"/>
                </w:sdtPr>
                <w:sdtEndPr>
                  <w:rPr>
                    <w:rFonts w:ascii="Times New Roman" w:hAnsi="Times New Roman" w:cs="Times New Roman"/>
                  </w:rPr>
                </w:sdtEndPr>
                <w:sdtContent>
                  <w:p>
                    <w:pPr>
                      <w:rPr>
                        <w:rFonts w:ascii="Times New Roman" w:hAnsi="Times New Roman" w:cs="Times New Roman"/>
                      </w:rPr>
                    </w:pPr>
                    <w:r>
                      <w:rPr>
                        <w:rFonts w:ascii="Times New Roman" w:cs="Times New Roman"/>
                      </w:rPr>
                      <w:t>债务重组收益</w:t>
                    </w:r>
                  </w:p>
                </w:sdtContent>
              </w:sdt>
            </w:tc>
            <w:tc>
              <w:tcPr>
                <w:tcW w:w="1488" w:type="pct"/>
                <w:vAlign w:val="center"/>
              </w:tcPr>
              <w:p>
                <w:pPr>
                  <w:jc w:val="right"/>
                  <w:rPr>
                    <w:rFonts w:ascii="Times New Roman" w:hAnsi="Times New Roman" w:cs="Times New Roman"/>
                    <w:szCs w:val="21"/>
                  </w:rPr>
                </w:pPr>
              </w:p>
            </w:tc>
            <w:tc>
              <w:tcPr>
                <w:tcW w:w="1494" w:type="pct"/>
                <w:vAlign w:val="center"/>
              </w:tcPr>
              <w:p>
                <w:pPr>
                  <w:jc w:val="right"/>
                  <w:rPr>
                    <w:rFonts w:ascii="Times New Roman" w:hAnsi="Times New Roman" w:cs="Times New Roman"/>
                    <w:szCs w:val="21"/>
                  </w:rPr>
                </w:pPr>
              </w:p>
            </w:tc>
          </w:tr>
          <w:sdt>
            <w:sdtPr>
              <w:rPr>
                <w:rFonts w:ascii="Times New Roman" w:hAnsi="Times New Roman" w:cs="Times New Roman"/>
              </w:rPr>
              <w:alias w:val="其他投资收益"/>
              <w:tag w:val="_TUP_849f8ed615824ea6ad71133c2be222bf"/>
              <w:id w:val="865727328"/>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Times New Roman" w:hAnsi="Times New Roman" w:cs="Times New Roman"/>
                      </w:rPr>
                    </w:pPr>
                  </w:p>
                </w:tc>
                <w:tc>
                  <w:tcPr>
                    <w:tcW w:w="1488" w:type="pct"/>
                    <w:vAlign w:val="center"/>
                  </w:tcPr>
                  <w:p>
                    <w:pPr>
                      <w:jc w:val="right"/>
                      <w:rPr>
                        <w:rFonts w:ascii="Times New Roman" w:hAnsi="Times New Roman" w:cs="Times New Roman"/>
                        <w:szCs w:val="21"/>
                      </w:rPr>
                    </w:pPr>
                  </w:p>
                </w:tc>
                <w:tc>
                  <w:tcPr>
                    <w:tcW w:w="1494" w:type="pct"/>
                    <w:vAlign w:val="center"/>
                  </w:tcPr>
                  <w:p>
                    <w:pPr>
                      <w:jc w:val="right"/>
                      <w:rPr>
                        <w:rFonts w:ascii="Times New Roman" w:hAnsi="Times New Roman" w:cs="Times New Roman"/>
                        <w:szCs w:val="21"/>
                      </w:rPr>
                    </w:pPr>
                  </w:p>
                </w:tc>
              </w:tr>
            </w:sdtContent>
          </w:sdt>
          <w:sdt>
            <w:sdtPr>
              <w:rPr>
                <w:rFonts w:ascii="Times New Roman" w:hAnsi="Times New Roman" w:cs="Times New Roman"/>
              </w:rPr>
              <w:alias w:val="其他投资收益"/>
              <w:tag w:val="_TUP_849f8ed615824ea6ad71133c2be222bf"/>
              <w:id w:val="865727329"/>
              <w:lock w:val="sdtLocked"/>
            </w:sdtPr>
            <w:sdtEndPr>
              <w:rPr>
                <w:rFonts w:ascii="Times New Roman" w:hAnsi="Times New Roman" w:cs="Times New Roman"/>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Times New Roman" w:hAnsi="Times New Roman" w:cs="Times New Roman"/>
                      </w:rPr>
                    </w:pPr>
                  </w:p>
                </w:tc>
                <w:tc>
                  <w:tcPr>
                    <w:tcW w:w="1488" w:type="pct"/>
                    <w:vAlign w:val="center"/>
                  </w:tcPr>
                  <w:p>
                    <w:pPr>
                      <w:jc w:val="right"/>
                      <w:rPr>
                        <w:rFonts w:ascii="Times New Roman" w:hAnsi="Times New Roman" w:cs="Times New Roman"/>
                        <w:szCs w:val="21"/>
                      </w:rPr>
                    </w:pPr>
                  </w:p>
                </w:tc>
                <w:tc>
                  <w:tcPr>
                    <w:tcW w:w="1494" w:type="pct"/>
                    <w:vAlign w:val="center"/>
                  </w:tcPr>
                  <w:p>
                    <w:pPr>
                      <w:jc w:val="right"/>
                      <w:rPr>
                        <w:rFonts w:ascii="Times New Roman" w:hAnsi="Times New Roman" w:cs="Times New Roman"/>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e7e132d296704c1e97e8e07a1418d74b"/>
                <w:id w:val="865727330"/>
                <w:lock w:val="sdtLocked"/>
              </w:sdtPr>
              <w:sdtEndPr>
                <w:rPr>
                  <w:rFonts w:ascii="Times New Roman" w:hAnsi="Times New Roman" w:cs="Times New Roman"/>
                </w:rPr>
              </w:sdtEndPr>
              <w:sdtContent>
                <w:tc>
                  <w:tcPr>
                    <w:tcW w:w="2018" w:type="pct"/>
                    <w:vAlign w:val="center"/>
                  </w:tcPr>
                  <w:p>
                    <w:pPr>
                      <w:jc w:val="center"/>
                      <w:rPr>
                        <w:rFonts w:ascii="Times New Roman" w:hAnsi="Times New Roman" w:cs="Times New Roman"/>
                        <w:szCs w:val="21"/>
                      </w:rPr>
                    </w:pPr>
                    <w:r>
                      <w:rPr>
                        <w:rFonts w:ascii="Times New Roman" w:cs="Times New Roman"/>
                        <w:szCs w:val="21"/>
                      </w:rPr>
                      <w:t>合计</w:t>
                    </w:r>
                  </w:p>
                </w:tc>
              </w:sdtContent>
            </w:sdt>
            <w:tc>
              <w:tcPr>
                <w:tcW w:w="1488" w:type="pct"/>
                <w:vAlign w:val="center"/>
              </w:tcPr>
              <w:p>
                <w:pPr>
                  <w:jc w:val="right"/>
                  <w:rPr>
                    <w:rFonts w:ascii="Times New Roman" w:hAnsi="Times New Roman" w:cs="Times New Roman"/>
                    <w:sz w:val="24"/>
                  </w:rPr>
                </w:pPr>
                <w:r>
                  <w:rPr>
                    <w:rFonts w:ascii="Times New Roman" w:hAnsi="Times New Roman" w:cs="Times New Roman"/>
                  </w:rPr>
                  <w:t>18,643,302.99</w:t>
                </w:r>
              </w:p>
            </w:tc>
            <w:tc>
              <w:tcPr>
                <w:tcW w:w="1494" w:type="pct"/>
                <w:vAlign w:val="center"/>
              </w:tcPr>
              <w:p>
                <w:pPr>
                  <w:jc w:val="right"/>
                  <w:rPr>
                    <w:rFonts w:ascii="Times New Roman" w:hAnsi="Times New Roman" w:cs="Times New Roman"/>
                    <w:sz w:val="24"/>
                  </w:rPr>
                </w:pPr>
                <w:r>
                  <w:rPr>
                    <w:rFonts w:ascii="Times New Roman" w:hAnsi="Times New Roman" w:cs="Times New Roman"/>
                  </w:rPr>
                  <w:t>18,943,079.99</w:t>
                </w:r>
              </w:p>
            </w:tc>
          </w:tr>
          <w:bookmarkEnd w:id="251"/>
          <w:bookmarkEnd w:id="253"/>
        </w:tbl>
        <w:p>
          <w:pPr>
            <w:spacing w:line="360" w:lineRule="exact"/>
            <w:rPr>
              <w:szCs w:val="21"/>
            </w:rPr>
          </w:pPr>
          <w:bookmarkStart w:id="254" w:name="_Hlk10720480"/>
        </w:p>
        <w:p>
          <w:pPr>
            <w:pStyle w:val="4"/>
            <w:keepNext w:val="0"/>
            <w:keepLines w:val="0"/>
            <w:tabs>
              <w:tab w:val="left" w:pos="504"/>
            </w:tabs>
            <w:spacing w:before="0" w:after="0" w:line="480" w:lineRule="exact"/>
            <w:rPr>
              <w:rFonts w:asciiTheme="minorEastAsia" w:hAnsiTheme="minorEastAsia" w:eastAsiaTheme="minorEastAsia"/>
              <w:b w:val="0"/>
              <w:bCs w:val="0"/>
              <w:color w:val="000000"/>
              <w:sz w:val="24"/>
              <w:szCs w:val="24"/>
            </w:rPr>
          </w:pPr>
          <w:r>
            <w:rPr>
              <w:rFonts w:hint="eastAsia" w:asciiTheme="minorEastAsia" w:hAnsiTheme="minorEastAsia" w:eastAsiaTheme="minorEastAsia"/>
              <w:b w:val="0"/>
              <w:bCs w:val="0"/>
              <w:color w:val="000000"/>
              <w:sz w:val="24"/>
              <w:szCs w:val="24"/>
            </w:rPr>
            <w:t>交易性金融资产持有期间的投资收益</w:t>
          </w:r>
        </w:p>
        <w:tbl>
          <w:tblPr>
            <w:tblStyle w:val="107"/>
            <w:tblW w:w="5000"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884"/>
            <w:gridCol w:w="316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3251" w:type="pct"/>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项目</w:t>
                </w:r>
              </w:p>
            </w:tc>
            <w:tc>
              <w:tcPr>
                <w:tcW w:w="1749" w:type="pct"/>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widowControl w:val="0"/>
                  <w:tabs>
                    <w:tab w:val="left" w:pos="196"/>
                    <w:tab w:val="left" w:pos="426"/>
                  </w:tabs>
                  <w:snapToGrid w:val="0"/>
                  <w:spacing w:line="480" w:lineRule="exact"/>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交通银行</w:t>
                </w:r>
                <w:r>
                  <w:rPr>
                    <w:rFonts w:ascii="Times New Roman" w:hAnsi="Times New Roman" w:cs="Times New Roman" w:eastAsiaTheme="minorEastAsia"/>
                    <w:sz w:val="18"/>
                    <w:szCs w:val="18"/>
                  </w:rPr>
                  <w:t>A</w:t>
                </w:r>
                <w:r>
                  <w:rPr>
                    <w:rFonts w:ascii="Times New Roman" w:cs="Times New Roman" w:hAnsiTheme="minorEastAsia" w:eastAsiaTheme="minorEastAsia"/>
                    <w:sz w:val="18"/>
                    <w:szCs w:val="18"/>
                  </w:rPr>
                  <w:t>股红利</w:t>
                </w:r>
              </w:p>
            </w:tc>
            <w:tc>
              <w:tcPr>
                <w:tcW w:w="1749" w:type="pct"/>
                <w:shd w:val="clear" w:color="auto" w:fill="auto"/>
                <w:vAlign w:val="bottom"/>
              </w:tcPr>
              <w:p>
                <w:pPr>
                  <w:spacing w:line="480" w:lineRule="exact"/>
                  <w:jc w:val="right"/>
                  <w:rPr>
                    <w:rFonts w:ascii="Times New Roman" w:hAnsi="Times New Roman" w:cs="Times New Roman" w:eastAsiaTheme="minorEastAsia"/>
                    <w:snapToGrid w:val="0"/>
                    <w:sz w:val="18"/>
                    <w:szCs w:val="18"/>
                  </w:rPr>
                </w:pPr>
                <w:r>
                  <w:rPr>
                    <w:rFonts w:ascii="Times New Roman" w:hAnsi="Times New Roman" w:cs="Times New Roman" w:eastAsiaTheme="minorEastAsia"/>
                    <w:snapToGrid w:val="0"/>
                    <w:sz w:val="18"/>
                    <w:szCs w:val="18"/>
                  </w:rPr>
                  <w:t>16,341.67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widowControl w:val="0"/>
                  <w:tabs>
                    <w:tab w:val="left" w:pos="196"/>
                    <w:tab w:val="left" w:pos="426"/>
                  </w:tabs>
                  <w:snapToGrid w:val="0"/>
                  <w:spacing w:line="480" w:lineRule="exact"/>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中信证券</w:t>
                </w:r>
                <w:r>
                  <w:rPr>
                    <w:rFonts w:ascii="Times New Roman" w:hAnsi="Times New Roman" w:cs="Times New Roman" w:eastAsiaTheme="minorEastAsia"/>
                    <w:sz w:val="18"/>
                    <w:szCs w:val="18"/>
                  </w:rPr>
                  <w:t>A</w:t>
                </w:r>
                <w:r>
                  <w:rPr>
                    <w:rFonts w:ascii="Times New Roman" w:cs="Times New Roman" w:hAnsiTheme="minorEastAsia" w:eastAsiaTheme="minorEastAsia"/>
                    <w:sz w:val="18"/>
                    <w:szCs w:val="18"/>
                  </w:rPr>
                  <w:t>股红利</w:t>
                </w:r>
              </w:p>
            </w:tc>
            <w:tc>
              <w:tcPr>
                <w:tcW w:w="1749" w:type="pct"/>
                <w:shd w:val="clear" w:color="auto" w:fill="auto"/>
                <w:vAlign w:val="bottom"/>
              </w:tcPr>
              <w:p>
                <w:pPr>
                  <w:spacing w:line="480" w:lineRule="exact"/>
                  <w:jc w:val="right"/>
                  <w:rPr>
                    <w:rFonts w:ascii="Times New Roman" w:hAnsi="Times New Roman" w:cs="Times New Roman" w:eastAsiaTheme="minorEastAsia"/>
                    <w:snapToGrid w:val="0"/>
                    <w:sz w:val="18"/>
                    <w:szCs w:val="18"/>
                  </w:rPr>
                </w:pPr>
                <w:r>
                  <w:rPr>
                    <w:rFonts w:ascii="Times New Roman" w:hAnsi="Times New Roman" w:cs="Times New Roman" w:eastAsiaTheme="minorEastAsia"/>
                    <w:snapToGrid w:val="0"/>
                    <w:sz w:val="18"/>
                    <w:szCs w:val="18"/>
                  </w:rPr>
                  <w:t>3,463,920.00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widowControl w:val="0"/>
                  <w:tabs>
                    <w:tab w:val="left" w:pos="196"/>
                    <w:tab w:val="left" w:pos="426"/>
                  </w:tabs>
                  <w:snapToGrid w:val="0"/>
                  <w:spacing w:line="480" w:lineRule="exact"/>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基金收益</w:t>
                </w:r>
              </w:p>
            </w:tc>
            <w:tc>
              <w:tcPr>
                <w:tcW w:w="1749" w:type="pct"/>
                <w:shd w:val="clear" w:color="auto" w:fill="auto"/>
                <w:vAlign w:val="bottom"/>
              </w:tcPr>
              <w:p>
                <w:pPr>
                  <w:spacing w:line="480" w:lineRule="exact"/>
                  <w:jc w:val="right"/>
                  <w:rPr>
                    <w:rFonts w:ascii="Times New Roman" w:hAnsi="Times New Roman" w:cs="Times New Roman" w:eastAsiaTheme="minorEastAsia"/>
                    <w:snapToGrid w:val="0"/>
                    <w:sz w:val="18"/>
                    <w:szCs w:val="18"/>
                  </w:rPr>
                </w:pPr>
                <w:r>
                  <w:rPr>
                    <w:rFonts w:ascii="Times New Roman" w:hAnsi="Times New Roman" w:cs="Times New Roman" w:eastAsiaTheme="minorEastAsia"/>
                    <w:snapToGrid w:val="0"/>
                    <w:sz w:val="18"/>
                    <w:szCs w:val="18"/>
                  </w:rPr>
                  <w:t>103,041.32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251" w:type="pct"/>
                <w:shd w:val="clear" w:color="auto" w:fill="auto"/>
                <w:vAlign w:val="center"/>
              </w:tcPr>
              <w:p>
                <w:pPr>
                  <w:widowControl w:val="0"/>
                  <w:tabs>
                    <w:tab w:val="left" w:pos="196"/>
                    <w:tab w:val="left" w:pos="426"/>
                  </w:tabs>
                  <w:snapToGrid w:val="0"/>
                  <w:spacing w:line="480" w:lineRule="exact"/>
                  <w:jc w:val="center"/>
                  <w:rPr>
                    <w:rFonts w:ascii="Times New Roman" w:hAnsi="Times New Roman" w:cs="Times New Roman" w:eastAsiaTheme="minorEastAsia"/>
                    <w:sz w:val="18"/>
                    <w:szCs w:val="18"/>
                  </w:rPr>
                </w:pPr>
                <w:r>
                  <w:rPr>
                    <w:rFonts w:ascii="Times New Roman" w:cs="Times New Roman" w:hAnsiTheme="minorEastAsia" w:eastAsiaTheme="minorEastAsia"/>
                    <w:sz w:val="18"/>
                    <w:szCs w:val="18"/>
                  </w:rPr>
                  <w:t>合计</w:t>
                </w:r>
              </w:p>
            </w:tc>
            <w:tc>
              <w:tcPr>
                <w:tcW w:w="1749" w:type="pct"/>
                <w:shd w:val="clear" w:color="auto" w:fill="auto"/>
                <w:vAlign w:val="bottom"/>
              </w:tcPr>
              <w:p>
                <w:pPr>
                  <w:spacing w:line="480" w:lineRule="exact"/>
                  <w:jc w:val="right"/>
                  <w:rPr>
                    <w:rFonts w:ascii="Times New Roman" w:hAnsi="Times New Roman" w:cs="Times New Roman" w:eastAsiaTheme="minorEastAsia"/>
                    <w:snapToGrid w:val="0"/>
                    <w:sz w:val="18"/>
                    <w:szCs w:val="18"/>
                  </w:rPr>
                </w:pPr>
                <w:r>
                  <w:rPr>
                    <w:rFonts w:ascii="Times New Roman" w:hAnsi="Times New Roman" w:cs="Times New Roman" w:eastAsiaTheme="minorEastAsia"/>
                    <w:snapToGrid w:val="0"/>
                    <w:sz w:val="18"/>
                    <w:szCs w:val="18"/>
                  </w:rPr>
                  <w:t>3,583,302.99</w:t>
                </w:r>
              </w:p>
            </w:tc>
          </w:tr>
        </w:tbl>
        <w:p>
          <w:pPr>
            <w:pStyle w:val="4"/>
            <w:keepNext w:val="0"/>
            <w:keepLines w:val="0"/>
            <w:tabs>
              <w:tab w:val="left" w:pos="504"/>
            </w:tabs>
            <w:spacing w:before="0" w:after="0" w:line="480" w:lineRule="exact"/>
            <w:rPr>
              <w:rFonts w:asciiTheme="minorEastAsia" w:hAnsiTheme="minorEastAsia" w:eastAsiaTheme="minorEastAsia"/>
              <w:b w:val="0"/>
              <w:bCs w:val="0"/>
              <w:color w:val="000000"/>
              <w:sz w:val="24"/>
              <w:szCs w:val="24"/>
            </w:rPr>
          </w:pPr>
          <w:r>
            <w:rPr>
              <w:rFonts w:hint="eastAsia" w:asciiTheme="minorEastAsia" w:hAnsiTheme="minorEastAsia" w:eastAsiaTheme="minorEastAsia"/>
              <w:b w:val="0"/>
              <w:bCs w:val="0"/>
              <w:color w:val="000000"/>
              <w:sz w:val="24"/>
              <w:szCs w:val="24"/>
            </w:rPr>
            <w:t>其他权益工具投资持有期间的股利收入</w:t>
          </w:r>
        </w:p>
        <w:tbl>
          <w:tblPr>
            <w:tblStyle w:val="107"/>
            <w:tblW w:w="5000"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638"/>
            <w:gridCol w:w="341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jc w:val="center"/>
            </w:trPr>
            <w:tc>
              <w:tcPr>
                <w:tcW w:w="3115"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项目</w:t>
                </w:r>
              </w:p>
            </w:tc>
            <w:tc>
              <w:tcPr>
                <w:tcW w:w="1885" w:type="pct"/>
                <w:shd w:val="clear" w:color="auto" w:fill="auto"/>
                <w:vAlign w:val="center"/>
              </w:tcPr>
              <w:p>
                <w:pPr>
                  <w:widowControl w:val="0"/>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本期发生额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bottom"/>
              </w:tcPr>
              <w:p>
                <w:pPr>
                  <w:spacing w:line="480" w:lineRule="exact"/>
                  <w:rPr>
                    <w:rFonts w:ascii="Times New Roman" w:hAnsi="Times New Roman" w:cs="Times New Roman"/>
                    <w:color w:val="000000"/>
                    <w:sz w:val="18"/>
                    <w:szCs w:val="18"/>
                  </w:rPr>
                </w:pPr>
                <w:r>
                  <w:rPr>
                    <w:rFonts w:ascii="Times New Roman" w:cs="Times New Roman"/>
                    <w:color w:val="000000"/>
                    <w:sz w:val="18"/>
                    <w:szCs w:val="18"/>
                  </w:rPr>
                  <w:t>广西北部湾银行股份有限公司</w:t>
                </w:r>
              </w:p>
            </w:tc>
            <w:tc>
              <w:tcPr>
                <w:tcW w:w="1885" w:type="pct"/>
                <w:shd w:val="clear" w:color="auto" w:fill="auto"/>
                <w:vAlign w:val="bottom"/>
              </w:tcPr>
              <w:p>
                <w:pPr>
                  <w:spacing w:line="480" w:lineRule="exact"/>
                  <w:jc w:val="right"/>
                  <w:rPr>
                    <w:rFonts w:ascii="Times New Roman" w:hAnsi="Times New Roman" w:cs="Times New Roman" w:eastAsiaTheme="minorEastAsia"/>
                    <w:snapToGrid w:val="0"/>
                    <w:sz w:val="18"/>
                    <w:szCs w:val="18"/>
                  </w:rPr>
                </w:pPr>
                <w:r>
                  <w:rPr>
                    <w:rFonts w:ascii="Times New Roman" w:hAnsi="Times New Roman" w:cs="Times New Roman" w:eastAsiaTheme="minorEastAsia"/>
                    <w:snapToGrid w:val="0"/>
                    <w:sz w:val="18"/>
                    <w:szCs w:val="18"/>
                  </w:rPr>
                  <w:t>13,860,000.00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bottom"/>
              </w:tcPr>
              <w:p>
                <w:pPr>
                  <w:spacing w:line="480" w:lineRule="exact"/>
                  <w:rPr>
                    <w:rFonts w:ascii="Times New Roman" w:hAnsi="Times New Roman" w:cs="Times New Roman"/>
                    <w:color w:val="000000"/>
                    <w:sz w:val="18"/>
                    <w:szCs w:val="18"/>
                  </w:rPr>
                </w:pPr>
                <w:r>
                  <w:rPr>
                    <w:rFonts w:ascii="Times New Roman" w:cs="Times New Roman"/>
                    <w:color w:val="000000"/>
                    <w:sz w:val="18"/>
                    <w:szCs w:val="18"/>
                  </w:rPr>
                  <w:t>柳州银行股份有限公司</w:t>
                </w:r>
              </w:p>
            </w:tc>
            <w:tc>
              <w:tcPr>
                <w:tcW w:w="1885" w:type="pct"/>
                <w:shd w:val="clear" w:color="auto" w:fill="auto"/>
                <w:vAlign w:val="bottom"/>
              </w:tcPr>
              <w:p>
                <w:pPr>
                  <w:spacing w:line="480" w:lineRule="exact"/>
                  <w:jc w:val="right"/>
                  <w:rPr>
                    <w:rFonts w:ascii="Times New Roman" w:hAnsi="Times New Roman" w:cs="Times New Roman" w:eastAsiaTheme="minorEastAsia"/>
                    <w:snapToGrid w:val="0"/>
                    <w:sz w:val="18"/>
                    <w:szCs w:val="18"/>
                  </w:rPr>
                </w:pPr>
                <w:r>
                  <w:rPr>
                    <w:rFonts w:ascii="Times New Roman" w:hAnsi="Times New Roman" w:cs="Times New Roman" w:eastAsiaTheme="minorEastAsia"/>
                    <w:snapToGrid w:val="0"/>
                    <w:sz w:val="18"/>
                    <w:szCs w:val="18"/>
                  </w:rPr>
                  <w:t>1,200,000.00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15" w:type="pct"/>
                <w:shd w:val="clear" w:color="auto" w:fill="auto"/>
                <w:vAlign w:val="bottom"/>
              </w:tcPr>
              <w:p>
                <w:pPr>
                  <w:spacing w:line="480" w:lineRule="exact"/>
                  <w:jc w:val="center"/>
                  <w:rPr>
                    <w:rFonts w:ascii="Times New Roman" w:hAnsi="Times New Roman" w:cs="Times New Roman"/>
                    <w:color w:val="000000"/>
                    <w:sz w:val="18"/>
                    <w:szCs w:val="18"/>
                  </w:rPr>
                </w:pPr>
                <w:r>
                  <w:rPr>
                    <w:rFonts w:ascii="Times New Roman" w:cs="Times New Roman"/>
                    <w:color w:val="000000"/>
                    <w:sz w:val="18"/>
                    <w:szCs w:val="18"/>
                  </w:rPr>
                  <w:t>合计</w:t>
                </w:r>
              </w:p>
            </w:tc>
            <w:tc>
              <w:tcPr>
                <w:tcW w:w="1885" w:type="pct"/>
                <w:shd w:val="clear" w:color="auto" w:fill="auto"/>
                <w:vAlign w:val="bottom"/>
              </w:tcPr>
              <w:p>
                <w:pPr>
                  <w:spacing w:line="480" w:lineRule="exact"/>
                  <w:jc w:val="right"/>
                  <w:rPr>
                    <w:rFonts w:ascii="Times New Roman" w:hAnsi="Times New Roman" w:cs="Times New Roman" w:eastAsiaTheme="minorEastAsia"/>
                    <w:snapToGrid w:val="0"/>
                    <w:sz w:val="18"/>
                    <w:szCs w:val="18"/>
                  </w:rPr>
                </w:pPr>
                <w:r>
                  <w:rPr>
                    <w:rFonts w:ascii="Times New Roman" w:hAnsi="Times New Roman" w:cs="Times New Roman" w:eastAsiaTheme="minorEastAsia"/>
                    <w:snapToGrid w:val="0"/>
                    <w:sz w:val="18"/>
                    <w:szCs w:val="18"/>
                  </w:rPr>
                  <w:t>15,060,000.00</w:t>
                </w:r>
              </w:p>
            </w:tc>
          </w:tr>
        </w:tbl>
        <w:p>
          <w:pPr>
            <w:spacing w:line="360" w:lineRule="exact"/>
            <w:rPr>
              <w:szCs w:val="21"/>
            </w:rPr>
          </w:pPr>
        </w:p>
        <w:p>
          <w:pPr>
            <w:rPr>
              <w:szCs w:val="21"/>
            </w:rPr>
          </w:pPr>
        </w:p>
      </w:sdtContent>
    </w:sdt>
    <w:bookmarkEnd w:id="252"/>
    <w:bookmarkEnd w:id="254"/>
    <w:p>
      <w:pPr>
        <w:rPr>
          <w:szCs w:val="21"/>
        </w:rPr>
      </w:pPr>
    </w:p>
    <w:sdt>
      <w:sdtPr>
        <w:rPr>
          <w:rFonts w:hint="eastAsia" w:ascii="宋体" w:hAnsi="宋体" w:cs="宋体"/>
          <w:b w:val="0"/>
          <w:bCs w:val="0"/>
          <w:kern w:val="0"/>
          <w:szCs w:val="21"/>
        </w:rPr>
        <w:alias w:val="模块:母公司会计报表附注的其他说明事项"/>
        <w:tag w:val="_SEC_f254d1d0764b4d7ab6b701d7ac057625"/>
        <w:id w:val="86572733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132"/>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86572733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ind w:right="-1594" w:rightChars="-759"/>
        <w:rPr>
          <w:szCs w:val="21"/>
        </w:rPr>
      </w:pPr>
    </w:p>
    <w:p>
      <w:pPr>
        <w:pStyle w:val="3"/>
        <w:numPr>
          <w:ilvl w:val="0"/>
          <w:numId w:val="54"/>
        </w:numPr>
        <w:rPr>
          <w:rFonts w:ascii="宋体" w:hAnsi="宋体"/>
        </w:rPr>
      </w:pPr>
      <w:r>
        <w:rPr>
          <w:rFonts w:hint="eastAsia" w:ascii="宋体" w:hAnsi="宋体"/>
        </w:rPr>
        <w:t>补充资料</w:t>
      </w:r>
    </w:p>
    <w:sdt>
      <w:sdtPr>
        <w:rPr>
          <w:rFonts w:hint="eastAsia" w:ascii="宋体" w:hAnsi="宋体" w:cs="宋体"/>
          <w:b w:val="0"/>
          <w:bCs w:val="0"/>
          <w:kern w:val="0"/>
          <w:szCs w:val="21"/>
        </w:rPr>
        <w:alias w:val="模块:当期非经常性损益明细"/>
        <w:tag w:val="_GBC_08eb8d7076584daebd23121ab43f25e0"/>
        <w:id w:val="865727413"/>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138"/>
            </w:numPr>
            <w:rPr>
              <w:rFonts w:ascii="宋体" w:hAnsi="宋体"/>
              <w:szCs w:val="21"/>
            </w:rPr>
          </w:pPr>
          <w:r>
            <w:rPr>
              <w:rFonts w:hint="eastAsia" w:ascii="宋体" w:hAnsi="宋体"/>
              <w:szCs w:val="21"/>
            </w:rPr>
            <w:t>当期非经常性损益明细表</w:t>
          </w:r>
        </w:p>
        <w:sdt>
          <w:sdtPr>
            <w:rPr>
              <w:rFonts w:hint="eastAsia"/>
              <w:szCs w:val="21"/>
            </w:rPr>
            <w:alias w:val="是否适用：当期非经常性损益明细表[双击切换]"/>
            <w:tag w:val="_GBC_53fa4135e87442d59ce21ca91ff749e7"/>
            <w:id w:val="86572733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扣除非经常性损益项目和金额"/>
              <w:tag w:val="_GBC_5c7a78a144ce4f78943f6ba4db018dd1"/>
              <w:id w:val="865727336"/>
              <w:lock w:val="sdtLocked"/>
              <w:placeholder>
                <w:docPart w:val="GBC22222222222222222222222222222"/>
              </w:placeholder>
              <w15: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lang w:eastAsia="zh-CN"/>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865727337"/>
              <w:lock w:val="sdtLocked"/>
              <w:placeholder>
                <w:docPart w:val="GBC22222222222222222222222222222"/>
              </w:placeholder>
              <w15: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lang w:eastAsia="zh-CN"/>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8"/>
            <w:gridCol w:w="2490"/>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836bed4dfd441e8a48a625518a8f5f"/>
                <w:id w:val="865727338"/>
                <w:lock w:val="sdtLocked"/>
              </w:sdtPr>
              <w:sdtContent>
                <w:tc>
                  <w:tcPr>
                    <w:tcW w:w="2242" w:type="pct"/>
                    <w:shd w:val="clear" w:color="auto" w:fill="auto"/>
                    <w:vAlign w:val="center"/>
                  </w:tcPr>
                  <w:p>
                    <w:pPr>
                      <w:jc w:val="center"/>
                      <w:rPr>
                        <w:szCs w:val="21"/>
                      </w:rPr>
                    </w:pPr>
                    <w:r>
                      <w:rPr>
                        <w:rFonts w:hint="eastAsia"/>
                        <w:szCs w:val="21"/>
                      </w:rPr>
                      <w:t>项目</w:t>
                    </w:r>
                  </w:p>
                </w:tc>
              </w:sdtContent>
            </w:sdt>
            <w:sdt>
              <w:sdtPr>
                <w:tag w:val="_PLD_52741206370c4e1799f79141c7f871df"/>
                <w:id w:val="865727339"/>
                <w:lock w:val="sdtLocked"/>
              </w:sdtPr>
              <w:sdtContent>
                <w:tc>
                  <w:tcPr>
                    <w:tcW w:w="1376" w:type="pct"/>
                    <w:shd w:val="clear" w:color="auto" w:fill="auto"/>
                  </w:tcPr>
                  <w:p>
                    <w:pPr>
                      <w:jc w:val="center"/>
                      <w:rPr>
                        <w:szCs w:val="21"/>
                      </w:rPr>
                    </w:pPr>
                    <w:r>
                      <w:rPr>
                        <w:rFonts w:hint="eastAsia"/>
                        <w:szCs w:val="21"/>
                      </w:rPr>
                      <w:t>金额</w:t>
                    </w:r>
                  </w:p>
                </w:tc>
              </w:sdtContent>
            </w:sdt>
            <w:sdt>
              <w:sdtPr>
                <w:tag w:val="_PLD_ac90403c6a634936b93313c407ed4e35"/>
                <w:id w:val="865727340"/>
                <w:lock w:val="sdtLocked"/>
              </w:sdtPr>
              <w:sdtContent>
                <w:tc>
                  <w:tcPr>
                    <w:tcW w:w="1382" w:type="pct"/>
                  </w:tcPr>
                  <w:p>
                    <w:pPr>
                      <w:jc w:val="center"/>
                      <w:rPr>
                        <w:szCs w:val="21"/>
                      </w:rPr>
                    </w:pPr>
                    <w:r>
                      <w:rPr>
                        <w:rFonts w:hint="eastAsia"/>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6d005fae80c40c5b439c091e256805a"/>
                <w:id w:val="865727341"/>
                <w:lock w:val="sdtLocked"/>
              </w:sdtPr>
              <w:sdtContent>
                <w:tc>
                  <w:tcPr>
                    <w:tcW w:w="2242" w:type="pct"/>
                    <w:shd w:val="clear" w:color="auto" w:fill="auto"/>
                    <w:vAlign w:val="center"/>
                  </w:tcPr>
                  <w:p>
                    <w:pPr>
                      <w:rPr>
                        <w:szCs w:val="21"/>
                      </w:rPr>
                    </w:pPr>
                    <w:r>
                      <w:rPr>
                        <w:rFonts w:hint="eastAsia"/>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f045781906b04458b3ad625ee4515c61"/>
                <w:id w:val="865727342"/>
                <w:lock w:val="sdtLocked"/>
                <w15:dataBinding w:prefixMappings="xmlns:clcid-pte='clcid-pte'" w:xpath="/*/clcid-pte:FeiLiuDongXingZiChanChuZhiSunYiBaoKuoYiJiTiZiChanJianZhiZhunBeiDeChongXiaoBuFenFeiJingChangXingSunYiXiangMu[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-41,526.84</w:t>
                    </w:r>
                  </w:p>
                </w:tc>
              </w:sdtContent>
            </w:sdt>
            <w:sdt>
              <w:sdtPr>
                <w:rPr>
                  <w:szCs w:val="21"/>
                </w:rPr>
                <w:alias w:val="非流动性资产处置损益，包括已计提资产减值准备的冲销部分的说明（非经常性损益项目）"/>
                <w:tag w:val="_GBC_dbf112280e8b447b803745e3222ebaab"/>
                <w:id w:val="865727343"/>
                <w:lock w:val="sdtLocked"/>
                <w:showingPlcHdr/>
                <w15:dataBinding w:prefixMappings="xmlns:clcid-pte='clcid-pte'" w:xpath="/*/clcid-pte:FeiLiuDongXingZiChanChuZhiSunYiBaoKuoYiJiTiZiChanJianZhiZhunBeiDeChongXiaoBuFenFeiJingChangXingSunYiXiangMuShuoMing[not(@periodRef)]" w:storeItemID="{89EBAB94-44A0-46A2-B712-30D997D04A6D}"/>
                <w:text/>
              </w:sdtPr>
              <w:sdtEndPr>
                <w:rPr>
                  <w:szCs w:val="21"/>
                </w:rPr>
              </w:sdtEndPr>
              <w:sdtContent>
                <w:tc>
                  <w:tcPr>
                    <w:tcW w:w="1382" w:type="pct"/>
                  </w:tcPr>
                  <w:p>
                    <w:pPr>
                      <w:rPr>
                        <w:b/>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620343c03e4c9cbdbbf7ce4be9b435"/>
                <w:id w:val="865727344"/>
                <w:lock w:val="sdtLocked"/>
              </w:sdtPr>
              <w:sdtContent>
                <w:tc>
                  <w:tcPr>
                    <w:tcW w:w="2242" w:type="pct"/>
                    <w:shd w:val="clear" w:color="auto" w:fill="auto"/>
                    <w:vAlign w:val="center"/>
                  </w:tcPr>
                  <w:p>
                    <w:pPr>
                      <w:rPr>
                        <w:szCs w:val="21"/>
                      </w:rPr>
                    </w:pPr>
                    <w:r>
                      <w:rPr>
                        <w:rFonts w:hint="eastAsia"/>
                        <w:szCs w:val="21"/>
                      </w:rPr>
                      <w:t>越权审批或无正式批准文件的税收返还、减免</w:t>
                    </w:r>
                  </w:p>
                </w:tc>
              </w:sdtContent>
            </w:sdt>
            <w:sdt>
              <w:sdtPr>
                <w:rPr>
                  <w:rFonts w:ascii="Times New Roman" w:hAnsi="Times New Roman" w:cs="Times New Roman"/>
                  <w:szCs w:val="21"/>
                </w:rPr>
                <w:alias w:val="越权审批，或无正式批准文件，或偶发性的税收返还、减免（非经常性损益项目）"/>
                <w:tag w:val="_GBC_739acef0a8fb4cf9ba3480cbf144d0bd"/>
                <w:id w:val="865727345"/>
                <w:lock w:val="sdtLocked"/>
                <w:showingPlcHdr/>
                <w15:dataBinding w:prefixMappings="xmlns:clcid-pte='clcid-pte'" w:xpath="/*/clcid-pte:FeiJingChangXingSunYiZhongYueQuanShenPiHuoWuZhengShiPiZhunWenJianDeShuiShouFanHuanJianMian[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ind w:right="6"/>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越权审批，或无正式批准文件，或偶发性的税收返还、减免的说明（非经常性损益项目）"/>
                <w:tag w:val="_GBC_d1e6861f45b64ca2a145ec60b8eb30fc"/>
                <w:id w:val="865727346"/>
                <w:lock w:val="sdtLocked"/>
                <w:showingPlcHdr/>
                <w15:dataBinding w:prefixMappings="xmlns:clcid-pte='clcid-pte'" w:xpath="/*/clcid-pte:FeiJingChangXingSunYiZhongYueQuanShenPiHuoWuZhengShiPiZhunWenJianDeShuiShouFanHuanJianMian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71661f1d5e4d61b7fad7606c1c1bb7"/>
                <w:id w:val="865727347"/>
                <w:lock w:val="sdtLocked"/>
              </w:sdtPr>
              <w:sdtContent>
                <w:tc>
                  <w:tcPr>
                    <w:tcW w:w="2242" w:type="pct"/>
                    <w:shd w:val="clear" w:color="auto" w:fill="auto"/>
                    <w:vAlign w:val="center"/>
                  </w:tcPr>
                  <w:p>
                    <w:pPr>
                      <w:rPr>
                        <w:szCs w:val="21"/>
                      </w:rPr>
                    </w:pPr>
                    <w:r>
                      <w:rPr>
                        <w:rFonts w:hint="eastAsia"/>
                        <w:szCs w:val="21"/>
                      </w:rPr>
                      <w:t>计入当期损益的政府补助（与企业业务密切相关，按照国家统一标准定额或定量享受的政府补助除外）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87d17071bbe748b28c703f8eaec85e23"/>
                <w:id w:val="865727348"/>
                <w:lock w:val="sdtLocked"/>
                <w15:dataBinding w:prefixMappings="xmlns:clcid-pte='clcid-pte'" w:xpath="/*/clcid-pte:FeiJingChangXingSunYiZhongGeZhongXingShiDeZhengFuBuTie[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3,491,364.67</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865727349"/>
                <w:lock w:val="sdtLocked"/>
                <w:showingPlcHdr/>
                <w15:dataBinding w:prefixMappings="xmlns:clcid-pte='clcid-pte'" w:xpath="/*/clcid-pte:FeiJingChangXingSunYiZhongGeZhongXingShiDeZhengFuBuTie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96201eca75b4ddd84b118ba8f346132"/>
                <w:id w:val="865727350"/>
                <w:lock w:val="sdtLocked"/>
              </w:sdtPr>
              <w:sdtContent>
                <w:tc>
                  <w:tcPr>
                    <w:tcW w:w="2242" w:type="pct"/>
                    <w:shd w:val="clear" w:color="auto" w:fill="auto"/>
                    <w:vAlign w:val="center"/>
                  </w:tcPr>
                  <w:p>
                    <w:pPr>
                      <w:rPr>
                        <w:szCs w:val="21"/>
                      </w:rPr>
                    </w:pPr>
                    <w:r>
                      <w:rPr>
                        <w:rFonts w:hint="eastAsia"/>
                        <w:szCs w:val="21"/>
                      </w:rPr>
                      <w:t>计入当期损益的对非金融企业收取的资金占用费</w:t>
                    </w:r>
                  </w:p>
                </w:tc>
              </w:sdtContent>
            </w:sdt>
            <w:sdt>
              <w:sdtPr>
                <w:rPr>
                  <w:rFonts w:ascii="Times New Roman" w:hAnsi="Times New Roman" w:cs="Times New Roman"/>
                  <w:szCs w:val="21"/>
                </w:rPr>
                <w:alias w:val="计入当期损益的对非金融企业收取的资金占用费（非经常性损益项目）"/>
                <w:tag w:val="_GBC_fa05ceca6bca4dd9a7d215044dce1e08"/>
                <w:id w:val="865727351"/>
                <w:lock w:val="sdtLocked"/>
                <w15:dataBinding w:prefixMappings="xmlns:clcid-pte='clcid-pte'" w:xpath="/*/clcid-pte:JiRuDangQiSunYiDeDuiFeiJinRongQiYeShouQuDeZiJinZhanYongFeiFeiJingChangXingSunYiXiangMu[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24,131,752.04</w:t>
                    </w:r>
                  </w:p>
                </w:tc>
              </w:sdtContent>
            </w:sdt>
            <w:sdt>
              <w:sdtPr>
                <w:rPr>
                  <w:szCs w:val="21"/>
                </w:rPr>
                <w:alias w:val="计入当期损益的对非金融企业收取的资金占用费的说明（非经常性损益项目）"/>
                <w:tag w:val="_GBC_e39bef666fc347c4b548b1702cce8f81"/>
                <w:id w:val="865727352"/>
                <w:lock w:val="sdtLocked"/>
                <w:showingPlcHdr/>
                <w15:dataBinding w:prefixMappings="xmlns:clcid-pte='clcid-pte'" w:xpath="/*/clcid-pte:JiRuDangQiSunYiDeDuiFeiJinRongQiYeShouQuDeZiJinZhanYongFeiFeiJingChangXingSunYiXiangMuShuoMing[not(@periodRef)]" w:storeItemID="{89EBAB94-44A0-46A2-B712-30D997D04A6D}"/>
                <w:text/>
              </w:sdtPr>
              <w:sdtEndPr>
                <w:rPr>
                  <w:szCs w:val="21"/>
                </w:rPr>
              </w:sdtEndPr>
              <w:sdtContent>
                <w:tc>
                  <w:tcPr>
                    <w:tcW w:w="1382" w:type="pct"/>
                  </w:tcPr>
                  <w:p>
                    <w:pPr>
                      <w:rPr>
                        <w:szCs w:val="21"/>
                      </w:rPr>
                    </w:pPr>
                    <w:r>
                      <w:rPr>
                        <w:szCs w:val="21"/>
                      </w:rPr>
                      <w:t xml:space="preserve">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04712aa3e2145e7873c6bd060038eb3"/>
                <w:id w:val="865727353"/>
                <w:lock w:val="sdtLocked"/>
              </w:sdtPr>
              <w:sdtContent>
                <w:tc>
                  <w:tcPr>
                    <w:tcW w:w="2242" w:type="pct"/>
                    <w:shd w:val="clear" w:color="auto" w:fill="auto"/>
                    <w:vAlign w:val="center"/>
                  </w:tcPr>
                  <w:p>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非经常性损益项目）"/>
                <w:tag w:val="_GBC_da8567332bf1414f9b00448bf14a2046"/>
                <w:id w:val="865727354"/>
                <w:lock w:val="sdtLocked"/>
                <w:showingPlcHdr/>
                <w15:dataBinding w:prefixMappings="xmlns:clcid-pte='clcid-pte'" w:xpath="/*/clcid-pte:QiYeHeBingDeHeBingChengBenXiaoYuHeBingShiYingXiangYouBeiHeBingDanWeiKeBianRenJingZiChanGongYunJiaZhiChanShengDeSunYi[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865727355"/>
                <w:lock w:val="sdtLocked"/>
                <w:showingPlcHdr/>
                <w15:dataBinding w:prefixMappings="xmlns:clcid-pte='clcid-pte'" w:xpath="/*/clcid-pte:QiYeHeBingDeHeBingChengBenXiaoYuHeBingShiYingXiangYouBeiHeBingDanWeiKeBianRenJingZiChanGongYunJiaZhiChanShengDeSunYi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96b14725f54837a87e61ee4c501071"/>
                <w:id w:val="865727356"/>
                <w:lock w:val="sdtLocked"/>
              </w:sdtPr>
              <w:sdtContent>
                <w:tc>
                  <w:tcPr>
                    <w:tcW w:w="2242" w:type="pct"/>
                    <w:shd w:val="clear" w:color="auto" w:fill="auto"/>
                    <w:vAlign w:val="center"/>
                  </w:tcPr>
                  <w:p>
                    <w:pPr>
                      <w:rPr>
                        <w:szCs w:val="21"/>
                      </w:rPr>
                    </w:pPr>
                    <w:r>
                      <w:rPr>
                        <w:rFonts w:hint="eastAsia"/>
                        <w:szCs w:val="21"/>
                      </w:rPr>
                      <w:t>非货币性资产交换损益</w:t>
                    </w:r>
                  </w:p>
                </w:tc>
              </w:sdtContent>
            </w:sdt>
            <w:sdt>
              <w:sdtPr>
                <w:rPr>
                  <w:rFonts w:ascii="Times New Roman" w:hAnsi="Times New Roman" w:cs="Times New Roman"/>
                  <w:szCs w:val="21"/>
                </w:rPr>
                <w:alias w:val="非货币性资产交换损益（非经常性损益项目）"/>
                <w:tag w:val="_GBC_4cbe5f86242143498e8a8e52a9159cf4"/>
                <w:id w:val="865727357"/>
                <w:lock w:val="sdtLocked"/>
                <w:showingPlcHdr/>
                <w15:dataBinding w:prefixMappings="xmlns:clcid-pte='clcid-pte'" w:xpath="/*/clcid-pte:FeiJingChangXingSunYiZhongZiChanZhiHuanSunYi[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非货币性资产交换损益的说明（非经常性损益项目）"/>
                <w:tag w:val="_GBC_0c3795502b03479fa5ac233060ebd95d"/>
                <w:id w:val="865727358"/>
                <w:lock w:val="sdtLocked"/>
                <w:showingPlcHdr/>
                <w15:dataBinding w:prefixMappings="xmlns:clcid-pte='clcid-pte'" w:xpath="/*/clcid-pte:FeiJingChangXingSunYiZhongZiChanZhiHuanSunYi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676c98d931749ce9093d2cc38be0fa2"/>
                <w:id w:val="865727359"/>
                <w:lock w:val="sdtLocked"/>
              </w:sdtPr>
              <w:sdtContent>
                <w:tc>
                  <w:tcPr>
                    <w:tcW w:w="2242" w:type="pct"/>
                    <w:shd w:val="clear" w:color="auto" w:fill="auto"/>
                    <w:vAlign w:val="center"/>
                  </w:tcPr>
                  <w:p>
                    <w:pPr>
                      <w:rPr>
                        <w:szCs w:val="21"/>
                      </w:rPr>
                    </w:pPr>
                    <w:r>
                      <w:rPr>
                        <w:rFonts w:hint="eastAsia"/>
                        <w:szCs w:val="21"/>
                      </w:rPr>
                      <w:t>委托他人投资或管理资产的损益</w:t>
                    </w:r>
                  </w:p>
                </w:tc>
              </w:sdtContent>
            </w:sdt>
            <w:sdt>
              <w:sdtPr>
                <w:rPr>
                  <w:rFonts w:ascii="Times New Roman" w:hAnsi="Times New Roman" w:cs="Times New Roman"/>
                  <w:szCs w:val="21"/>
                </w:rPr>
                <w:alias w:val="委托他人投资或管理资产的损益（非经常性损益项目）"/>
                <w:tag w:val="_GBC_d2fd11aa21804a79bf75d80767cb7622"/>
                <w:id w:val="865727360"/>
                <w:lock w:val="sdtLocked"/>
                <w:showingPlcHdr/>
                <w15:dataBinding w:prefixMappings="xmlns:clcid-pte='clcid-pte'" w:xpath="/*/clcid-pte:WeiTuoTaRenTouZiHuoGuanLiZiChanDeSunYiFeiJingChangXingSunYiXiangMu[not(@periodRef)]" w:storeItemID="{89EBAB94-44A0-46A2-B712-30D997D04A6D}"/>
                <w:text/>
              </w:sdtPr>
              <w:sdtEndPr>
                <w:rPr>
                  <w:rFonts w:ascii="Times New Roman" w:hAnsi="Times New Roman" w:cs="Times New Roman"/>
                  <w:szCs w:val="21"/>
                </w:rPr>
              </w:sdtEndPr>
              <w:sdtContent>
                <w:tc>
                  <w:tcPr>
                    <w:tcW w:w="1376" w:type="pct"/>
                    <w:shd w:val="clear" w:color="auto" w:fill="auto"/>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委托他人投资或管理资产的损益的说明（非经常性损益项目）"/>
                <w:tag w:val="_GBC_556f9aa856334b9cba18fb2f97b39cc5"/>
                <w:id w:val="865727361"/>
                <w:lock w:val="sdtLocked"/>
                <w:showingPlcHdr/>
                <w15:dataBinding w:prefixMappings="xmlns:clcid-pte='clcid-pte'" w:xpath="/*/clcid-pte:WeiTuoTaRenTouZiHuoGuanLiZiChanDeSunYiFeiJingChangXingSunYiXiangMu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6d12c8a27f5433fa2f660641cd44700"/>
                <w:id w:val="865727362"/>
                <w:lock w:val="sdtLocked"/>
              </w:sdtPr>
              <w:sdtContent>
                <w:tc>
                  <w:tcPr>
                    <w:tcW w:w="2242" w:type="pct"/>
                    <w:shd w:val="clear" w:color="auto" w:fill="auto"/>
                    <w:vAlign w:val="center"/>
                  </w:tcPr>
                  <w:p>
                    <w:pPr>
                      <w:rPr>
                        <w:szCs w:val="21"/>
                      </w:rPr>
                    </w:pPr>
                    <w:r>
                      <w:rPr>
                        <w:rFonts w:hint="eastAsia"/>
                        <w:szCs w:val="21"/>
                      </w:rPr>
                      <w:t>因不可抗力因素，如遭受自然灾害而计提的各项资产减值准备</w:t>
                    </w:r>
                  </w:p>
                </w:tc>
              </w:sdtContent>
            </w:sdt>
            <w:sdt>
              <w:sdtPr>
                <w:rPr>
                  <w:rFonts w:ascii="Times New Roman" w:hAnsi="Times New Roman" w:cs="Times New Roman"/>
                  <w:szCs w:val="21"/>
                </w:rPr>
                <w:alias w:val="因不可抗力因素，如遭受自然灾害而计提的各项资产减值准备（非经常性损益项目）"/>
                <w:tag w:val="_GBC_40e59f580b8446b6a448bfa2d9c39106"/>
                <w:id w:val="865727363"/>
                <w:lock w:val="sdtLocked"/>
                <w:showingPlcHdr/>
                <w15:dataBinding w:prefixMappings="xmlns:clcid-pte='clcid-pte'" w:xpath="/*/clcid-pte:FeiJingChangXingSunYiZhongJiTiDeGeXiangZiChanJianZhiZhunBei[not(@periodRef)]" w:storeItemID="{89EBAB94-44A0-46A2-B712-30D997D04A6D}"/>
                <w:text/>
              </w:sdtPr>
              <w:sdtEndPr>
                <w:rPr>
                  <w:rFonts w:ascii="Times New Roman" w:hAnsi="Times New Roman" w:cs="Times New Roman"/>
                  <w:szCs w:val="21"/>
                </w:rPr>
              </w:sdtEndPr>
              <w:sdtContent>
                <w:tc>
                  <w:tcPr>
                    <w:tcW w:w="1376" w:type="pct"/>
                    <w:shd w:val="clear" w:color="auto" w:fill="auto"/>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因不可抗力因素，如遭受自然灾害而计提的各项资产减值准备的说明（非经常性损益项目）"/>
                <w:tag w:val="_GBC_4f29c0d978134f4d9ade4cfb9e6e5bfa"/>
                <w:id w:val="865727364"/>
                <w:lock w:val="sdtLocked"/>
                <w:showingPlcHdr/>
                <w15:dataBinding w:prefixMappings="xmlns:clcid-pte='clcid-pte'" w:xpath="/*/clcid-pte:FeiJingChangXingSunYiZhongJiTiDeGeXiangZiChanJianZhiZhunBei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bcaae140d1341cdbbecefeb642d9613"/>
                <w:id w:val="865727365"/>
                <w:lock w:val="sdtLocked"/>
              </w:sdtPr>
              <w:sdtContent>
                <w:tc>
                  <w:tcPr>
                    <w:tcW w:w="2242" w:type="pct"/>
                    <w:shd w:val="clear" w:color="auto" w:fill="auto"/>
                    <w:vAlign w:val="center"/>
                  </w:tcPr>
                  <w:p>
                    <w:pPr>
                      <w:rPr>
                        <w:szCs w:val="21"/>
                      </w:rPr>
                    </w:pPr>
                    <w:r>
                      <w:rPr>
                        <w:rFonts w:hint="eastAsia"/>
                        <w:szCs w:val="21"/>
                      </w:rPr>
                      <w:t>债务重组损益</w:t>
                    </w:r>
                  </w:p>
                </w:tc>
              </w:sdtContent>
            </w:sdt>
            <w:sdt>
              <w:sdtPr>
                <w:rPr>
                  <w:rFonts w:ascii="Times New Roman" w:hAnsi="Times New Roman" w:cs="Times New Roman"/>
                  <w:szCs w:val="21"/>
                </w:rPr>
                <w:alias w:val="债务重组损益（非经常性损益项目）"/>
                <w:tag w:val="_GBC_562f390e991e466084ffd0680a094232"/>
                <w:id w:val="865727366"/>
                <w:lock w:val="sdtLocked"/>
                <w:showingPlcHdr/>
                <w15:dataBinding w:prefixMappings="xmlns:clcid-pte='clcid-pte'" w:xpath="/*/clcid-pte:FeiJingChangXingSunYiZhongZhaiWuZhongZuSunYi[not(@periodRef)]" w:storeItemID="{89EBAB94-44A0-46A2-B712-30D997D04A6D}"/>
                <w:text/>
              </w:sdtPr>
              <w:sdtEndPr>
                <w:rPr>
                  <w:rFonts w:ascii="Times New Roman" w:hAnsi="Times New Roman" w:cs="Times New Roman"/>
                  <w:szCs w:val="21"/>
                </w:rPr>
              </w:sdtEndPr>
              <w:sdtContent>
                <w:tc>
                  <w:tcPr>
                    <w:tcW w:w="1376" w:type="pct"/>
                    <w:shd w:val="clear" w:color="auto" w:fill="auto"/>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债务重组损益的说明（非经常性损益项目）"/>
                <w:tag w:val="_GBC_f43aef808f214d7383de39e3b6c398f4"/>
                <w:id w:val="865727367"/>
                <w:lock w:val="sdtLocked"/>
                <w:showingPlcHdr/>
                <w15:dataBinding w:prefixMappings="xmlns:clcid-pte='clcid-pte'" w:xpath="/*/clcid-pte:FeiJingChangXingSunYiZhongZhaiWuZhongZuSunYi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f7d113d42fb4410b8855e99585354db"/>
                <w:id w:val="865727368"/>
                <w:lock w:val="sdtLocked"/>
              </w:sdtPr>
              <w:sdtContent>
                <w:tc>
                  <w:tcPr>
                    <w:tcW w:w="2242" w:type="pct"/>
                    <w:shd w:val="clear" w:color="auto" w:fill="auto"/>
                    <w:vAlign w:val="center"/>
                  </w:tcPr>
                  <w:p>
                    <w:pPr>
                      <w:rPr>
                        <w:szCs w:val="21"/>
                      </w:rPr>
                    </w:pPr>
                    <w:r>
                      <w:rPr>
                        <w:rFonts w:hint="eastAsia"/>
                        <w:szCs w:val="21"/>
                      </w:rPr>
                      <w:t>企业重组费用，如安置职工的支出、整合费用等</w:t>
                    </w:r>
                  </w:p>
                </w:tc>
              </w:sdtContent>
            </w:sdt>
            <w:sdt>
              <w:sdtPr>
                <w:rPr>
                  <w:rFonts w:ascii="Times New Roman" w:hAnsi="Times New Roman" w:cs="Times New Roman"/>
                  <w:szCs w:val="21"/>
                </w:rPr>
                <w:alias w:val="企业重组费用，如安置职工的支出、整合费用等（非经常性损益项目）"/>
                <w:tag w:val="_GBC_56ec47ca87774d5abcabbca8deefec34"/>
                <w:id w:val="865727369"/>
                <w:lock w:val="sdtLocked"/>
                <w:showingPlcHdr/>
                <w15:dataBinding w:prefixMappings="xmlns:clcid-pte='clcid-pte'" w:xpath="/*/clcid-pte:QiYeZhongZuFeiYongRuAnZhiZhiGongDeZhiChuZhengHeFeiYongDeng[not(@periodRef)]" w:storeItemID="{89EBAB94-44A0-46A2-B712-30D997D04A6D}"/>
                <w:text/>
              </w:sdtPr>
              <w:sdtEndPr>
                <w:rPr>
                  <w:rFonts w:ascii="Times New Roman" w:hAnsi="Times New Roman" w:cs="Times New Roman"/>
                  <w:szCs w:val="21"/>
                </w:rPr>
              </w:sdtEndPr>
              <w:sdtContent>
                <w:tc>
                  <w:tcPr>
                    <w:tcW w:w="1376" w:type="pct"/>
                    <w:shd w:val="clear" w:color="auto" w:fill="auto"/>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企业重组费用，如安置职工的支出、整合费用等的说明（非经常性损益项目）"/>
                <w:tag w:val="_GBC_a7c33259b38d4d119cc648f5a3558bfe"/>
                <w:id w:val="865727370"/>
                <w:lock w:val="sdtLocked"/>
                <w:showingPlcHdr/>
                <w15:dataBinding w:prefixMappings="xmlns:clcid-pte='clcid-pte'" w:xpath="/*/clcid-pte:QiYeZhongZuFeiYongRuAnZhiZhiGongDeZhiChuZhengHeFeiYongDeng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aa1b7e693f4556ba93d4252bbe667a"/>
                <w:id w:val="865727371"/>
                <w:lock w:val="sdtLocked"/>
              </w:sdtPr>
              <w:sdtContent>
                <w:tc>
                  <w:tcPr>
                    <w:tcW w:w="2242" w:type="pct"/>
                    <w:shd w:val="clear" w:color="auto" w:fill="auto"/>
                    <w:vAlign w:val="center"/>
                  </w:tcPr>
                  <w:p>
                    <w:pPr>
                      <w:rPr>
                        <w:szCs w:val="21"/>
                      </w:rPr>
                    </w:pPr>
                    <w:r>
                      <w:rPr>
                        <w:rFonts w:hint="eastAsia"/>
                        <w:szCs w:val="21"/>
                      </w:rPr>
                      <w:t>交易价格显失公允的交易产生的超过公允价值部分的损益</w:t>
                    </w:r>
                  </w:p>
                </w:tc>
              </w:sdtContent>
            </w:sdt>
            <w:sdt>
              <w:sdtPr>
                <w:rPr>
                  <w:rFonts w:ascii="Times New Roman" w:hAnsi="Times New Roman" w:cs="Times New Roman"/>
                  <w:szCs w:val="21"/>
                </w:rPr>
                <w:alias w:val="交易价格显失公允的交易产生的超过公允价值部分的损益（非经常性损益项目）"/>
                <w:tag w:val="_GBC_6704ec57bd314db499ba1bfa7fe212ec"/>
                <w:id w:val="865727372"/>
                <w:lock w:val="sdtLocked"/>
                <w:showingPlcHdr/>
                <w15:dataBinding w:prefixMappings="xmlns:clcid-pte='clcid-pte'" w:xpath="/*/clcid-pte:FeiJingChangXingSunYiZhongJiaoYiJiaGeXianShiGongYunDeJiaoYiChanShengDeSunYi[not(@periodRef)]" w:storeItemID="{89EBAB94-44A0-46A2-B712-30D997D04A6D}"/>
                <w:text/>
              </w:sdtPr>
              <w:sdtEndPr>
                <w:rPr>
                  <w:rFonts w:ascii="Times New Roman" w:hAnsi="Times New Roman" w:cs="Times New Roman"/>
                  <w:szCs w:val="21"/>
                </w:rPr>
              </w:sdtEndPr>
              <w:sdtContent>
                <w:tc>
                  <w:tcPr>
                    <w:tcW w:w="1376" w:type="pct"/>
                    <w:shd w:val="clear" w:color="auto" w:fill="auto"/>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交易价格显失公允的交易产生的超过公允价值部分的损益的说明（非经常性损益项目）"/>
                <w:tag w:val="_GBC_8924193e761244e8b5efdfb510613a4f"/>
                <w:id w:val="865727373"/>
                <w:lock w:val="sdtLocked"/>
                <w:showingPlcHdr/>
                <w15:dataBinding w:prefixMappings="xmlns:clcid-pte='clcid-pte'" w:xpath="/*/clcid-pte:FeiJingChangXingSunYiZhongJiaoYiJiaGeXianShiGongYunDeJiaoYiChanShengDeSunYi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7d35e9773ec4a5bbdcaaab7ce867607"/>
                <w:id w:val="865727374"/>
                <w:lock w:val="sdtLocked"/>
              </w:sdtPr>
              <w:sdtContent>
                <w:tc>
                  <w:tcPr>
                    <w:tcW w:w="2242" w:type="pct"/>
                    <w:shd w:val="clear" w:color="auto" w:fill="auto"/>
                    <w:vAlign w:val="center"/>
                  </w:tcPr>
                  <w:p>
                    <w:pPr>
                      <w:rPr>
                        <w:szCs w:val="21"/>
                      </w:rPr>
                    </w:pPr>
                    <w:r>
                      <w:rPr>
                        <w:rFonts w:hint="eastAsia"/>
                        <w:szCs w:val="21"/>
                      </w:rPr>
                      <w:t>同一控制下企业合并产生的子公司期初至合并日的当期净损益</w:t>
                    </w:r>
                  </w:p>
                </w:tc>
              </w:sdtContent>
            </w:sdt>
            <w:sdt>
              <w:sdtPr>
                <w:rPr>
                  <w:rFonts w:ascii="Times New Roman" w:hAnsi="Times New Roman" w:cs="Times New Roman"/>
                  <w:szCs w:val="21"/>
                </w:rPr>
                <w:alias w:val="同一控制下企业合并产生的子公司期初至合并日的当期净损益（非经常性损益项目）"/>
                <w:tag w:val="_GBC_41b40e6e0f3848d69f00e71731aaf0e1"/>
                <w:id w:val="865727375"/>
                <w:lock w:val="sdtLocked"/>
                <w:showingPlcHdr/>
                <w15:dataBinding w:prefixMappings="xmlns:clcid-pte='clcid-pte'" w:xpath="/*/clcid-pte:TongYiKongZhiXiaQiYeHeBingChanShengDeZiGongSiQiChuZhiHeBingRiDeDangQiJingSunYi[not(@periodRef)]" w:storeItemID="{89EBAB94-44A0-46A2-B712-30D997D04A6D}"/>
                <w:text/>
              </w:sdtPr>
              <w:sdtEndPr>
                <w:rPr>
                  <w:rFonts w:ascii="Times New Roman" w:hAnsi="Times New Roman" w:cs="Times New Roman"/>
                  <w:szCs w:val="21"/>
                </w:rPr>
              </w:sdtEndPr>
              <w:sdtContent>
                <w:tc>
                  <w:tcPr>
                    <w:tcW w:w="1376" w:type="pct"/>
                    <w:shd w:val="clear" w:color="auto" w:fill="auto"/>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同一控制下企业合并产生的子公司期初至合并日的当期净损益的说明（非经常性损益项目）"/>
                <w:tag w:val="_GBC_b89a03114e86456eb0c9e31e114ed87a"/>
                <w:id w:val="865727376"/>
                <w:lock w:val="sdtLocked"/>
                <w:showingPlcHdr/>
                <w15:dataBinding w:prefixMappings="xmlns:clcid-pte='clcid-pte'" w:xpath="/*/clcid-pte:TongYiKongZhiXiaQiYeHeBingChanShengDeZiGongSiQiChuZhiHeBingRiDeDangQiJingSunYi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1952d95e284af59e77fce066babe2c"/>
                <w:id w:val="865727377"/>
                <w:lock w:val="sdtLocked"/>
              </w:sdtPr>
              <w:sdtContent>
                <w:tc>
                  <w:tcPr>
                    <w:tcW w:w="2242" w:type="pct"/>
                    <w:shd w:val="clear" w:color="auto" w:fill="auto"/>
                    <w:vAlign w:val="center"/>
                  </w:tcPr>
                  <w:p>
                    <w:pPr>
                      <w:rPr>
                        <w:szCs w:val="21"/>
                      </w:rPr>
                    </w:pPr>
                    <w:r>
                      <w:rPr>
                        <w:rFonts w:hint="eastAsia"/>
                        <w:szCs w:val="21"/>
                      </w:rPr>
                      <w:t>与公司正常经营业务无关的或有事项产生的损益</w:t>
                    </w:r>
                  </w:p>
                </w:tc>
              </w:sdtContent>
            </w:sdt>
            <w:sdt>
              <w:sdtPr>
                <w:rPr>
                  <w:rFonts w:ascii="Times New Roman" w:hAnsi="Times New Roman" w:cs="Times New Roman"/>
                  <w:szCs w:val="21"/>
                </w:rPr>
                <w:alias w:val="与公司正常经营业务无关的或有事项产生的损益（非经常性损益项目）"/>
                <w:tag w:val="_GBC_87c0e437c14d4dd3bd5dd001c159ec09"/>
                <w:id w:val="865727378"/>
                <w:lock w:val="sdtLocked"/>
                <w:showingPlcHdr/>
                <w15:dataBinding w:prefixMappings="xmlns:clcid-pte='clcid-pte'" w:xpath="/*/clcid-pte:YuGongSiZhuYingYeWuWuGuanDeYuJiFuZhaiChanShengDeSunYi[not(@periodRef)]" w:storeItemID="{89EBAB94-44A0-46A2-B712-30D997D04A6D}"/>
                <w:text/>
              </w:sdtPr>
              <w:sdtEndPr>
                <w:rPr>
                  <w:rFonts w:ascii="Times New Roman" w:hAnsi="Times New Roman" w:cs="Times New Roman"/>
                  <w:szCs w:val="21"/>
                </w:rPr>
              </w:sdtEndPr>
              <w:sdtContent>
                <w:tc>
                  <w:tcPr>
                    <w:tcW w:w="1376" w:type="pct"/>
                    <w:shd w:val="clear" w:color="auto" w:fill="auto"/>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与公司正常经营业务无关的或有事项产生的损益的说明（非经常性损益项目）"/>
                <w:tag w:val="_GBC_c092dcb18a4049e7b48c3f5c5a57f1aa"/>
                <w:id w:val="865727379"/>
                <w:lock w:val="sdtLocked"/>
                <w:showingPlcHdr/>
                <w15:dataBinding w:prefixMappings="xmlns:clcid-pte='clcid-pte'" w:xpath="/*/clcid-pte:YuGongSiZhuYingYeWuWuGuanDeYuJiFuZhaiChanShengDeSunYi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pct"/>
                <w:shd w:val="clear" w:color="auto" w:fill="auto"/>
                <w:vAlign w:val="center"/>
              </w:tcPr>
              <w:sdt>
                <w:sdtPr>
                  <w:rPr>
                    <w:rFonts w:hint="eastAsia"/>
                  </w:rPr>
                  <w:tag w:val="_PLD_38fa6e04d36242f19ed1ab1a61f69468"/>
                  <w:id w:val="865727380"/>
                  <w:lock w:val="sdtLocked"/>
                </w:sdtPr>
                <w:sdtEndPr>
                  <w:rPr>
                    <w:rFonts w:hint="eastAsia"/>
                  </w:rPr>
                </w:sdtEndPr>
                <w:sdtContent>
                  <w:p>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a664e906ddd54caa90780ec8ba442193"/>
                <w:id w:val="865727381"/>
                <w:lock w:val="sdtLocked"/>
                <w15: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hint="eastAsia" w:ascii="Times New Roman" w:hAnsi="Times New Roman" w:cs="Times New Roman"/>
                        <w:szCs w:val="21"/>
                      </w:rPr>
                      <w:t>-24,503,226.85</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865727382"/>
                <w:lock w:val="sdtLocked"/>
                <w:showingPlcHdr/>
                <w15: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rPr>
                  <w:szCs w:val="21"/>
                </w:rPr>
              </w:sdtEndPr>
              <w:sdtContent>
                <w:tc>
                  <w:tcPr>
                    <w:tcW w:w="1382" w:type="pct"/>
                  </w:tcPr>
                  <w:p>
                    <w:pPr>
                      <w:rPr>
                        <w:szCs w:val="21"/>
                      </w:rPr>
                    </w:pPr>
                    <w:r>
                      <w:rPr>
                        <w:rStyle w:val="70"/>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pct"/>
                <w:shd w:val="clear" w:color="auto" w:fill="auto"/>
                <w:vAlign w:val="center"/>
              </w:tcPr>
              <w:sdt>
                <w:sdtPr>
                  <w:rPr>
                    <w:rFonts w:hint="eastAsia"/>
                  </w:rPr>
                  <w:tag w:val="_PLD_a11363d103554f4a9712ef6c15497670"/>
                  <w:id w:val="865727383"/>
                  <w:lock w:val="sdtLocked"/>
                </w:sdtPr>
                <w:sdtEndPr>
                  <w:rPr>
                    <w:rFonts w:hint="eastAsia"/>
                  </w:rPr>
                </w:sdtEndPr>
                <w:sdtContent>
                  <w:p>
                    <w:r>
                      <w:rPr>
                        <w:rFonts w:hint="eastAsia"/>
                      </w:rPr>
                      <w:t>单独进行减值测试的应收款项、合同资产减值准备转回</w:t>
                    </w:r>
                  </w:p>
                </w:sdtContent>
              </w:sdt>
            </w:tc>
            <w:sdt>
              <w:sdtPr>
                <w:rPr>
                  <w:rFonts w:ascii="Times New Roman" w:hAnsi="Times New Roman" w:cs="Times New Roman"/>
                  <w:szCs w:val="21"/>
                </w:rPr>
                <w:alias w:val="单独进行减值测试的应收款项、合同资产减值准备转回（非经常性损益项目） "/>
                <w:tag w:val="_GBC_d6e61e27dc844df9a58fb06a8bd759ba"/>
                <w:id w:val="865727384"/>
                <w:lock w:val="sdtLocked"/>
                <w:showingPlcHdr/>
                <w15:dataBinding w:prefixMappings="xmlns:clcid-pte='clcid-pte'" w:xpath="/*/clcid-pte:DanDuJinXingJianZhiCeShiDeYingShouKuanXiangHeTongZiChanJianZhiZhunBeiZhuanHuiFeiJingChangXingSunYiXiangMu[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Style w:val="70"/>
                        <w:rFonts w:ascii="Times New Roman" w:cs="Times New Roman"/>
                      </w:rPr>
                      <w:t>　</w:t>
                    </w:r>
                  </w:p>
                </w:tc>
              </w:sdtContent>
            </w:sdt>
            <w:sdt>
              <w:sdtPr>
                <w:rPr>
                  <w:szCs w:val="21"/>
                </w:rPr>
                <w:alias w:val="单独进行减值测试的应收款项、合同资产减值准备转回的说明（非经常性损益项目）"/>
                <w:tag w:val="_GBC_3cdfac21f2ce4278a0df448d9c6bb54b"/>
                <w:id w:val="865727385"/>
                <w:lock w:val="sdtLocked"/>
                <w:showingPlcHdr/>
                <w15:dataBinding w:prefixMappings="xmlns:clcid-pte='clcid-pte'" w:xpath="/*/clcid-pte:DanDuJinXingJianZhiCeShiDeYingShouKuanXiangHeTongZiChanJianZhiZhunBeiZhuanHuiDeShuoMingFeiJingChangXingSunYiXiangMu[not(@periodRef)]" w:storeItemID="{89EBAB94-44A0-46A2-B712-30D997D04A6D}"/>
                <w:text/>
              </w:sdtPr>
              <w:sdtEndPr>
                <w:rPr>
                  <w:szCs w:val="21"/>
                </w:rPr>
              </w:sdtEndPr>
              <w:sdtContent>
                <w:tc>
                  <w:tcPr>
                    <w:tcW w:w="1382" w:type="pct"/>
                  </w:tcPr>
                  <w:p>
                    <w:pPr>
                      <w:rPr>
                        <w:szCs w:val="21"/>
                      </w:rPr>
                    </w:pPr>
                    <w:r>
                      <w:rPr>
                        <w:rStyle w:val="70"/>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0edb491e0914e1e92443df61931119d"/>
                <w:id w:val="865727386"/>
                <w:lock w:val="sdtLocked"/>
              </w:sdtPr>
              <w:sdtContent>
                <w:tc>
                  <w:tcPr>
                    <w:tcW w:w="2242" w:type="pct"/>
                    <w:shd w:val="clear" w:color="auto" w:fill="auto"/>
                    <w:vAlign w:val="center"/>
                  </w:tcPr>
                  <w:p>
                    <w:pPr>
                      <w:rPr>
                        <w:szCs w:val="21"/>
                      </w:rPr>
                    </w:pPr>
                    <w:r>
                      <w:rPr>
                        <w:rFonts w:hint="eastAsia"/>
                        <w:szCs w:val="21"/>
                      </w:rPr>
                      <w:t>对外委托贷款取得的损益</w:t>
                    </w:r>
                  </w:p>
                </w:tc>
              </w:sdtContent>
            </w:sdt>
            <w:sdt>
              <w:sdtPr>
                <w:rPr>
                  <w:rFonts w:ascii="Times New Roman" w:hAnsi="Times New Roman" w:cs="Times New Roman"/>
                  <w:szCs w:val="21"/>
                </w:rPr>
                <w:alias w:val="对外委托贷款取得的损益（非经常性损益项目）"/>
                <w:tag w:val="_GBC_27b47ed06c97431897415150396a2093"/>
                <w:id w:val="865727387"/>
                <w:lock w:val="sdtLocked"/>
                <w:showingPlcHdr/>
                <w15:dataBinding w:prefixMappings="xmlns:clcid-pte='clcid-pte'" w:xpath="/*/clcid-pte:DuiWaiWeiTuoDaiKuanQuDeDeSunYi[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对外委托贷款取得的损益的说明（非经常性损益项目）"/>
                <w:tag w:val="_GBC_72c375360c99465bb8170713ed413fe3"/>
                <w:id w:val="865727388"/>
                <w:lock w:val="sdtLocked"/>
                <w:showingPlcHdr/>
                <w15:dataBinding w:prefixMappings="xmlns:clcid-pte='clcid-pte'" w:xpath="/*/clcid-pte:DuiWaiWeiTuoDaiKuanQuDeDeSunYi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32f963d97a4e5f8bfc7e17443ac5ee"/>
                <w:id w:val="865727389"/>
                <w:lock w:val="sdtLocked"/>
              </w:sdtPr>
              <w:sdtContent>
                <w:tc>
                  <w:tcPr>
                    <w:tcW w:w="2242" w:type="pct"/>
                    <w:shd w:val="clear" w:color="auto" w:fill="auto"/>
                    <w:vAlign w:val="center"/>
                  </w:tcPr>
                  <w:p>
                    <w:pPr>
                      <w:rPr>
                        <w:szCs w:val="21"/>
                      </w:rPr>
                    </w:pPr>
                    <w:r>
                      <w:rPr>
                        <w:rFonts w:hint="eastAsia"/>
                        <w:szCs w:val="21"/>
                      </w:rPr>
                      <w:t>采用公允价值模式进行后续计量的投资性房地产公允价值变动产生的损益</w:t>
                    </w:r>
                  </w:p>
                </w:tc>
              </w:sdtContent>
            </w:sdt>
            <w:sdt>
              <w:sdtPr>
                <w:rPr>
                  <w:rFonts w:ascii="Times New Roman" w:hAnsi="Times New Roman" w:cs="Times New Roman"/>
                  <w:szCs w:val="21"/>
                </w:rPr>
                <w:alias w:val="采用公允价值模式进行后续计量的投资性房地产公允价值变动产生的损益（非经常性损益项目）"/>
                <w:tag w:val="_GBC_190716d7e441475687cb1bc366ad6b0c"/>
                <w:id w:val="865727390"/>
                <w:lock w:val="sdtLocked"/>
                <w:showingPlcHdr/>
                <w15:dataBinding w:prefixMappings="xmlns:clcid-pte='clcid-pte'" w:xpath="/*/clcid-pte:CaiYongGongYunJiaZhiMoShiJinXingHouXuJiLiangDeTouZiXingFangDiChanGongYunJiaZhiBianDongChanShengDeSunYi[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采用公允价值模式进行后续计量的投资性房地产公允价值变动产生的损益的说明（非经常性损益项目）"/>
                <w:tag w:val="_GBC_c174c1c48c424f2b93a5298b3c87d544"/>
                <w:id w:val="865727391"/>
                <w:lock w:val="sdtLocked"/>
                <w:showingPlcHdr/>
                <w15:dataBinding w:prefixMappings="xmlns:clcid-pte='clcid-pte'" w:xpath="/*/clcid-pte:CaiYongGongYunJiaZhiMoShiJinXingHouXuJiLiangDeTouZiXingFangDiChanGongYunJiaZhiBianDongChanShengDeSunYi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6722851d3af4fe3afc659a8e56d5fb8"/>
                <w:id w:val="865727392"/>
                <w:lock w:val="sdtLocked"/>
              </w:sdtPr>
              <w:sdtContent>
                <w:tc>
                  <w:tcPr>
                    <w:tcW w:w="2242" w:type="pct"/>
                    <w:shd w:val="clear" w:color="auto" w:fill="auto"/>
                    <w:vAlign w:val="center"/>
                  </w:tcPr>
                  <w:p>
                    <w:pPr>
                      <w:rPr>
                        <w:szCs w:val="21"/>
                      </w:rPr>
                    </w:pPr>
                    <w:r>
                      <w:rPr>
                        <w:rFonts w:hint="eastAsia"/>
                        <w:szCs w:val="21"/>
                      </w:rPr>
                      <w:t>根据税收、会计等法律、法规的要求对当期损益进行一次性调整对当期损益的影响</w:t>
                    </w:r>
                  </w:p>
                </w:tc>
              </w:sdtContent>
            </w:sdt>
            <w:sdt>
              <w:sdtPr>
                <w:rPr>
                  <w:rFonts w:ascii="Times New Roman" w:hAnsi="Times New Roman" w:cs="Times New Roman"/>
                  <w:szCs w:val="21"/>
                </w:rPr>
                <w:alias w:val="根据税收、会计等法律、法规的要求对当期损益进行一次性调整对当期损益的影响（非经常性损益项目）"/>
                <w:tag w:val="_GBC_58c2953c03634423ac62d3dec1a8cbf0"/>
                <w:id w:val="865727393"/>
                <w:lock w:val="sdtLocked"/>
                <w:showingPlcHdr/>
                <w15:dataBinding w:prefixMappings="xmlns:clcid-pte='clcid-pte'" w:xpath="/*/clcid-pte:GenJuShuiShouKuaiJiDengFaLvFaGuiDeYaoQiuDuiDangQiSunYiJinXingYiCiXingTiaoZhengDuiDangQiSunYiDeYingXiang[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根据税收、会计等法律、法规的要求对当期损益进行一次性调整对当期损益的影响的说明（非经常性损益项目）"/>
                <w:tag w:val="_GBC_b3ddb30991974cd88ba33a7fc1b11cdc"/>
                <w:id w:val="865727394"/>
                <w:lock w:val="sdtLocked"/>
                <w:showingPlcHdr/>
                <w15:dataBinding w:prefixMappings="xmlns:clcid-pte='clcid-pte'" w:xpath="/*/clcid-pte:GenJuShuiShouKuaiJiDengFaLvFaGuiDeYaoQiuDuiDangQiSunYiJinXingYiCiXingTiaoZhengDuiDangQiSunYiDeYingXiang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4def2df1c1c46b4a323a839a0727abf"/>
                <w:id w:val="865727395"/>
                <w:lock w:val="sdtLocked"/>
              </w:sdtPr>
              <w:sdtContent>
                <w:tc>
                  <w:tcPr>
                    <w:tcW w:w="2242" w:type="pct"/>
                    <w:shd w:val="clear" w:color="auto" w:fill="auto"/>
                    <w:vAlign w:val="center"/>
                  </w:tcPr>
                  <w:p>
                    <w:pPr>
                      <w:rPr>
                        <w:szCs w:val="21"/>
                      </w:rPr>
                    </w:pPr>
                    <w:r>
                      <w:rPr>
                        <w:rFonts w:hint="eastAsia"/>
                        <w:szCs w:val="21"/>
                      </w:rPr>
                      <w:t>受托经营取得的托管费收入</w:t>
                    </w:r>
                  </w:p>
                </w:tc>
              </w:sdtContent>
            </w:sdt>
            <w:sdt>
              <w:sdtPr>
                <w:rPr>
                  <w:rFonts w:ascii="Times New Roman" w:hAnsi="Times New Roman" w:cs="Times New Roman"/>
                  <w:szCs w:val="21"/>
                </w:rPr>
                <w:alias w:val="受托经营取得的托管费收入（非经常性损益项目）"/>
                <w:tag w:val="_GBC_663696f2cd0a4fd2bdca4465abf7993f"/>
                <w:id w:val="865727396"/>
                <w:lock w:val="sdtLocked"/>
                <w:showingPlcHdr/>
                <w15:dataBinding w:prefixMappings="xmlns:clcid-pte='clcid-pte'" w:xpath="/*/clcid-pte:ShouTuoJingYingQuDeDeTuoGuanFeiShouRu[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cs="Times New Roman"/>
                        <w:color w:val="0000FF"/>
                        <w:szCs w:val="21"/>
                      </w:rPr>
                      <w:t>　</w:t>
                    </w:r>
                  </w:p>
                </w:tc>
              </w:sdtContent>
            </w:sdt>
            <w:sdt>
              <w:sdtPr>
                <w:rPr>
                  <w:szCs w:val="21"/>
                </w:rPr>
                <w:alias w:val="受托经营取得的托管费收入的说明（非经常性损益项目）"/>
                <w:tag w:val="_GBC_55cffaeec7534a328908ea82413d2702"/>
                <w:id w:val="865727397"/>
                <w:lock w:val="sdtLocked"/>
                <w:showingPlcHdr/>
                <w15:dataBinding w:prefixMappings="xmlns:clcid-pte='clcid-pte'" w:xpath="/*/clcid-pte:ShouTuoJingYingQuDeDeTuoGuanFeiShouRu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2562e8b8e8748b7bc3bcbcc53f02716"/>
                <w:id w:val="865727398"/>
                <w:lock w:val="sdtLocked"/>
              </w:sdtPr>
              <w:sdtContent>
                <w:tc>
                  <w:tcPr>
                    <w:tcW w:w="2242" w:type="pct"/>
                    <w:shd w:val="clear" w:color="auto" w:fill="auto"/>
                    <w:vAlign w:val="center"/>
                  </w:tcPr>
                  <w:p>
                    <w:pPr>
                      <w:rPr>
                        <w:szCs w:val="21"/>
                      </w:rPr>
                    </w:pPr>
                    <w:r>
                      <w:rPr>
                        <w:rFonts w:hint="eastAsia"/>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6402a2f652bb4c68acec62c34d96d8ab"/>
                <w:id w:val="865727399"/>
                <w:lock w:val="sdtLocked"/>
                <w15:dataBinding w:prefixMappings="xmlns:clcid-pte='clcid-pte'" w:xpath="/*/clcid-pte:ChuShangShuGeXiangZhiWaiDeQiTaYingYeWaiShouZhiJingE[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-2,328,559.44</w:t>
                    </w:r>
                  </w:p>
                </w:tc>
              </w:sdtContent>
            </w:sdt>
            <w:sdt>
              <w:sdtPr>
                <w:rPr>
                  <w:szCs w:val="21"/>
                </w:rPr>
                <w:alias w:val="除上述各项之外的其他营业外收入和支出的说明（非经常性损益项目）"/>
                <w:tag w:val="_GBC_c4fc3e35307e455db3b9161cb811a087"/>
                <w:id w:val="865727400"/>
                <w:lock w:val="sdtLocked"/>
                <w:showingPlcHdr/>
                <w15:dataBinding w:prefixMappings="xmlns:clcid-pte='clcid-pte'" w:xpath="/*/clcid-pte:ChuShangShuGeXiangZhiWaiDeQiTaYingYeWaiShouZhiJingE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46d1e2f473468580a990d3ad282ce2"/>
                <w:id w:val="865727401"/>
                <w:lock w:val="sdtLocked"/>
              </w:sdtPr>
              <w:sdtContent>
                <w:tc>
                  <w:tcPr>
                    <w:tcW w:w="2242" w:type="pct"/>
                    <w:shd w:val="clear" w:color="auto" w:fill="auto"/>
                    <w:vAlign w:val="center"/>
                  </w:tcPr>
                  <w:p>
                    <w:pPr>
                      <w:rPr>
                        <w:szCs w:val="21"/>
                      </w:rPr>
                    </w:pPr>
                    <w:r>
                      <w:rPr>
                        <w:rFonts w:hint="eastAsia"/>
                        <w:szCs w:val="21"/>
                      </w:rPr>
                      <w:t>其他符合非经常性损益定义的损益项目</w:t>
                    </w:r>
                  </w:p>
                </w:tc>
              </w:sdtContent>
            </w:sdt>
            <w:sdt>
              <w:sdtPr>
                <w:rPr>
                  <w:rFonts w:ascii="Times New Roman" w:hAnsi="Times New Roman" w:cs="Times New Roman"/>
                  <w:szCs w:val="21"/>
                </w:rPr>
                <w:alias w:val="其他符合非经常性损益定义的损益项目（非经常性损益项目）"/>
                <w:tag w:val="_GBC_fe4d2d743517484083fb57df1a93df08"/>
                <w:id w:val="865727402"/>
                <w:lock w:val="sdtLocked"/>
                <w:showingPlcHdr/>
                <w15:dataBinding w:prefixMappings="xmlns:clcid-pte='clcid-pte'" w:xpath="/*/clcid-pte:QiTaFeiJingChangXingSunYiXiangMu[not(@periodRef)]" w:storeItemID="{89EBAB94-44A0-46A2-B712-30D997D04A6D}"/>
                <w:text/>
              </w:sdtPr>
              <w:sdtEndPr>
                <w:rPr>
                  <w:rFonts w:ascii="Times New Roman" w:hAnsi="Times New Roman" w:cs="Times New Roman"/>
                  <w:szCs w:val="21"/>
                </w:rPr>
              </w:sdtEndPr>
              <w:sdtContent>
                <w:tc>
                  <w:tcPr>
                    <w:tcW w:w="1376" w:type="pct"/>
                    <w:shd w:val="clear" w:color="auto" w:fill="auto"/>
                    <w:vAlign w:val="center"/>
                  </w:tcPr>
                  <w:p>
                    <w:pPr>
                      <w:jc w:val="right"/>
                      <w:rPr>
                        <w:rFonts w:ascii="Times New Roman" w:hAnsi="Times New Roman" w:cs="Times New Roman"/>
                        <w:szCs w:val="21"/>
                      </w:rPr>
                    </w:pPr>
                    <w:r>
                      <w:rPr>
                        <w:rFonts w:ascii="Times New Roman" w:hAnsi="Times New Roman" w:cs="Times New Roman"/>
                        <w:szCs w:val="21"/>
                      </w:rPr>
                      <w:t xml:space="preserve">     </w:t>
                    </w:r>
                  </w:p>
                </w:tc>
              </w:sdtContent>
            </w:sdt>
            <w:sdt>
              <w:sdtPr>
                <w:rPr>
                  <w:rFonts w:hint="eastAsia"/>
                  <w:szCs w:val="21"/>
                </w:rPr>
                <w:alias w:val="其他符合非经常性损益定义的损益项目说明（非经常性损益项目）"/>
                <w:tag w:val="_GBC_88d5aaf5624d44b4a912d7c291f5337b"/>
                <w:id w:val="865727403"/>
                <w:lock w:val="sdtLocked"/>
                <w:showingPlcHdr/>
                <w15:dataBinding w:prefixMappings="xmlns:clcid-pte='clcid-pte'" w:xpath="/*/clcid-pte:QiTaFeiJingChangXingSunYiXiangMuShuoMing[not(@periodRef)]" w:storeItemID="{89EBAB94-44A0-46A2-B712-30D997D04A6D}"/>
                <w:text/>
              </w:sdtPr>
              <w:sdtEndPr>
                <w:rPr>
                  <w:rFonts w:hint="eastAsia"/>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4e101e61b874b57a1570c979109fa20"/>
                <w:id w:val="865727404"/>
                <w:lock w:val="sdtLocked"/>
              </w:sdtPr>
              <w:sdtContent>
                <w:tc>
                  <w:tcPr>
                    <w:tcW w:w="2242" w:type="pct"/>
                    <w:shd w:val="clear" w:color="auto" w:fill="auto"/>
                    <w:vAlign w:val="center"/>
                  </w:tcPr>
                  <w:p>
                    <w:pPr>
                      <w:rPr>
                        <w:szCs w:val="21"/>
                      </w:rPr>
                    </w:pPr>
                    <w:r>
                      <w:rPr>
                        <w:rFonts w:hint="eastAsia"/>
                        <w:szCs w:val="21"/>
                      </w:rPr>
                      <w:t>减：所得税影响额</w:t>
                    </w:r>
                  </w:p>
                </w:tc>
              </w:sdtContent>
            </w:sdt>
            <w:sdt>
              <w:sdtPr>
                <w:rPr>
                  <w:rFonts w:ascii="Times New Roman" w:hAnsi="Times New Roman" w:cs="Times New Roman"/>
                  <w:szCs w:val="21"/>
                </w:rPr>
                <w:alias w:val="非经常性损益_对所得税的影响"/>
                <w:tag w:val="_GBC_7c06520ea03942669b02b787ffcbb214"/>
                <w:id w:val="865727405"/>
                <w:lock w:val="sdtLocked"/>
                <w15:dataBinding w:prefixMappings="xmlns:clcid-pte='clcid-pte'" w:xpath="/*/clcid-pte:FeiJingChangXingSunYiDeKouChuXiangMuDuiSuoDeShuiDeYingXiang[not(@periodRef)]" w:storeItemID="{89EBAB94-44A0-46A2-B712-30D997D04A6D}"/>
                <w:text/>
              </w:sdtPr>
              <w:sdtEndPr>
                <w:rPr>
                  <w:rFonts w:ascii="Times New Roman" w:hAnsi="Times New Roman" w:cs="Times New Roman"/>
                  <w:szCs w:val="21"/>
                </w:rPr>
              </w:sdtEndPr>
              <w:sdtContent>
                <w:tc>
                  <w:tcPr>
                    <w:tcW w:w="1376" w:type="pct"/>
                    <w:shd w:val="clear" w:color="auto" w:fill="auto"/>
                  </w:tcPr>
                  <w:p>
                    <w:pPr>
                      <w:jc w:val="right"/>
                      <w:rPr>
                        <w:rFonts w:ascii="Times New Roman" w:hAnsi="Times New Roman" w:cs="Times New Roman"/>
                        <w:szCs w:val="21"/>
                      </w:rPr>
                    </w:pPr>
                    <w:r>
                      <w:rPr>
                        <w:rFonts w:hint="eastAsia" w:ascii="Times New Roman" w:hAnsi="Times New Roman" w:cs="Times New Roman"/>
                        <w:szCs w:val="21"/>
                      </w:rPr>
                      <w:t>-6,439,531.21</w:t>
                    </w:r>
                  </w:p>
                </w:tc>
              </w:sdtContent>
            </w:sdt>
            <w:sdt>
              <w:sdtPr>
                <w:rPr>
                  <w:szCs w:val="21"/>
                </w:rPr>
                <w:alias w:val="所得税影响额的说明（非经常性损益项目）"/>
                <w:tag w:val="_GBC_7ed1b962000f41dc8da48b033f074791"/>
                <w:id w:val="865727406"/>
                <w:lock w:val="sdtLocked"/>
                <w:showingPlcHdr/>
                <w15:dataBinding w:prefixMappings="xmlns:clcid-pte='clcid-pte'" w:xpath="/*/clcid-pte:FeiJingChangXingSunYiDeKouChuXiangMuDuiSuoDeShuiDeYingXiang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ef8314272f64724b14118b0bf880aae"/>
                <w:id w:val="865727407"/>
                <w:lock w:val="sdtLocked"/>
              </w:sdtPr>
              <w:sdtContent>
                <w:tc>
                  <w:tcPr>
                    <w:tcW w:w="2242" w:type="pct"/>
                    <w:shd w:val="clear" w:color="auto" w:fill="auto"/>
                    <w:vAlign w:val="center"/>
                  </w:tcPr>
                  <w:p>
                    <w:pPr>
                      <w:rPr>
                        <w:szCs w:val="21"/>
                      </w:rPr>
                    </w:pPr>
                    <w:r>
                      <w:rPr>
                        <w:rFonts w:hint="eastAsia"/>
                        <w:szCs w:val="21"/>
                      </w:rPr>
                      <w:t>少数股东权益影响额</w:t>
                    </w:r>
                  </w:p>
                </w:tc>
              </w:sdtContent>
            </w:sdt>
            <w:sdt>
              <w:sdtPr>
                <w:rPr>
                  <w:rFonts w:ascii="Times New Roman" w:hAnsi="Times New Roman" w:cs="Times New Roman"/>
                  <w:szCs w:val="21"/>
                </w:rPr>
                <w:alias w:val="少数股东权益影响额（非经常性损益项目）"/>
                <w:tag w:val="_GBC_285f00e961c943a8a9d140a4d52403f1"/>
                <w:id w:val="865727408"/>
                <w:lock w:val="sdtLocked"/>
                <w15:dataBinding w:prefixMappings="xmlns:clcid-pte='clcid-pte'" w:xpath="/*/clcid-pte:FeiJingChangXingSunYiXiangMuZhongShaoShuGuDongQuanYiYingXiangE[not(@periodRef)]" w:storeItemID="{89EBAB94-44A0-46A2-B712-30D997D04A6D}"/>
                <w:text/>
              </w:sdtPr>
              <w:sdtEndPr>
                <w:rPr>
                  <w:rFonts w:ascii="Times New Roman" w:hAnsi="Times New Roman" w:cs="Times New Roman"/>
                  <w:szCs w:val="21"/>
                </w:rPr>
              </w:sdtEndPr>
              <w:sdtContent>
                <w:tc>
                  <w:tcPr>
                    <w:tcW w:w="1376" w:type="pct"/>
                    <w:shd w:val="clear" w:color="auto" w:fill="auto"/>
                  </w:tcPr>
                  <w:p>
                    <w:pPr>
                      <w:jc w:val="right"/>
                      <w:rPr>
                        <w:rFonts w:ascii="Times New Roman" w:hAnsi="Times New Roman" w:cs="Times New Roman"/>
                        <w:szCs w:val="21"/>
                      </w:rPr>
                    </w:pPr>
                    <w:r>
                      <w:rPr>
                        <w:rFonts w:hint="eastAsia" w:ascii="Times New Roman" w:hAnsi="Times New Roman" w:cs="Times New Roman"/>
                        <w:szCs w:val="21"/>
                      </w:rPr>
                      <w:t>230,920.52</w:t>
                    </w:r>
                  </w:p>
                </w:tc>
              </w:sdtContent>
            </w:sdt>
            <w:sdt>
              <w:sdtPr>
                <w:rPr>
                  <w:szCs w:val="21"/>
                </w:rPr>
                <w:alias w:val="少数股东权益影响额的说明（非经常性损益项目）"/>
                <w:tag w:val="_GBC_c9a288fb29d348cbb8d20de9f399a549"/>
                <w:id w:val="865727409"/>
                <w:lock w:val="sdtLocked"/>
                <w:showingPlcHdr/>
                <w15:dataBinding w:prefixMappings="xmlns:clcid-pte='clcid-pte'" w:xpath="/*/clcid-pte:FeiJingChangXingSunYiXiangMuZhongShaoShuGuDongQuanYiYingXiangEShuoMing[not(@periodRef)]" w:storeItemID="{89EBAB94-44A0-46A2-B712-30D997D04A6D}"/>
                <w:text/>
              </w:sdtPr>
              <w:sdtEndPr>
                <w:rPr>
                  <w:szCs w:val="21"/>
                </w:rPr>
              </w:sdtEndPr>
              <w:sdtContent>
                <w:tc>
                  <w:tcPr>
                    <w:tcW w:w="1382" w:type="pct"/>
                  </w:tcPr>
                  <w:p>
                    <w:pPr>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8b8fcf7dc3d486cbd794deec60f6f28"/>
                <w:id w:val="865727410"/>
                <w:lock w:val="sdtLocked"/>
              </w:sdtPr>
              <w:sdtContent>
                <w:tc>
                  <w:tcPr>
                    <w:tcW w:w="2242" w:type="pct"/>
                    <w:shd w:val="clear" w:color="auto" w:fill="auto"/>
                    <w:vAlign w:val="center"/>
                  </w:tcPr>
                  <w:p>
                    <w:pPr>
                      <w:jc w:val="center"/>
                      <w:rPr>
                        <w:szCs w:val="21"/>
                      </w:rPr>
                    </w:pPr>
                    <w:r>
                      <w:rPr>
                        <w:rFonts w:hint="eastAsia"/>
                        <w:szCs w:val="21"/>
                      </w:rPr>
                      <w:t>合计</w:t>
                    </w:r>
                  </w:p>
                </w:tc>
              </w:sdtContent>
            </w:sdt>
            <w:sdt>
              <w:sdtPr>
                <w:rPr>
                  <w:rFonts w:ascii="Times New Roman" w:hAnsi="Times New Roman" w:cs="Times New Roman"/>
                  <w:szCs w:val="21"/>
                </w:rPr>
                <w:alias w:val="扣除的非经常性损益合计"/>
                <w:tag w:val="_GBC_dbd56aa5278f45e1a3a0a62cc2b32d3d"/>
                <w:id w:val="865727411"/>
                <w:lock w:val="sdtLocked"/>
                <w15:dataBinding w:prefixMappings="xmlns:clcid-pte='clcid-pte'" w:xpath="/*/clcid-pte:KouChuDeFeiJingChangXingSunYiHeJi[not(@periodRef)]" w:storeItemID="{89EBAB94-44A0-46A2-B712-30D997D04A6D}"/>
                <w:text/>
              </w:sdtPr>
              <w:sdtEndPr>
                <w:rPr>
                  <w:rFonts w:ascii="Times New Roman" w:hAnsi="Times New Roman" w:cs="Times New Roman"/>
                  <w:szCs w:val="21"/>
                </w:rPr>
              </w:sdtEndPr>
              <w:sdtContent>
                <w:tc>
                  <w:tcPr>
                    <w:tcW w:w="1376" w:type="pct"/>
                    <w:shd w:val="clear" w:color="auto" w:fill="auto"/>
                  </w:tcPr>
                  <w:p>
                    <w:pPr>
                      <w:jc w:val="right"/>
                      <w:rPr>
                        <w:rFonts w:ascii="Times New Roman" w:hAnsi="Times New Roman" w:cs="Times New Roman"/>
                        <w:szCs w:val="21"/>
                      </w:rPr>
                    </w:pPr>
                    <w:r>
                      <w:rPr>
                        <w:rFonts w:ascii="Times New Roman" w:hAnsi="Times New Roman" w:cs="Times New Roman"/>
                        <w:szCs w:val="21"/>
                      </w:rPr>
                      <w:t>6,958,414.27</w:t>
                    </w:r>
                  </w:p>
                </w:tc>
              </w:sdtContent>
            </w:sdt>
            <w:sdt>
              <w:sdtPr>
                <w:rPr>
                  <w:rFonts w:hint="eastAsia"/>
                  <w:szCs w:val="21"/>
                </w:rPr>
                <w:alias w:val="扣除的非经常性损益合计说明"/>
                <w:tag w:val="_GBC_fd47d890fc7a493192e451b6575f5e8a"/>
                <w:id w:val="865727412"/>
                <w:lock w:val="sdtLocked"/>
                <w:showingPlcHdr/>
                <w15:dataBinding w:prefixMappings="xmlns:clcid-pte='clcid-pte'" w:xpath="/*/clcid-pte:KouChuDeFeiJingChangXingSunYiHeJiShuoMing[not(@periodRef)]" w:storeItemID="{89EBAB94-44A0-46A2-B712-30D997D04A6D}"/>
                <w:text/>
              </w:sdtPr>
              <w:sdtEndPr>
                <w:rPr>
                  <w:rFonts w:hint="eastAsia"/>
                  <w:szCs w:val="21"/>
                </w:rPr>
              </w:sdtEndPr>
              <w:sdtContent>
                <w:tc>
                  <w:tcPr>
                    <w:tcW w:w="1382" w:type="pct"/>
                  </w:tcPr>
                  <w:p>
                    <w:pPr>
                      <w:rPr>
                        <w:szCs w:val="21"/>
                      </w:rPr>
                    </w:pPr>
                    <w:r>
                      <w:rPr>
                        <w:rFonts w:hint="eastAsia"/>
                        <w:color w:val="0000FF"/>
                        <w:szCs w:val="21"/>
                      </w:rPr>
                      <w:t>　</w:t>
                    </w:r>
                  </w:p>
                </w:tc>
              </w:sdtContent>
            </w:sdt>
          </w:tr>
        </w:tbl>
        <w:p/>
      </w:sdtContent>
    </w:sdt>
    <w:sdt>
      <w:sdtPr>
        <w:rPr>
          <w:rFonts w:hint="eastAsia"/>
          <w:szCs w:val="21"/>
        </w:rPr>
        <w:alias w:val="模块:对公司根据《公开发行证券的公司信息披露解释性公告第1号——非..."/>
        <w:tag w:val="_GBC_7944e47348cd4cd186b958ba1902ea3f"/>
        <w:id w:val="865727415"/>
        <w:lock w:val="sdtLocked"/>
        <w:placeholder>
          <w:docPart w:val="GBC22222222222222222222222222222"/>
        </w:placeholder>
      </w:sdtPr>
      <w:sdtEndPr>
        <w:rPr>
          <w:rFonts w:hint="default"/>
          <w:szCs w:val="24"/>
        </w:rPr>
      </w:sdtEndPr>
      <w:sdtContent>
        <w:p>
          <w:pPr>
            <w:spacing w:line="400" w:lineRule="exact"/>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865727414"/>
            <w:lock w:val="sdtLocked"/>
            <w:placeholder>
              <w:docPart w:val="GBC22222222222222222222222222222"/>
            </w:placeholder>
          </w:sdtPr>
          <w:sdtEndPr>
            <w:rPr>
              <w:szCs w:val="21"/>
            </w:rPr>
          </w:sdtEndPr>
          <w:sdtContent>
            <w:p>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cs="宋体"/>
          <w:b w:val="0"/>
          <w:bCs w:val="0"/>
          <w:kern w:val="0"/>
          <w:szCs w:val="21"/>
        </w:rPr>
        <w:alias w:val="模块:净资产收益率及每股收益"/>
        <w:tag w:val="_GBC_146d888914ac4591bea1ff0ea9e89617"/>
        <w:id w:val="86572742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138"/>
            </w:numPr>
            <w:rPr>
              <w:szCs w:val="21"/>
            </w:rPr>
          </w:pPr>
          <w:r>
            <w:rPr>
              <w:rFonts w:hint="eastAsia"/>
              <w:szCs w:val="21"/>
            </w:rPr>
            <w:t>净资产</w:t>
          </w:r>
          <w:r>
            <w:rPr>
              <w:rFonts w:hint="eastAsia" w:ascii="宋体" w:hAnsi="宋体"/>
              <w:szCs w:val="21"/>
            </w:rPr>
            <w:t>收益率</w:t>
          </w:r>
          <w:r>
            <w:rPr>
              <w:rFonts w:hint="eastAsia"/>
              <w:szCs w:val="21"/>
            </w:rPr>
            <w:t>及每股收益</w:t>
          </w:r>
        </w:p>
        <w:sdt>
          <w:sdtPr>
            <w:alias w:val="是否适用：净资产收益率及每股收益[双击切换]"/>
            <w:tag w:val="_GBC_c0f530bdf9ee48239f470eda08b303d7"/>
            <w:id w:val="86572741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14"/>
            <w:gridCol w:w="1841"/>
            <w:gridCol w:w="2146"/>
            <w:gridCol w:w="21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sdt>
              <w:sdtPr>
                <w:rPr>
                  <w:rFonts w:ascii="Times New Roman" w:hAnsi="Times New Roman" w:cs="Times New Roman"/>
                </w:rPr>
                <w:tag w:val="_PLD_85d9a7abc9cd45768b2b5f99afa4a4ef"/>
                <w:id w:val="865727417"/>
                <w:lock w:val="sdtLocked"/>
              </w:sdtPr>
              <w:sdtEndPr>
                <w:rPr>
                  <w:rFonts w:ascii="Times New Roman" w:hAnsi="Times New Roman" w:cs="Times New Roman"/>
                </w:rPr>
              </w:sdtEndPr>
              <w:sdtContent>
                <w:tc>
                  <w:tcPr>
                    <w:tcW w:w="1610"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报告期利润</w:t>
                    </w:r>
                  </w:p>
                </w:tc>
              </w:sdtContent>
            </w:sdt>
            <w:sdt>
              <w:sdtPr>
                <w:rPr>
                  <w:rFonts w:ascii="Times New Roman" w:hAnsi="Times New Roman" w:cs="Times New Roman"/>
                </w:rPr>
                <w:tag w:val="_PLD_7f5ad103cbb04f7d904001b07266bf41"/>
                <w:id w:val="865727418"/>
                <w:lock w:val="sdtLocked"/>
              </w:sdtPr>
              <w:sdtEndPr>
                <w:rPr>
                  <w:rFonts w:ascii="Times New Roman" w:hAnsi="Times New Roman" w:cs="Times New Roman"/>
                </w:rPr>
              </w:sdtEndPr>
              <w:sdtContent>
                <w:tc>
                  <w:tcPr>
                    <w:tcW w:w="101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加权平均净资产收益率（</w:t>
                    </w:r>
                    <w:r>
                      <w:rPr>
                        <w:rFonts w:ascii="Times New Roman" w:hAnsi="Times New Roman" w:cs="Times New Roman"/>
                        <w:szCs w:val="21"/>
                      </w:rPr>
                      <w:t>%</w:t>
                    </w:r>
                    <w:r>
                      <w:rPr>
                        <w:rFonts w:ascii="Times New Roman" w:cs="Times New Roman"/>
                        <w:szCs w:val="21"/>
                      </w:rPr>
                      <w:t>）</w:t>
                    </w:r>
                  </w:p>
                </w:tc>
              </w:sdtContent>
            </w:sdt>
            <w:sdt>
              <w:sdtPr>
                <w:rPr>
                  <w:rFonts w:ascii="Times New Roman" w:hAnsi="Times New Roman" w:cs="Times New Roman"/>
                </w:rPr>
                <w:tag w:val="_PLD_adaa515ff68f455d8bcd75e516da3040"/>
                <w:id w:val="865727419"/>
                <w:lock w:val="sdtLocked"/>
              </w:sdtPr>
              <w:sdtEndPr>
                <w:rPr>
                  <w:rFonts w:ascii="Times New Roman" w:hAnsi="Times New Roman" w:cs="Times New Roman"/>
                </w:rPr>
              </w:sdtEndPr>
              <w:sdtContent>
                <w:tc>
                  <w:tcPr>
                    <w:tcW w:w="2373"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1017"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sdt>
              <w:sdtPr>
                <w:rPr>
                  <w:rFonts w:ascii="Times New Roman" w:hAnsi="Times New Roman" w:cs="Times New Roman"/>
                </w:rPr>
                <w:tag w:val="_PLD_503a9e353572491fb64751c75881b5ac"/>
                <w:id w:val="865727420"/>
                <w:lock w:val="sdtLocked"/>
              </w:sdtPr>
              <w:sdtEndPr>
                <w:rPr>
                  <w:rFonts w:ascii="Times New Roman" w:hAnsi="Times New Roman" w:cs="Times New Roman"/>
                </w:rPr>
              </w:sdtEndPr>
              <w:sdtContent>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基本每股收益</w:t>
                    </w:r>
                  </w:p>
                </w:tc>
              </w:sdtContent>
            </w:sdt>
            <w:sdt>
              <w:sdtPr>
                <w:rPr>
                  <w:rFonts w:ascii="Times New Roman" w:hAnsi="Times New Roman" w:cs="Times New Roman"/>
                </w:rPr>
                <w:tag w:val="_PLD_b57959d0e3714f2590eb4529892e5c18"/>
                <w:id w:val="865727421"/>
                <w:lock w:val="sdtLocked"/>
              </w:sdtPr>
              <w:sdtEndPr>
                <w:rPr>
                  <w:rFonts w:ascii="Times New Roman" w:hAnsi="Times New Roman" w:cs="Times New Roman"/>
                </w:rPr>
              </w:sdtEndPr>
              <w:sdtContent>
                <w:tc>
                  <w:tcPr>
                    <w:tcW w:w="118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cs="Times New Roman"/>
                        <w:szCs w:val="21"/>
                      </w:rPr>
                      <w:t>稀释每股收益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sdt>
              <w:sdtPr>
                <w:rPr>
                  <w:rFonts w:ascii="Times New Roman" w:hAnsi="Times New Roman" w:cs="Times New Roman"/>
                </w:rPr>
                <w:tag w:val="_PLD_c5b1926e38d64ba1ae7baa00924da8f8"/>
                <w:id w:val="865727422"/>
                <w:lock w:val="sdtLocked"/>
              </w:sdtPr>
              <w:sdtEndPr>
                <w:rPr>
                  <w:rFonts w:ascii="Times New Roman" w:hAnsi="Times New Roman" w:cs="Times New Roman"/>
                </w:rPr>
              </w:sdtEndPr>
              <w:sdtContent>
                <w:tc>
                  <w:tcPr>
                    <w:tcW w:w="1610"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归属于公司普通股股东的净利润</w:t>
                    </w:r>
                  </w:p>
                </w:tc>
              </w:sdtContent>
            </w:sdt>
            <w:tc>
              <w:tcPr>
                <w:tcW w:w="101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0.4060</w:t>
                </w:r>
              </w:p>
            </w:tc>
            <w:tc>
              <w:tcPr>
                <w:tcW w:w="118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0.0157</w:t>
                </w:r>
              </w:p>
            </w:tc>
            <w:tc>
              <w:tcPr>
                <w:tcW w:w="118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sdt>
              <w:sdtPr>
                <w:rPr>
                  <w:rFonts w:ascii="Times New Roman" w:hAnsi="Times New Roman" w:cs="Times New Roman"/>
                </w:rPr>
                <w:tag w:val="_PLD_9faa0a246122481782395074d86cca8e"/>
                <w:id w:val="865727423"/>
                <w:lock w:val="sdtLocked"/>
              </w:sdtPr>
              <w:sdtEndPr>
                <w:rPr>
                  <w:rFonts w:ascii="Times New Roman" w:hAnsi="Times New Roman" w:cs="Times New Roman"/>
                </w:rPr>
              </w:sdtEndPr>
              <w:sdtContent>
                <w:tc>
                  <w:tcPr>
                    <w:tcW w:w="1610" w:type="pc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szCs w:val="21"/>
                      </w:rPr>
                    </w:pPr>
                    <w:r>
                      <w:rPr>
                        <w:rFonts w:ascii="Times New Roman" w:cs="Times New Roman"/>
                        <w:szCs w:val="21"/>
                      </w:rPr>
                      <w:t>扣除非经常性损益后归属于公司普通股股东的净利润</w:t>
                    </w:r>
                  </w:p>
                </w:tc>
              </w:sdtContent>
            </w:sdt>
            <w:tc>
              <w:tcPr>
                <w:tcW w:w="101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0.0800</w:t>
                </w:r>
              </w:p>
            </w:tc>
            <w:tc>
              <w:tcPr>
                <w:tcW w:w="1186"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0.0031</w:t>
                </w:r>
              </w:p>
            </w:tc>
            <w:tc>
              <w:tcPr>
                <w:tcW w:w="1187" w:type="pct"/>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24"/>
                  </w:rPr>
                </w:pPr>
                <w:r>
                  <w:rPr>
                    <w:rFonts w:ascii="Times New Roman" w:hAnsi="Times New Roman" w:cs="Times New Roman"/>
                  </w:rPr>
                  <w:t>0.0031</w:t>
                </w:r>
              </w:p>
            </w:tc>
          </w:tr>
        </w:tbl>
        <w:p>
          <w:pPr>
            <w:rPr>
              <w:szCs w:val="21"/>
            </w:rPr>
          </w:pPr>
        </w:p>
      </w:sdtContent>
    </w:sdt>
    <w:p>
      <w:pPr>
        <w:pStyle w:val="4"/>
        <w:numPr>
          <w:ilvl w:val="0"/>
          <w:numId w:val="138"/>
        </w:numPr>
        <w:rPr>
          <w:rFonts w:ascii="宋体" w:hAnsi="宋体"/>
          <w:szCs w:val="21"/>
        </w:rPr>
      </w:pPr>
      <w:r>
        <w:rPr>
          <w:rFonts w:hint="eastAsia" w:ascii="宋体" w:hAnsi="宋体"/>
          <w:szCs w:val="21"/>
        </w:rPr>
        <w:t>境内外会计准则下会计数据差异</w:t>
      </w:r>
    </w:p>
    <w:sdt>
      <w:sdtPr>
        <w:alias w:val="是否适用：境内外会计准则下会计数据差异[双击切换]"/>
        <w:tag w:val="_GBC_256af937a96e4869ba07cb19341957bb"/>
        <w:id w:val="865727425"/>
        <w:lock w:val="sdtLocked"/>
        <w:placeholder>
          <w:docPart w:val="GBC22222222222222222222222222222"/>
        </w:placeholder>
      </w:sdtPr>
      <w:sdtContent>
        <w:p>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
      <w:sdtPr>
        <w:rPr>
          <w:rFonts w:ascii="宋体" w:hAnsi="宋体" w:cs="宋体"/>
          <w:b w:val="0"/>
          <w:bCs w:val="0"/>
          <w:kern w:val="0"/>
          <w:szCs w:val="21"/>
        </w:rPr>
        <w:alias w:val="模块:补充资料其他说明事项"/>
        <w:tag w:val="_GBC_a60672e5f86e422cbb864ef991c9106b"/>
        <w:id w:val="865727427"/>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138"/>
            </w:numPr>
            <w:rPr>
              <w:szCs w:val="21"/>
            </w:rPr>
          </w:pPr>
          <w:r>
            <w:rPr>
              <w:rFonts w:hint="eastAsia"/>
              <w:szCs w:val="21"/>
            </w:rPr>
            <w:t>其他</w:t>
          </w:r>
        </w:p>
        <w:sdt>
          <w:sdtPr>
            <w:rPr>
              <w:rFonts w:hint="eastAsia"/>
              <w:szCs w:val="21"/>
            </w:rPr>
            <w:alias w:val="是否适用：补充资料其他说明事项[双击切换]"/>
            <w:tag w:val="_GBC_96c49cb17ab64891ac1d396be649be3c"/>
            <w:id w:val="86572742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sdt>
      <w:sdtPr>
        <w:rPr>
          <w:b/>
          <w:bCs/>
          <w:sz w:val="24"/>
        </w:rPr>
        <w:alias w:val="模块:落款"/>
        <w:tag w:val="_SEC_ee292353ab9b4a589b48f1e0cbc5adcd"/>
        <w:id w:val="865727430"/>
        <w:lock w:val="sdtLocked"/>
        <w:placeholder>
          <w:docPart w:val="GBC22222222222222222222222222222"/>
        </w:placeholder>
      </w:sdtPr>
      <w:sdtEndPr>
        <w:rPr>
          <w:b w:val="0"/>
          <w:bCs w:val="0"/>
          <w:sz w:val="21"/>
        </w:rPr>
      </w:sdtEndPr>
      <w:sdtContent>
        <w:p>
          <w:pPr>
            <w:spacing w:line="360" w:lineRule="exact"/>
            <w:ind w:right="5"/>
            <w:rPr>
              <w:b/>
              <w:bCs/>
              <w:sz w:val="24"/>
            </w:rPr>
          </w:pPr>
          <w:bookmarkStart w:id="255" w:name="_Hlk89951888"/>
          <w:bookmarkStart w:id="256" w:name="_Hlk90043452"/>
        </w:p>
        <w:p>
          <w:pPr>
            <w:wordWrap w:val="0"/>
            <w:spacing w:line="360" w:lineRule="exact"/>
            <w:ind w:right="480" w:firstLine="6000" w:firstLineChars="2500"/>
            <w:rPr>
              <w:sz w:val="24"/>
              <w:u w:val="single"/>
            </w:rPr>
          </w:pPr>
          <w:r>
            <w:rPr>
              <w:sz w:val="24"/>
            </w:rPr>
            <w:t>董事长：</w:t>
          </w:r>
          <w:sdt>
            <w:sdtPr>
              <w:rPr>
                <w:sz w:val="24"/>
              </w:rPr>
              <w:alias w:val="报告发布人"/>
              <w:tag w:val="_GBC_728ad6dff57942a69e22fcccc1f10a3c"/>
              <w:id w:val="865727428"/>
              <w:lock w:val="sdtLocked"/>
              <w:placeholder>
                <w:docPart w:val="GBC22222222222222222222222222222"/>
              </w:placeholder>
            </w:sdtPr>
            <w:sdtEndPr>
              <w:rPr>
                <w:sz w:val="24"/>
              </w:rPr>
            </w:sdtEndPr>
            <w:sdtContent>
              <w:r>
                <w:rPr>
                  <w:rFonts w:hint="eastAsia"/>
                  <w:sz w:val="24"/>
                </w:rPr>
                <w:t xml:space="preserve">林钻煌 </w:t>
              </w:r>
            </w:sdtContent>
          </w:sdt>
          <w:r>
            <w:rPr>
              <w:rFonts w:hint="eastAsia"/>
              <w:sz w:val="24"/>
            </w:rPr>
            <w:t xml:space="preserve"> </w:t>
          </w:r>
        </w:p>
        <w:p>
          <w:pPr>
            <w:spacing w:beforeLines="150" w:line="360" w:lineRule="exact"/>
            <w:jc w:val="right"/>
          </w:pPr>
          <w:r>
            <w:rPr>
              <w:sz w:val="24"/>
            </w:rPr>
            <w:t>董事会批准报送日期：</w:t>
          </w:r>
          <w:sdt>
            <w:sdtPr>
              <w:rPr>
                <w:rFonts w:ascii="Times New Roman" w:hAnsi="Times New Roman" w:cs="Times New Roman"/>
                <w:sz w:val="24"/>
              </w:rPr>
              <w:alias w:val="报告董事会批准报送日期"/>
              <w:tag w:val="_GBC_7b8c4a7926dc47299591537f5943936d"/>
              <w:id w:val="865727429"/>
              <w:lock w:val="sdtLocked"/>
              <w:placeholder>
                <w:docPart w:val="GBC22222222222222222222222222222"/>
              </w:placeholder>
              <w:date w:fullDate="2022-03-29T00:00:00Z">
                <w:dateFormat w:val="yyyy'年'M'月'd'日'"/>
                <w:lid w:val="zh-CN"/>
                <w:storeMappedDataAs w:val="datetime"/>
                <w:calendar w:val="gregorian"/>
              </w:date>
            </w:sdtPr>
            <w:sdtEndPr>
              <w:rPr>
                <w:rFonts w:ascii="Times New Roman" w:hAnsi="Times New Roman" w:cs="Times New Roman"/>
                <w:sz w:val="24"/>
              </w:rPr>
            </w:sdtEndPr>
            <w:sdtContent>
              <w:r>
                <w:rPr>
                  <w:rFonts w:ascii="Times New Roman" w:hAnsi="Times New Roman" w:cs="Times New Roman"/>
                  <w:sz w:val="24"/>
                </w:rPr>
                <w:t>2022</w:t>
              </w:r>
              <w:r>
                <w:rPr>
                  <w:rFonts w:ascii="Times New Roman" w:cs="Times New Roman"/>
                  <w:sz w:val="24"/>
                </w:rPr>
                <w:t>年</w:t>
              </w:r>
              <w:r>
                <w:rPr>
                  <w:rFonts w:ascii="Times New Roman" w:hAnsi="Times New Roman" w:cs="Times New Roman"/>
                  <w:sz w:val="24"/>
                </w:rPr>
                <w:t>3</w:t>
              </w:r>
              <w:r>
                <w:rPr>
                  <w:rFonts w:ascii="Times New Roman" w:cs="Times New Roman"/>
                  <w:sz w:val="24"/>
                </w:rPr>
                <w:t>月</w:t>
              </w:r>
              <w:r>
                <w:rPr>
                  <w:rFonts w:ascii="Times New Roman" w:hAnsi="Times New Roman" w:cs="Times New Roman"/>
                  <w:sz w:val="24"/>
                </w:rPr>
                <w:t>29</w:t>
              </w:r>
              <w:r>
                <w:rPr>
                  <w:rFonts w:ascii="Times New Roman" w:cs="Times New Roman"/>
                  <w:sz w:val="24"/>
                </w:rPr>
                <w:t>日</w:t>
              </w:r>
            </w:sdtContent>
          </w:sdt>
          <w:r>
            <w:rPr>
              <w:rFonts w:hint="eastAsia"/>
            </w:rPr>
            <w:t xml:space="preserve"> </w:t>
          </w:r>
        </w:p>
      </w:sdtContent>
    </w:sdt>
    <w:bookmarkEnd w:id="255"/>
    <w:bookmarkEnd w:id="256"/>
    <w:p>
      <w:pPr>
        <w:spacing w:line="360" w:lineRule="exact"/>
        <w:ind w:right="5"/>
        <w:rPr>
          <w:u w:val="single"/>
        </w:rPr>
      </w:pPr>
    </w:p>
    <w:p>
      <w:pPr>
        <w:spacing w:line="360" w:lineRule="exact"/>
        <w:ind w:right="5"/>
      </w:pPr>
    </w:p>
    <w:sdt>
      <w:sdtPr>
        <w:rPr>
          <w:sz w:val="24"/>
        </w:rPr>
        <w:alias w:val="模块:修订信息 "/>
        <w:tag w:val="_GBC_e51b54728b2e4e53b95b0611d0df9b06"/>
        <w:id w:val="865727432"/>
        <w:lock w:val="sdtLocked"/>
        <w:placeholder>
          <w:docPart w:val="GBC22222222222222222222222222222"/>
        </w:placeholder>
      </w:sdtPr>
      <w:sdtEndPr>
        <w:rPr>
          <w:sz w:val="21"/>
        </w:rPr>
      </w:sdtEndPr>
      <w:sdtContent>
        <w:p>
          <w:pPr>
            <w:spacing w:line="360" w:lineRule="exact"/>
            <w:ind w:right="5"/>
            <w:rPr>
              <w:b/>
              <w:sz w:val="24"/>
            </w:rPr>
          </w:pPr>
          <w:r>
            <w:rPr>
              <w:b/>
              <w:sz w:val="24"/>
            </w:rPr>
            <w:t>修订信息</w:t>
          </w:r>
        </w:p>
        <w:sdt>
          <w:sdtPr>
            <w:alias w:val="是否适用：修订信息表[双击切换]"/>
            <w:tag w:val="_GBC_888e757d42a24d3a87b71f50b0589b0a"/>
            <w:id w:val="86572743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ectPr>
      <w:pgSz w:w="11906" w:h="16838"/>
      <w:pgMar w:top="1440" w:right="1797" w:bottom="1525" w:left="1276"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Helvetica-Narrow">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Noto Sans CJK JP Regular">
    <w:altName w:val="微软雅黑"/>
    <w:panose1 w:val="00000000000000000000"/>
    <w:charset w:val="86"/>
    <w:family w:val="swiss"/>
    <w:pitch w:val="default"/>
    <w:sig w:usb0="00000000" w:usb1="00000000" w:usb2="00000016" w:usb3="00000000" w:csb0="002E0107" w:csb1="00000000"/>
  </w:font>
  <w:font w:name="微软雅黑">
    <w:panose1 w:val="020B0503020204020204"/>
    <w:charset w:val="86"/>
    <w:family w:val="auto"/>
    <w:pitch w:val="default"/>
    <w:sig w:usb0="80000287" w:usb1="2ACF3C50" w:usb2="00000016" w:usb3="00000000" w:csb0="0004001F" w:csb1="00000000"/>
  </w:font>
  <w:font w:name="FZLTSK--GBK1-0">
    <w:altName w:val="Times New Roman"/>
    <w:panose1 w:val="00000000000000000000"/>
    <w:charset w:val="00"/>
    <w:family w:val="roman"/>
    <w:pitch w:val="default"/>
    <w:sig w:usb0="00000000" w:usb1="00000000" w:usb2="00000000" w:usb3="00000000" w:csb0="00000000" w:csb1="00000000"/>
  </w:font>
  <w:font w:name="MingLiU">
    <w:altName w:val="Microsoft JhengHei"/>
    <w:panose1 w:val="02020509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宋体-方正超大字符集">
    <w:altName w:val="宋体"/>
    <w:panose1 w:val="00000000000000000000"/>
    <w:charset w:val="86"/>
    <w:family w:val="script"/>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7835307"/>
      <w:docPartObj>
        <w:docPartGallery w:val="autotext"/>
      </w:docPartObj>
    </w:sdtPr>
    <w:sdtContent>
      <w:sdt>
        <w:sdtPr>
          <w:id w:val="1080646581"/>
          <w:docPartObj>
            <w:docPartGallery w:val="autotext"/>
          </w:docPartObj>
        </w:sdtPr>
        <w:sdtContent>
          <w:p>
            <w:pPr>
              <w:pStyle w:val="25"/>
              <w:jc w:val="center"/>
            </w:pPr>
            <w:r>
              <w:rPr>
                <w:b/>
                <w:bCs/>
                <w:sz w:val="24"/>
                <w:szCs w:val="24"/>
              </w:rPr>
              <w:fldChar w:fldCharType="begin"/>
            </w:r>
            <w:r>
              <w:rPr>
                <w:b/>
                <w:bCs/>
              </w:rPr>
              <w:instrText xml:space="preserve">PAGE</w:instrText>
            </w:r>
            <w:r>
              <w:rPr>
                <w:b/>
                <w:bCs/>
                <w:sz w:val="24"/>
                <w:szCs w:val="24"/>
              </w:rPr>
              <w:fldChar w:fldCharType="separate"/>
            </w:r>
            <w:r>
              <w:rPr>
                <w:b/>
                <w:bCs/>
              </w:rPr>
              <w:t>82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202</w:t>
            </w:r>
            <w:r>
              <w:rPr>
                <w:b/>
                <w:bCs/>
                <w:sz w:val="24"/>
                <w:szCs w:val="24"/>
              </w:rPr>
              <w:fldChar w:fldCharType="end"/>
            </w:r>
          </w:p>
        </w:sdtContent>
      </w:sdt>
    </w:sdtContent>
  </w:sdt>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8364"/>
        <w:tab w:val="left" w:pos="8505"/>
        <w:tab w:val="clear" w:pos="8306"/>
      </w:tabs>
      <w:ind w:right="21" w:rightChars="10"/>
      <w:rPr>
        <w:b/>
      </w:rPr>
    </w:pPr>
    <w:r>
      <w:rPr>
        <w:rFonts w:hint="eastAsia"/>
      </w:rPr>
      <w:t>2021年年度报告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3058"/>
    <w:multiLevelType w:val="multilevel"/>
    <w:tmpl w:val="00533058"/>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01C7576E"/>
    <w:multiLevelType w:val="multilevel"/>
    <w:tmpl w:val="01C7576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2E66CBA"/>
    <w:multiLevelType w:val="multilevel"/>
    <w:tmpl w:val="02E66CBA"/>
    <w:lvl w:ilvl="0" w:tentative="0">
      <w:start w:val="1"/>
      <w:numFmt w:val="chineseCountingThousand"/>
      <w:suff w:val="nothing"/>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30B6E39"/>
    <w:multiLevelType w:val="multilevel"/>
    <w:tmpl w:val="030B6E39"/>
    <w:lvl w:ilvl="0" w:tentative="0">
      <w:start w:val="1"/>
      <w:numFmt w:val="chineseCountingThousand"/>
      <w:suff w:val="space"/>
      <w:lvlText w:val="%1、"/>
      <w:lvlJc w:val="left"/>
      <w:pPr>
        <w:ind w:left="1447" w:hanging="885"/>
      </w:pPr>
      <w:rPr>
        <w:rFonts w:hint="eastAsia"/>
        <w:lang w:val="en-US"/>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abstractNum w:abstractNumId="4">
    <w:nsid w:val="037142FD"/>
    <w:multiLevelType w:val="multilevel"/>
    <w:tmpl w:val="037142FD"/>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3B7239C"/>
    <w:multiLevelType w:val="multilevel"/>
    <w:tmpl w:val="03B7239C"/>
    <w:lvl w:ilvl="0" w:tentative="0">
      <w:start w:val="1"/>
      <w:numFmt w:val="chineseCountingThousand"/>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4322D58"/>
    <w:multiLevelType w:val="multilevel"/>
    <w:tmpl w:val="04322D58"/>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04364DD5"/>
    <w:multiLevelType w:val="multilevel"/>
    <w:tmpl w:val="04364DD5"/>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4560F83"/>
    <w:multiLevelType w:val="multilevel"/>
    <w:tmpl w:val="04560F8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076A22C6"/>
    <w:multiLevelType w:val="multilevel"/>
    <w:tmpl w:val="076A22C6"/>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80D0CFB"/>
    <w:multiLevelType w:val="multilevel"/>
    <w:tmpl w:val="080D0CFB"/>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8AD067E"/>
    <w:multiLevelType w:val="multilevel"/>
    <w:tmpl w:val="08AD067E"/>
    <w:lvl w:ilvl="0" w:tentative="0">
      <w:start w:val="1"/>
      <w:numFmt w:val="decimal"/>
      <w:lvlText w:val="（%1）"/>
      <w:lvlJc w:val="left"/>
      <w:pPr>
        <w:ind w:left="840" w:hanging="420"/>
      </w:pPr>
      <w:rPr>
        <w:rFonts w:hint="default"/>
      </w:rPr>
    </w:lvl>
    <w:lvl w:ilvl="1" w:tentative="0">
      <w:start w:val="1"/>
      <w:numFmt w:val="decimal"/>
      <w:lvlText w:val="（%2）"/>
      <w:lvlJc w:val="left"/>
      <w:pPr>
        <w:ind w:left="1134" w:hanging="510"/>
      </w:pPr>
      <w:rPr>
        <w:rFonts w:hint="default" w:ascii="Times New Roman" w:hAnsi="Times New Roman" w:cs="Times New Roman"/>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093C6900"/>
    <w:multiLevelType w:val="multilevel"/>
    <w:tmpl w:val="093C6900"/>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0C000243"/>
    <w:multiLevelType w:val="multilevel"/>
    <w:tmpl w:val="0C00024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0CAE1B45"/>
    <w:multiLevelType w:val="multilevel"/>
    <w:tmpl w:val="0CAE1B4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0E1F5ED2"/>
    <w:multiLevelType w:val="multilevel"/>
    <w:tmpl w:val="0E1F5ED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0EFF791D"/>
    <w:multiLevelType w:val="multilevel"/>
    <w:tmpl w:val="0EFF791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7">
    <w:nsid w:val="0F171263"/>
    <w:multiLevelType w:val="multilevel"/>
    <w:tmpl w:val="0F17126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0FB258AF"/>
    <w:multiLevelType w:val="multilevel"/>
    <w:tmpl w:val="0FB258A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9">
    <w:nsid w:val="10A00340"/>
    <w:multiLevelType w:val="multilevel"/>
    <w:tmpl w:val="10A00340"/>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1732E84"/>
    <w:multiLevelType w:val="multilevel"/>
    <w:tmpl w:val="11732E8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1">
    <w:nsid w:val="15621257"/>
    <w:multiLevelType w:val="multilevel"/>
    <w:tmpl w:val="1562125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2">
    <w:nsid w:val="16265715"/>
    <w:multiLevelType w:val="multilevel"/>
    <w:tmpl w:val="1626571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185F3408"/>
    <w:multiLevelType w:val="multilevel"/>
    <w:tmpl w:val="185F340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4">
    <w:nsid w:val="18982D2E"/>
    <w:multiLevelType w:val="multilevel"/>
    <w:tmpl w:val="18982D2E"/>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5">
    <w:nsid w:val="18A52FB9"/>
    <w:multiLevelType w:val="multilevel"/>
    <w:tmpl w:val="18A52FB9"/>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9B61093"/>
    <w:multiLevelType w:val="multilevel"/>
    <w:tmpl w:val="19B61093"/>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A876789"/>
    <w:multiLevelType w:val="multilevel"/>
    <w:tmpl w:val="1A876789"/>
    <w:lvl w:ilvl="0" w:tentative="0">
      <w:start w:val="1"/>
      <w:numFmt w:val="decimal"/>
      <w:lvlText w:val="%1."/>
      <w:lvlJc w:val="left"/>
      <w:pPr>
        <w:ind w:left="420" w:hanging="420"/>
      </w:pPr>
      <w:rPr>
        <w:rFonts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B0970AA"/>
    <w:multiLevelType w:val="multilevel"/>
    <w:tmpl w:val="1B0970AA"/>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9">
    <w:nsid w:val="1BCF0D86"/>
    <w:multiLevelType w:val="multilevel"/>
    <w:tmpl w:val="1BCF0D86"/>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1CEC30BF"/>
    <w:multiLevelType w:val="multilevel"/>
    <w:tmpl w:val="1CEC30BF"/>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1D11584D"/>
    <w:multiLevelType w:val="multilevel"/>
    <w:tmpl w:val="1D11584D"/>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2">
    <w:nsid w:val="1E235F8B"/>
    <w:multiLevelType w:val="multilevel"/>
    <w:tmpl w:val="1E235F8B"/>
    <w:lvl w:ilvl="0" w:tentative="0">
      <w:start w:val="1"/>
      <w:numFmt w:val="chineseCountingThousand"/>
      <w:lvlText w:val="第%1节"/>
      <w:lvlJc w:val="left"/>
      <w:pPr>
        <w:ind w:left="425" w:hanging="425"/>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3">
    <w:nsid w:val="1F4131F6"/>
    <w:multiLevelType w:val="multilevel"/>
    <w:tmpl w:val="1F4131F6"/>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1F6D425C"/>
    <w:multiLevelType w:val="multilevel"/>
    <w:tmpl w:val="1F6D425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1F9677B9"/>
    <w:multiLevelType w:val="multilevel"/>
    <w:tmpl w:val="1F9677B9"/>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6">
    <w:nsid w:val="1FD019D7"/>
    <w:multiLevelType w:val="multilevel"/>
    <w:tmpl w:val="1FD019D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7">
    <w:nsid w:val="204F3B0A"/>
    <w:multiLevelType w:val="multilevel"/>
    <w:tmpl w:val="204F3B0A"/>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ascii="宋体" w:hAnsi="宋体" w:eastAsia="宋体"/>
      </w:rPr>
    </w:lvl>
    <w:lvl w:ilvl="2" w:tentative="0">
      <w:start w:val="1"/>
      <w:numFmt w:val="chineseCountingThousand"/>
      <w:suff w:val="nothing"/>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8">
    <w:nsid w:val="2121200C"/>
    <w:multiLevelType w:val="multilevel"/>
    <w:tmpl w:val="2121200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9">
    <w:nsid w:val="217F3B1B"/>
    <w:multiLevelType w:val="multilevel"/>
    <w:tmpl w:val="217F3B1B"/>
    <w:lvl w:ilvl="0" w:tentative="0">
      <w:start w:val="1"/>
      <w:numFmt w:val="decimal"/>
      <w:lvlText w:val="(%1)."/>
      <w:lvlJc w:val="left"/>
      <w:pPr>
        <w:ind w:left="1842" w:hanging="425"/>
      </w:pPr>
      <w:rPr>
        <w:rFonts w:hint="default" w:ascii="宋体" w:hAnsi="宋体" w:eastAsia="宋体"/>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0">
    <w:nsid w:val="21A7388C"/>
    <w:multiLevelType w:val="multilevel"/>
    <w:tmpl w:val="21A7388C"/>
    <w:lvl w:ilvl="0" w:tentative="0">
      <w:start w:val="1"/>
      <w:numFmt w:val="chineseCountingThousand"/>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1">
    <w:nsid w:val="21C372A5"/>
    <w:multiLevelType w:val="multilevel"/>
    <w:tmpl w:val="21C372A5"/>
    <w:lvl w:ilvl="0" w:tentative="0">
      <w:start w:val="1"/>
      <w:numFmt w:val="chineseCountingThousand"/>
      <w:lvlText w:val="(%1)"/>
      <w:lvlJc w:val="left"/>
      <w:pPr>
        <w:ind w:left="980" w:hanging="420"/>
      </w:pPr>
      <w:rPr>
        <w:rFonts w:hint="default" w:ascii="Times New Roman" w:hAnsi="Times New Roman" w:cs="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246C0E3A"/>
    <w:multiLevelType w:val="multilevel"/>
    <w:tmpl w:val="246C0E3A"/>
    <w:lvl w:ilvl="0" w:tentative="0">
      <w:start w:val="1"/>
      <w:numFmt w:val="decimal"/>
      <w:lvlText w:val="(%1). "/>
      <w:lvlJc w:val="left"/>
      <w:pPr>
        <w:ind w:left="425" w:hanging="425"/>
      </w:pPr>
      <w:rPr>
        <w:rFonts w:hint="eastAsia"/>
        <w:color w:val="auto"/>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3">
    <w:nsid w:val="273131BF"/>
    <w:multiLevelType w:val="multilevel"/>
    <w:tmpl w:val="273131B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4">
    <w:nsid w:val="2A0D5F34"/>
    <w:multiLevelType w:val="multilevel"/>
    <w:tmpl w:val="2A0D5F34"/>
    <w:lvl w:ilvl="0" w:tentative="0">
      <w:start w:val="1"/>
      <w:numFmt w:val="decimal"/>
      <w:lvlText w:val="%1."/>
      <w:lvlJc w:val="left"/>
      <w:pPr>
        <w:ind w:left="1400" w:hanging="420"/>
      </w:pPr>
      <w:rPr>
        <w:rFonts w:hint="eastAsia"/>
      </w:rPr>
    </w:lvl>
    <w:lvl w:ilvl="1" w:tentative="0">
      <w:start w:val="1"/>
      <w:numFmt w:val="lowerLetter"/>
      <w:lvlText w:val="%2)"/>
      <w:lvlJc w:val="left"/>
      <w:pPr>
        <w:ind w:left="1820" w:hanging="420"/>
      </w:pPr>
    </w:lvl>
    <w:lvl w:ilvl="2" w:tentative="0">
      <w:start w:val="1"/>
      <w:numFmt w:val="lowerRoman"/>
      <w:lvlText w:val="%3."/>
      <w:lvlJc w:val="right"/>
      <w:pPr>
        <w:ind w:left="2240" w:hanging="420"/>
      </w:pPr>
    </w:lvl>
    <w:lvl w:ilvl="3" w:tentative="0">
      <w:start w:val="1"/>
      <w:numFmt w:val="decimal"/>
      <w:lvlText w:val="%4."/>
      <w:lvlJc w:val="left"/>
      <w:pPr>
        <w:ind w:left="2660" w:hanging="420"/>
      </w:pPr>
    </w:lvl>
    <w:lvl w:ilvl="4" w:tentative="0">
      <w:start w:val="1"/>
      <w:numFmt w:val="lowerLetter"/>
      <w:lvlText w:val="%5)"/>
      <w:lvlJc w:val="left"/>
      <w:pPr>
        <w:ind w:left="3080" w:hanging="420"/>
      </w:pPr>
    </w:lvl>
    <w:lvl w:ilvl="5" w:tentative="0">
      <w:start w:val="1"/>
      <w:numFmt w:val="lowerRoman"/>
      <w:lvlText w:val="%6."/>
      <w:lvlJc w:val="right"/>
      <w:pPr>
        <w:ind w:left="3500" w:hanging="420"/>
      </w:pPr>
    </w:lvl>
    <w:lvl w:ilvl="6" w:tentative="0">
      <w:start w:val="1"/>
      <w:numFmt w:val="decimal"/>
      <w:lvlText w:val="%7."/>
      <w:lvlJc w:val="left"/>
      <w:pPr>
        <w:ind w:left="3920" w:hanging="420"/>
      </w:pPr>
    </w:lvl>
    <w:lvl w:ilvl="7" w:tentative="0">
      <w:start w:val="1"/>
      <w:numFmt w:val="lowerLetter"/>
      <w:lvlText w:val="%8)"/>
      <w:lvlJc w:val="left"/>
      <w:pPr>
        <w:ind w:left="4340" w:hanging="420"/>
      </w:pPr>
    </w:lvl>
    <w:lvl w:ilvl="8" w:tentative="0">
      <w:start w:val="1"/>
      <w:numFmt w:val="lowerRoman"/>
      <w:lvlText w:val="%9."/>
      <w:lvlJc w:val="right"/>
      <w:pPr>
        <w:ind w:left="4760" w:hanging="420"/>
      </w:pPr>
    </w:lvl>
  </w:abstractNum>
  <w:abstractNum w:abstractNumId="45">
    <w:nsid w:val="2AB9492A"/>
    <w:multiLevelType w:val="multilevel"/>
    <w:tmpl w:val="2AB9492A"/>
    <w:lvl w:ilvl="0" w:tentative="0">
      <w:start w:val="1"/>
      <w:numFmt w:val="decimal"/>
      <w:lvlText w:val="%1."/>
      <w:lvlJc w:val="left"/>
      <w:pPr>
        <w:ind w:left="425" w:hanging="425"/>
      </w:pPr>
    </w:lvl>
    <w:lvl w:ilvl="1" w:tentative="0">
      <w:start w:val="1"/>
      <w:numFmt w:val="chineseCountingThousand"/>
      <w:lvlText w:val="(%2)"/>
      <w:lvlJc w:val="left"/>
      <w:pPr>
        <w:ind w:left="567" w:hanging="567"/>
      </w:pPr>
      <w:rPr>
        <w:rFonts w:ascii="宋体" w:hAnsi="宋体" w:eastAsia="宋体"/>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6">
    <w:nsid w:val="2ABA5091"/>
    <w:multiLevelType w:val="multilevel"/>
    <w:tmpl w:val="2ABA509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AF651E5"/>
    <w:multiLevelType w:val="multilevel"/>
    <w:tmpl w:val="2AF651E5"/>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2B081EE9"/>
    <w:multiLevelType w:val="multilevel"/>
    <w:tmpl w:val="2B081EE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9">
    <w:nsid w:val="2C7D045A"/>
    <w:multiLevelType w:val="multilevel"/>
    <w:tmpl w:val="2C7D045A"/>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2DE55932"/>
    <w:multiLevelType w:val="multilevel"/>
    <w:tmpl w:val="2DE55932"/>
    <w:lvl w:ilvl="0" w:tentative="0">
      <w:start w:val="1"/>
      <w:numFmt w:val="chineseCountingThousand"/>
      <w:suff w:val="nothing"/>
      <w:lvlText w:val="%1、"/>
      <w:lvlJc w:val="left"/>
      <w:pPr>
        <w:ind w:left="420" w:hanging="420"/>
      </w:pPr>
      <w:rPr>
        <w:rFonts w:hint="eastAsia"/>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2EE12A98"/>
    <w:multiLevelType w:val="multilevel"/>
    <w:tmpl w:val="2EE12A98"/>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2">
    <w:nsid w:val="30712312"/>
    <w:multiLevelType w:val="multilevel"/>
    <w:tmpl w:val="3071231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3">
    <w:nsid w:val="31042AC8"/>
    <w:multiLevelType w:val="multilevel"/>
    <w:tmpl w:val="31042AC8"/>
    <w:lvl w:ilvl="0" w:tentative="0">
      <w:start w:val="1"/>
      <w:numFmt w:val="chineseCountingThousand"/>
      <w:suff w:val="nothing"/>
      <w:lvlText w:val="%1、"/>
      <w:lvlJc w:val="left"/>
      <w:pPr>
        <w:ind w:left="562" w:hanging="420"/>
      </w:pPr>
      <w:rPr>
        <w:color w:val="000000" w:themeColor="text1"/>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4">
    <w:nsid w:val="322A2C22"/>
    <w:multiLevelType w:val="multilevel"/>
    <w:tmpl w:val="322A2C22"/>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326F7C0F"/>
    <w:multiLevelType w:val="multilevel"/>
    <w:tmpl w:val="326F7C0F"/>
    <w:lvl w:ilvl="0" w:tentative="0">
      <w:start w:val="1"/>
      <w:numFmt w:val="decimal"/>
      <w:suff w:val="nothing"/>
      <w:lvlText w:val="(%1)."/>
      <w:lvlJc w:val="left"/>
      <w:pPr>
        <w:ind w:left="420" w:hanging="42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3438131C"/>
    <w:multiLevelType w:val="multilevel"/>
    <w:tmpl w:val="3438131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7">
    <w:nsid w:val="352D39A8"/>
    <w:multiLevelType w:val="multilevel"/>
    <w:tmpl w:val="352D39A8"/>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37C3610E"/>
    <w:multiLevelType w:val="multilevel"/>
    <w:tmpl w:val="37C3610E"/>
    <w:lvl w:ilvl="0" w:tentative="0">
      <w:start w:val="1"/>
      <w:numFmt w:val="chineseCountingThousand"/>
      <w:lvlText w:val="%1、"/>
      <w:lvlJc w:val="left"/>
      <w:pPr>
        <w:ind w:left="704" w:hanging="42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3D2B6D0A"/>
    <w:multiLevelType w:val="multilevel"/>
    <w:tmpl w:val="3D2B6D0A"/>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3D620F38"/>
    <w:multiLevelType w:val="multilevel"/>
    <w:tmpl w:val="3D620F38"/>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3DC039A2"/>
    <w:multiLevelType w:val="multilevel"/>
    <w:tmpl w:val="3DC039A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2">
    <w:nsid w:val="3EA740FE"/>
    <w:multiLevelType w:val="multilevel"/>
    <w:tmpl w:val="3EA740F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3">
    <w:nsid w:val="3F1C5616"/>
    <w:multiLevelType w:val="multilevel"/>
    <w:tmpl w:val="3F1C5616"/>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3FAB46A5"/>
    <w:multiLevelType w:val="multilevel"/>
    <w:tmpl w:val="3FAB46A5"/>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5">
    <w:nsid w:val="401A73B0"/>
    <w:multiLevelType w:val="multilevel"/>
    <w:tmpl w:val="401A73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6">
    <w:nsid w:val="40973487"/>
    <w:multiLevelType w:val="multilevel"/>
    <w:tmpl w:val="4097348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7">
    <w:nsid w:val="41924A43"/>
    <w:multiLevelType w:val="multilevel"/>
    <w:tmpl w:val="41924A43"/>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8">
    <w:nsid w:val="42F33200"/>
    <w:multiLevelType w:val="multilevel"/>
    <w:tmpl w:val="42F33200"/>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44360F32"/>
    <w:multiLevelType w:val="multilevel"/>
    <w:tmpl w:val="44360F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0">
    <w:nsid w:val="44D151ED"/>
    <w:multiLevelType w:val="multilevel"/>
    <w:tmpl w:val="44D151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452D24C2"/>
    <w:multiLevelType w:val="multilevel"/>
    <w:tmpl w:val="452D24C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2">
    <w:nsid w:val="45796619"/>
    <w:multiLevelType w:val="multilevel"/>
    <w:tmpl w:val="45796619"/>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3">
    <w:nsid w:val="45D95701"/>
    <w:multiLevelType w:val="multilevel"/>
    <w:tmpl w:val="45D9570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4">
    <w:nsid w:val="463E0B3C"/>
    <w:multiLevelType w:val="multilevel"/>
    <w:tmpl w:val="463E0B3C"/>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5">
    <w:nsid w:val="464473E5"/>
    <w:multiLevelType w:val="multilevel"/>
    <w:tmpl w:val="464473E5"/>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6">
    <w:nsid w:val="46E20981"/>
    <w:multiLevelType w:val="multilevel"/>
    <w:tmpl w:val="46E2098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7">
    <w:nsid w:val="47B412BD"/>
    <w:multiLevelType w:val="multilevel"/>
    <w:tmpl w:val="47B412B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8">
    <w:nsid w:val="494F2419"/>
    <w:multiLevelType w:val="multilevel"/>
    <w:tmpl w:val="494F2419"/>
    <w:lvl w:ilvl="0" w:tentative="0">
      <w:start w:val="1"/>
      <w:numFmt w:val="decimalEnclosedCircle"/>
      <w:lvlText w:val="%1"/>
      <w:lvlJc w:val="left"/>
      <w:pPr>
        <w:ind w:left="780" w:hanging="360"/>
      </w:pPr>
      <w:rPr>
        <w:rFonts w:hint="default" w:hAnsi="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9">
    <w:nsid w:val="49C71EB0"/>
    <w:multiLevelType w:val="multilevel"/>
    <w:tmpl w:val="49C71E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0">
    <w:nsid w:val="4A125FEF"/>
    <w:multiLevelType w:val="multilevel"/>
    <w:tmpl w:val="4A125FE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4AC23DB8"/>
    <w:multiLevelType w:val="multilevel"/>
    <w:tmpl w:val="4AC23DB8"/>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4ACD5C44"/>
    <w:multiLevelType w:val="multilevel"/>
    <w:tmpl w:val="4ACD5C44"/>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4B8A1F74"/>
    <w:multiLevelType w:val="multilevel"/>
    <w:tmpl w:val="4B8A1F74"/>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4">
    <w:nsid w:val="4C5633A4"/>
    <w:multiLevelType w:val="multilevel"/>
    <w:tmpl w:val="4C5633A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5">
    <w:nsid w:val="4FF23454"/>
    <w:multiLevelType w:val="multilevel"/>
    <w:tmpl w:val="4FF23454"/>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50F33864"/>
    <w:multiLevelType w:val="multilevel"/>
    <w:tmpl w:val="50F33864"/>
    <w:lvl w:ilvl="0" w:tentative="0">
      <w:start w:val="1"/>
      <w:numFmt w:val="chineseCountingThousand"/>
      <w:lvlText w:val="(%1)"/>
      <w:lvlJc w:val="right"/>
      <w:pPr>
        <w:ind w:left="1260" w:hanging="420"/>
      </w:pPr>
      <w:rPr>
        <w:rFonts w:hint="eastAsia"/>
      </w:rPr>
    </w:lvl>
    <w:lvl w:ilvl="1" w:tentative="0">
      <w:start w:val="1"/>
      <w:numFmt w:val="lowerLetter"/>
      <w:lvlText w:val="%2)"/>
      <w:lvlJc w:val="left"/>
      <w:pPr>
        <w:ind w:left="840" w:hanging="420"/>
      </w:pPr>
    </w:lvl>
    <w:lvl w:ilvl="2" w:tentative="0">
      <w:start w:val="1"/>
      <w:numFmt w:val="chineseCountingThousand"/>
      <w:lvlText w:val="(%3)"/>
      <w:lvlJc w:val="right"/>
      <w:pPr>
        <w:ind w:left="420" w:hanging="420"/>
      </w:pPr>
      <w:rPr>
        <w:rFonts w:hint="eastAsia"/>
      </w:rPr>
    </w:lvl>
    <w:lvl w:ilvl="3" w:tentative="0">
      <w:start w:val="1"/>
      <w:numFmt w:val="chineseCountingThousand"/>
      <w:suff w:val="nothing"/>
      <w:lvlText w:val="(%4)"/>
      <w:lvlJc w:val="left"/>
      <w:pPr>
        <w:ind w:left="1680" w:hanging="420"/>
      </w:pPr>
      <w:rPr>
        <w:rFonts w:hint="eastAsia" w:ascii="宋体" w:hAnsi="宋体" w:eastAsia="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511727FE"/>
    <w:multiLevelType w:val="multilevel"/>
    <w:tmpl w:val="511727FE"/>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8">
    <w:nsid w:val="51265863"/>
    <w:multiLevelType w:val="multilevel"/>
    <w:tmpl w:val="51265863"/>
    <w:lvl w:ilvl="0" w:tentative="0">
      <w:start w:val="1"/>
      <w:numFmt w:val="chineseCountingThousand"/>
      <w:lvlText w:val="(%1)"/>
      <w:lvlJc w:val="left"/>
      <w:pPr>
        <w:ind w:left="420" w:hanging="420"/>
      </w:p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520C604D"/>
    <w:multiLevelType w:val="multilevel"/>
    <w:tmpl w:val="520C604D"/>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531A49E7"/>
    <w:multiLevelType w:val="multilevel"/>
    <w:tmpl w:val="531A49E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1">
    <w:nsid w:val="542027AB"/>
    <w:multiLevelType w:val="multilevel"/>
    <w:tmpl w:val="542027AB"/>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54B577AB"/>
    <w:multiLevelType w:val="multilevel"/>
    <w:tmpl w:val="54B577A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3">
    <w:nsid w:val="57D70C03"/>
    <w:multiLevelType w:val="multilevel"/>
    <w:tmpl w:val="57D70C0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4">
    <w:nsid w:val="59862246"/>
    <w:multiLevelType w:val="multilevel"/>
    <w:tmpl w:val="59862246"/>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5">
    <w:nsid w:val="59EF7C0F"/>
    <w:multiLevelType w:val="multilevel"/>
    <w:tmpl w:val="59EF7C0F"/>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6">
    <w:nsid w:val="5A25057E"/>
    <w:multiLevelType w:val="singleLevel"/>
    <w:tmpl w:val="5A25057E"/>
    <w:lvl w:ilvl="0" w:tentative="0">
      <w:start w:val="1"/>
      <w:numFmt w:val="decimal"/>
      <w:suff w:val="nothing"/>
      <w:lvlText w:val="%1．"/>
      <w:lvlJc w:val="left"/>
      <w:pPr>
        <w:ind w:left="26" w:firstLine="400"/>
      </w:pPr>
      <w:rPr>
        <w:rFonts w:hint="default" w:ascii="Times New Roman" w:hAnsi="Times New Roman" w:cs="Times New Roman"/>
      </w:rPr>
    </w:lvl>
  </w:abstractNum>
  <w:abstractNum w:abstractNumId="97">
    <w:nsid w:val="5BDC5A30"/>
    <w:multiLevelType w:val="multilevel"/>
    <w:tmpl w:val="5BDC5A3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8">
    <w:nsid w:val="5C673432"/>
    <w:multiLevelType w:val="multilevel"/>
    <w:tmpl w:val="5C6734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9">
    <w:nsid w:val="5CA85E2E"/>
    <w:multiLevelType w:val="multilevel"/>
    <w:tmpl w:val="5CA85E2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0">
    <w:nsid w:val="5D107713"/>
    <w:multiLevelType w:val="multilevel"/>
    <w:tmpl w:val="5D10771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1">
    <w:nsid w:val="5DB24638"/>
    <w:multiLevelType w:val="multilevel"/>
    <w:tmpl w:val="5DB24638"/>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2">
    <w:nsid w:val="5F755A71"/>
    <w:multiLevelType w:val="multilevel"/>
    <w:tmpl w:val="5F755A71"/>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3">
    <w:nsid w:val="5FD64E01"/>
    <w:multiLevelType w:val="multilevel"/>
    <w:tmpl w:val="5FD64E01"/>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4">
    <w:nsid w:val="60421A59"/>
    <w:multiLevelType w:val="multilevel"/>
    <w:tmpl w:val="60421A5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5">
    <w:nsid w:val="60D22A85"/>
    <w:multiLevelType w:val="multilevel"/>
    <w:tmpl w:val="60D22A85"/>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6">
    <w:nsid w:val="60EB4FD5"/>
    <w:multiLevelType w:val="multilevel"/>
    <w:tmpl w:val="60EB4FD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7">
    <w:nsid w:val="644B6AF6"/>
    <w:multiLevelType w:val="multilevel"/>
    <w:tmpl w:val="644B6AF6"/>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8">
    <w:nsid w:val="649E600F"/>
    <w:multiLevelType w:val="multilevel"/>
    <w:tmpl w:val="649E600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9">
    <w:nsid w:val="69535DE9"/>
    <w:multiLevelType w:val="multilevel"/>
    <w:tmpl w:val="69535DE9"/>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0">
    <w:nsid w:val="69BA4BB7"/>
    <w:multiLevelType w:val="multilevel"/>
    <w:tmpl w:val="69BA4BB7"/>
    <w:lvl w:ilvl="0" w:tentative="0">
      <w:start w:val="1"/>
      <w:numFmt w:val="chineseCountingThousand"/>
      <w:lvlText w:val="%1、"/>
      <w:lvlJc w:val="left"/>
      <w:pPr>
        <w:ind w:left="1697"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6B96254F"/>
    <w:multiLevelType w:val="multilevel"/>
    <w:tmpl w:val="6B96254F"/>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2">
    <w:nsid w:val="6E97785F"/>
    <w:multiLevelType w:val="multilevel"/>
    <w:tmpl w:val="6E97785F"/>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3">
    <w:nsid w:val="6F111C3A"/>
    <w:multiLevelType w:val="multilevel"/>
    <w:tmpl w:val="6F111C3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4">
    <w:nsid w:val="701D5786"/>
    <w:multiLevelType w:val="multilevel"/>
    <w:tmpl w:val="701D578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5">
    <w:nsid w:val="70A4034A"/>
    <w:multiLevelType w:val="multilevel"/>
    <w:tmpl w:val="70A4034A"/>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6">
    <w:nsid w:val="70E42A22"/>
    <w:multiLevelType w:val="multilevel"/>
    <w:tmpl w:val="70E42A22"/>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7">
    <w:nsid w:val="73FB28AC"/>
    <w:multiLevelType w:val="multilevel"/>
    <w:tmpl w:val="73FB28A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8">
    <w:nsid w:val="7405377B"/>
    <w:multiLevelType w:val="multilevel"/>
    <w:tmpl w:val="7405377B"/>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74716D69"/>
    <w:multiLevelType w:val="multilevel"/>
    <w:tmpl w:val="74716D69"/>
    <w:lvl w:ilvl="0" w:tentative="0">
      <w:start w:val="1"/>
      <w:numFmt w:val="decimal"/>
      <w:suff w:val="nothing"/>
      <w:lvlText w:val="(%1)."/>
      <w:lvlJc w:val="left"/>
      <w:pPr>
        <w:ind w:left="420" w:hanging="42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75482B44"/>
    <w:multiLevelType w:val="multilevel"/>
    <w:tmpl w:val="75482B44"/>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1">
    <w:nsid w:val="761C7169"/>
    <w:multiLevelType w:val="multilevel"/>
    <w:tmpl w:val="761C7169"/>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2">
    <w:nsid w:val="76B4167B"/>
    <w:multiLevelType w:val="multilevel"/>
    <w:tmpl w:val="76B4167B"/>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3">
    <w:nsid w:val="76DD5C82"/>
    <w:multiLevelType w:val="multilevel"/>
    <w:tmpl w:val="76DD5C82"/>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4">
    <w:nsid w:val="77111D1D"/>
    <w:multiLevelType w:val="multilevel"/>
    <w:tmpl w:val="77111D1D"/>
    <w:lvl w:ilvl="0" w:tentative="0">
      <w:start w:val="1"/>
      <w:numFmt w:val="chineseCountingThousand"/>
      <w:lvlText w:val="%1、"/>
      <w:lvlJc w:val="left"/>
      <w:pPr>
        <w:ind w:left="567" w:hanging="425"/>
      </w:pPr>
      <w:rPr>
        <w:rFonts w:hint="eastAsia"/>
      </w:rPr>
    </w:lvl>
    <w:lvl w:ilvl="1" w:tentative="0">
      <w:start w:val="1"/>
      <w:numFmt w:val="decimal"/>
      <w:lvlText w:val="%1.%2"/>
      <w:lvlJc w:val="left"/>
      <w:pPr>
        <w:ind w:left="1134" w:hanging="567"/>
      </w:pPr>
      <w:rPr>
        <w:rFonts w:hint="eastAsia"/>
      </w:rPr>
    </w:lvl>
    <w:lvl w:ilvl="2" w:tentative="0">
      <w:start w:val="1"/>
      <w:numFmt w:val="decimal"/>
      <w:lvlText w:val="%1.%2.%3"/>
      <w:lvlJc w:val="left"/>
      <w:pPr>
        <w:ind w:left="1560" w:hanging="567"/>
      </w:pPr>
      <w:rPr>
        <w:rFonts w:hint="eastAsia"/>
      </w:rPr>
    </w:lvl>
    <w:lvl w:ilvl="3" w:tentative="0">
      <w:start w:val="1"/>
      <w:numFmt w:val="decimal"/>
      <w:lvlText w:val="%1.%2.%3.%4"/>
      <w:lvlJc w:val="left"/>
      <w:pPr>
        <w:ind w:left="2126" w:hanging="708"/>
      </w:pPr>
      <w:rPr>
        <w:rFonts w:hint="eastAsia"/>
      </w:rPr>
    </w:lvl>
    <w:lvl w:ilvl="4" w:tentative="0">
      <w:start w:val="1"/>
      <w:numFmt w:val="decimal"/>
      <w:lvlText w:val="%1.%2.%3.%4.%5"/>
      <w:lvlJc w:val="left"/>
      <w:pPr>
        <w:ind w:left="2693" w:hanging="850"/>
      </w:pPr>
      <w:rPr>
        <w:rFonts w:hint="eastAsia"/>
      </w:rPr>
    </w:lvl>
    <w:lvl w:ilvl="5" w:tentative="0">
      <w:start w:val="1"/>
      <w:numFmt w:val="decimal"/>
      <w:lvlText w:val="%1.%2.%3.%4.%5.%6"/>
      <w:lvlJc w:val="left"/>
      <w:pPr>
        <w:ind w:left="3402" w:hanging="1134"/>
      </w:pPr>
      <w:rPr>
        <w:rFonts w:hint="eastAsia"/>
      </w:rPr>
    </w:lvl>
    <w:lvl w:ilvl="6" w:tentative="0">
      <w:start w:val="1"/>
      <w:numFmt w:val="decimal"/>
      <w:lvlText w:val="%1.%2.%3.%4.%5.%6.%7"/>
      <w:lvlJc w:val="left"/>
      <w:pPr>
        <w:ind w:left="3969" w:hanging="1276"/>
      </w:pPr>
      <w:rPr>
        <w:rFonts w:hint="eastAsia"/>
      </w:rPr>
    </w:lvl>
    <w:lvl w:ilvl="7" w:tentative="0">
      <w:start w:val="1"/>
      <w:numFmt w:val="decimal"/>
      <w:lvlText w:val="%1.%2.%3.%4.%5.%6.%7.%8"/>
      <w:lvlJc w:val="left"/>
      <w:pPr>
        <w:ind w:left="4536" w:hanging="1418"/>
      </w:pPr>
      <w:rPr>
        <w:rFonts w:hint="eastAsia"/>
      </w:rPr>
    </w:lvl>
    <w:lvl w:ilvl="8" w:tentative="0">
      <w:start w:val="1"/>
      <w:numFmt w:val="decimal"/>
      <w:lvlText w:val="%1.%2.%3.%4.%5.%6.%7.%8.%9"/>
      <w:lvlJc w:val="left"/>
      <w:pPr>
        <w:ind w:left="5244" w:hanging="1700"/>
      </w:pPr>
      <w:rPr>
        <w:rFonts w:hint="eastAsia"/>
      </w:rPr>
    </w:lvl>
  </w:abstractNum>
  <w:abstractNum w:abstractNumId="125">
    <w:nsid w:val="77194021"/>
    <w:multiLevelType w:val="multilevel"/>
    <w:tmpl w:val="7719402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6">
    <w:nsid w:val="787035DE"/>
    <w:multiLevelType w:val="multilevel"/>
    <w:tmpl w:val="787035D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7">
    <w:nsid w:val="7A1266A0"/>
    <w:multiLevelType w:val="multilevel"/>
    <w:tmpl w:val="7A1266A0"/>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8">
    <w:nsid w:val="7A6140D4"/>
    <w:multiLevelType w:val="multilevel"/>
    <w:tmpl w:val="7A6140D4"/>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9">
    <w:nsid w:val="7B1E025F"/>
    <w:multiLevelType w:val="multilevel"/>
    <w:tmpl w:val="7B1E025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0">
    <w:nsid w:val="7C0C1B4F"/>
    <w:multiLevelType w:val="multilevel"/>
    <w:tmpl w:val="7C0C1B4F"/>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1">
    <w:nsid w:val="7C2B486F"/>
    <w:multiLevelType w:val="multilevel"/>
    <w:tmpl w:val="7C2B486F"/>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2">
    <w:nsid w:val="7D07444B"/>
    <w:multiLevelType w:val="multilevel"/>
    <w:tmpl w:val="7D07444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3">
    <w:nsid w:val="7D1B5BAE"/>
    <w:multiLevelType w:val="multilevel"/>
    <w:tmpl w:val="7D1B5BA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4">
    <w:nsid w:val="7DDF1B1D"/>
    <w:multiLevelType w:val="multilevel"/>
    <w:tmpl w:val="7DDF1B1D"/>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5">
    <w:nsid w:val="7E240716"/>
    <w:multiLevelType w:val="multilevel"/>
    <w:tmpl w:val="7E240716"/>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6">
    <w:nsid w:val="7E7E7E18"/>
    <w:multiLevelType w:val="multilevel"/>
    <w:tmpl w:val="7E7E7E1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7">
    <w:nsid w:val="7FCC199E"/>
    <w:multiLevelType w:val="multilevel"/>
    <w:tmpl w:val="7FCC199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58"/>
  </w:num>
  <w:num w:numId="2">
    <w:abstractNumId w:val="32"/>
  </w:num>
  <w:num w:numId="3">
    <w:abstractNumId w:val="5"/>
  </w:num>
  <w:num w:numId="4">
    <w:abstractNumId w:val="42"/>
  </w:num>
  <w:num w:numId="5">
    <w:abstractNumId w:val="37"/>
  </w:num>
  <w:num w:numId="6">
    <w:abstractNumId w:val="88"/>
  </w:num>
  <w:num w:numId="7">
    <w:abstractNumId w:val="50"/>
  </w:num>
  <w:num w:numId="8">
    <w:abstractNumId w:val="59"/>
  </w:num>
  <w:num w:numId="9">
    <w:abstractNumId w:val="54"/>
  </w:num>
  <w:num w:numId="10">
    <w:abstractNumId w:val="39"/>
  </w:num>
  <w:num w:numId="11">
    <w:abstractNumId w:val="55"/>
  </w:num>
  <w:num w:numId="12">
    <w:abstractNumId w:val="31"/>
  </w:num>
  <w:num w:numId="13">
    <w:abstractNumId w:val="13"/>
  </w:num>
  <w:num w:numId="14">
    <w:abstractNumId w:val="6"/>
  </w:num>
  <w:num w:numId="15">
    <w:abstractNumId w:val="103"/>
  </w:num>
  <w:num w:numId="16">
    <w:abstractNumId w:val="12"/>
  </w:num>
  <w:num w:numId="17">
    <w:abstractNumId w:val="22"/>
  </w:num>
  <w:num w:numId="18">
    <w:abstractNumId w:val="14"/>
  </w:num>
  <w:num w:numId="19">
    <w:abstractNumId w:val="70"/>
  </w:num>
  <w:num w:numId="20">
    <w:abstractNumId w:val="86"/>
  </w:num>
  <w:num w:numId="21">
    <w:abstractNumId w:val="95"/>
  </w:num>
  <w:num w:numId="22">
    <w:abstractNumId w:val="63"/>
  </w:num>
  <w:num w:numId="23">
    <w:abstractNumId w:val="27"/>
  </w:num>
  <w:num w:numId="24">
    <w:abstractNumId w:val="74"/>
  </w:num>
  <w:num w:numId="25">
    <w:abstractNumId w:val="119"/>
  </w:num>
  <w:num w:numId="26">
    <w:abstractNumId w:val="30"/>
  </w:num>
  <w:num w:numId="27">
    <w:abstractNumId w:val="25"/>
  </w:num>
  <w:num w:numId="28">
    <w:abstractNumId w:val="45"/>
  </w:num>
  <w:num w:numId="29">
    <w:abstractNumId w:val="110"/>
  </w:num>
  <w:num w:numId="30">
    <w:abstractNumId w:val="7"/>
  </w:num>
  <w:num w:numId="31">
    <w:abstractNumId w:val="128"/>
  </w:num>
  <w:num w:numId="32">
    <w:abstractNumId w:val="53"/>
  </w:num>
  <w:num w:numId="33">
    <w:abstractNumId w:val="36"/>
  </w:num>
  <w:num w:numId="34">
    <w:abstractNumId w:val="115"/>
  </w:num>
  <w:num w:numId="35">
    <w:abstractNumId w:val="2"/>
  </w:num>
  <w:num w:numId="36">
    <w:abstractNumId w:val="73"/>
  </w:num>
  <w:num w:numId="37">
    <w:abstractNumId w:val="129"/>
  </w:num>
  <w:num w:numId="38">
    <w:abstractNumId w:val="91"/>
  </w:num>
  <w:num w:numId="39">
    <w:abstractNumId w:val="60"/>
  </w:num>
  <w:num w:numId="40">
    <w:abstractNumId w:val="81"/>
  </w:num>
  <w:num w:numId="41">
    <w:abstractNumId w:val="80"/>
  </w:num>
  <w:num w:numId="42">
    <w:abstractNumId w:val="111"/>
  </w:num>
  <w:num w:numId="43">
    <w:abstractNumId w:val="89"/>
  </w:num>
  <w:num w:numId="44">
    <w:abstractNumId w:val="29"/>
  </w:num>
  <w:num w:numId="45">
    <w:abstractNumId w:val="46"/>
  </w:num>
  <w:num w:numId="46">
    <w:abstractNumId w:val="116"/>
  </w:num>
  <w:num w:numId="47">
    <w:abstractNumId w:val="98"/>
  </w:num>
  <w:num w:numId="48">
    <w:abstractNumId w:val="40"/>
  </w:num>
  <w:num w:numId="49">
    <w:abstractNumId w:val="21"/>
  </w:num>
  <w:num w:numId="50">
    <w:abstractNumId w:val="118"/>
  </w:num>
  <w:num w:numId="51">
    <w:abstractNumId w:val="33"/>
  </w:num>
  <w:num w:numId="52">
    <w:abstractNumId w:val="71"/>
  </w:num>
  <w:num w:numId="53">
    <w:abstractNumId w:val="26"/>
  </w:num>
  <w:num w:numId="54">
    <w:abstractNumId w:val="124"/>
  </w:num>
  <w:num w:numId="55">
    <w:abstractNumId w:val="3"/>
  </w:num>
  <w:num w:numId="56">
    <w:abstractNumId w:val="41"/>
  </w:num>
  <w:num w:numId="57">
    <w:abstractNumId w:val="44"/>
  </w:num>
  <w:num w:numId="58">
    <w:abstractNumId w:val="96"/>
  </w:num>
  <w:num w:numId="59">
    <w:abstractNumId w:val="68"/>
  </w:num>
  <w:num w:numId="60">
    <w:abstractNumId w:val="61"/>
  </w:num>
  <w:num w:numId="61">
    <w:abstractNumId w:val="1"/>
  </w:num>
  <w:num w:numId="62">
    <w:abstractNumId w:val="107"/>
  </w:num>
  <w:num w:numId="63">
    <w:abstractNumId w:val="11"/>
  </w:num>
  <w:num w:numId="64">
    <w:abstractNumId w:val="67"/>
  </w:num>
  <w:num w:numId="65">
    <w:abstractNumId w:val="92"/>
  </w:num>
  <w:num w:numId="66">
    <w:abstractNumId w:val="106"/>
  </w:num>
  <w:num w:numId="67">
    <w:abstractNumId w:val="72"/>
  </w:num>
  <w:num w:numId="68">
    <w:abstractNumId w:val="8"/>
  </w:num>
  <w:num w:numId="69">
    <w:abstractNumId w:val="52"/>
  </w:num>
  <w:num w:numId="70">
    <w:abstractNumId w:val="38"/>
  </w:num>
  <w:num w:numId="71">
    <w:abstractNumId w:val="113"/>
  </w:num>
  <w:num w:numId="72">
    <w:abstractNumId w:val="105"/>
  </w:num>
  <w:num w:numId="73">
    <w:abstractNumId w:val="24"/>
  </w:num>
  <w:num w:numId="74">
    <w:abstractNumId w:val="35"/>
  </w:num>
  <w:num w:numId="75">
    <w:abstractNumId w:val="75"/>
  </w:num>
  <w:num w:numId="76">
    <w:abstractNumId w:val="51"/>
  </w:num>
  <w:num w:numId="77">
    <w:abstractNumId w:val="78"/>
  </w:num>
  <w:num w:numId="78">
    <w:abstractNumId w:val="114"/>
  </w:num>
  <w:num w:numId="79">
    <w:abstractNumId w:val="122"/>
  </w:num>
  <w:num w:numId="80">
    <w:abstractNumId w:val="99"/>
  </w:num>
  <w:num w:numId="81">
    <w:abstractNumId w:val="23"/>
  </w:num>
  <w:num w:numId="82">
    <w:abstractNumId w:val="76"/>
  </w:num>
  <w:num w:numId="83">
    <w:abstractNumId w:val="20"/>
  </w:num>
  <w:num w:numId="84">
    <w:abstractNumId w:val="65"/>
  </w:num>
  <w:num w:numId="85">
    <w:abstractNumId w:val="125"/>
  </w:num>
  <w:num w:numId="86">
    <w:abstractNumId w:val="136"/>
  </w:num>
  <w:num w:numId="87">
    <w:abstractNumId w:val="137"/>
  </w:num>
  <w:num w:numId="88">
    <w:abstractNumId w:val="43"/>
  </w:num>
  <w:num w:numId="89">
    <w:abstractNumId w:val="18"/>
  </w:num>
  <w:num w:numId="90">
    <w:abstractNumId w:val="77"/>
  </w:num>
  <w:num w:numId="91">
    <w:abstractNumId w:val="84"/>
  </w:num>
  <w:num w:numId="92">
    <w:abstractNumId w:val="16"/>
  </w:num>
  <w:num w:numId="93">
    <w:abstractNumId w:val="97"/>
  </w:num>
  <w:num w:numId="94">
    <w:abstractNumId w:val="79"/>
  </w:num>
  <w:num w:numId="95">
    <w:abstractNumId w:val="69"/>
  </w:num>
  <w:num w:numId="96">
    <w:abstractNumId w:val="126"/>
  </w:num>
  <w:num w:numId="97">
    <w:abstractNumId w:val="34"/>
  </w:num>
  <w:num w:numId="98">
    <w:abstractNumId w:val="82"/>
  </w:num>
  <w:num w:numId="99">
    <w:abstractNumId w:val="133"/>
  </w:num>
  <w:num w:numId="100">
    <w:abstractNumId w:val="47"/>
  </w:num>
  <w:num w:numId="101">
    <w:abstractNumId w:val="132"/>
  </w:num>
  <w:num w:numId="102">
    <w:abstractNumId w:val="100"/>
  </w:num>
  <w:num w:numId="103">
    <w:abstractNumId w:val="17"/>
  </w:num>
  <w:num w:numId="104">
    <w:abstractNumId w:val="130"/>
  </w:num>
  <w:num w:numId="105">
    <w:abstractNumId w:val="134"/>
  </w:num>
  <w:num w:numId="106">
    <w:abstractNumId w:val="19"/>
  </w:num>
  <w:num w:numId="107">
    <w:abstractNumId w:val="121"/>
  </w:num>
  <w:num w:numId="108">
    <w:abstractNumId w:val="112"/>
  </w:num>
  <w:num w:numId="109">
    <w:abstractNumId w:val="85"/>
  </w:num>
  <w:num w:numId="110">
    <w:abstractNumId w:val="57"/>
  </w:num>
  <w:num w:numId="111">
    <w:abstractNumId w:val="4"/>
  </w:num>
  <w:num w:numId="112">
    <w:abstractNumId w:val="9"/>
  </w:num>
  <w:num w:numId="113">
    <w:abstractNumId w:val="10"/>
  </w:num>
  <w:num w:numId="114">
    <w:abstractNumId w:val="123"/>
  </w:num>
  <w:num w:numId="115">
    <w:abstractNumId w:val="135"/>
  </w:num>
  <w:num w:numId="116">
    <w:abstractNumId w:val="104"/>
  </w:num>
  <w:num w:numId="117">
    <w:abstractNumId w:val="83"/>
  </w:num>
  <w:num w:numId="118">
    <w:abstractNumId w:val="87"/>
  </w:num>
  <w:num w:numId="119">
    <w:abstractNumId w:val="117"/>
  </w:num>
  <w:num w:numId="120">
    <w:abstractNumId w:val="56"/>
  </w:num>
  <w:num w:numId="121">
    <w:abstractNumId w:val="15"/>
  </w:num>
  <w:num w:numId="122">
    <w:abstractNumId w:val="66"/>
  </w:num>
  <w:num w:numId="123">
    <w:abstractNumId w:val="90"/>
  </w:num>
  <w:num w:numId="124">
    <w:abstractNumId w:val="62"/>
  </w:num>
  <w:num w:numId="125">
    <w:abstractNumId w:val="93"/>
  </w:num>
  <w:num w:numId="126">
    <w:abstractNumId w:val="101"/>
  </w:num>
  <w:num w:numId="127">
    <w:abstractNumId w:val="48"/>
  </w:num>
  <w:num w:numId="128">
    <w:abstractNumId w:val="94"/>
  </w:num>
  <w:num w:numId="129">
    <w:abstractNumId w:val="102"/>
  </w:num>
  <w:num w:numId="130">
    <w:abstractNumId w:val="28"/>
  </w:num>
  <w:num w:numId="131">
    <w:abstractNumId w:val="64"/>
  </w:num>
  <w:num w:numId="132">
    <w:abstractNumId w:val="0"/>
  </w:num>
  <w:num w:numId="133">
    <w:abstractNumId w:val="127"/>
  </w:num>
  <w:num w:numId="134">
    <w:abstractNumId w:val="108"/>
  </w:num>
  <w:num w:numId="135">
    <w:abstractNumId w:val="131"/>
  </w:num>
  <w:num w:numId="136">
    <w:abstractNumId w:val="109"/>
  </w:num>
  <w:num w:numId="137">
    <w:abstractNumId w:val="120"/>
  </w:num>
  <w:num w:numId="138">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hideSpellingError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k4OTg2YjMxYjAwZjc2NjUxNmY2OTkzNTYxMzBmNTIifQ=="/>
    <w:docVar w:name="Disclosure_Version" w:val="true"/>
    <w:docVar w:name="KouFeiPatch" w:val="true"/>
  </w:docVars>
  <w:rsids>
    <w:rsidRoot w:val="00DD256F"/>
    <w:rsid w:val="000005A6"/>
    <w:rsid w:val="00000ADC"/>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61CF"/>
    <w:rsid w:val="000064FC"/>
    <w:rsid w:val="00007207"/>
    <w:rsid w:val="000072B9"/>
    <w:rsid w:val="0000745D"/>
    <w:rsid w:val="0000785C"/>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659"/>
    <w:rsid w:val="0001674B"/>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5255"/>
    <w:rsid w:val="000254E3"/>
    <w:rsid w:val="00025A7B"/>
    <w:rsid w:val="00025DD8"/>
    <w:rsid w:val="00025DF8"/>
    <w:rsid w:val="00025E29"/>
    <w:rsid w:val="00025EAF"/>
    <w:rsid w:val="0002612F"/>
    <w:rsid w:val="000264F8"/>
    <w:rsid w:val="00026A17"/>
    <w:rsid w:val="00027208"/>
    <w:rsid w:val="00027348"/>
    <w:rsid w:val="000275C9"/>
    <w:rsid w:val="000279AA"/>
    <w:rsid w:val="00027B47"/>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093"/>
    <w:rsid w:val="00033956"/>
    <w:rsid w:val="00033EBB"/>
    <w:rsid w:val="00034061"/>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11AF"/>
    <w:rsid w:val="0004146D"/>
    <w:rsid w:val="00041525"/>
    <w:rsid w:val="00041771"/>
    <w:rsid w:val="00041800"/>
    <w:rsid w:val="00041AC3"/>
    <w:rsid w:val="00042335"/>
    <w:rsid w:val="00042574"/>
    <w:rsid w:val="0004259D"/>
    <w:rsid w:val="000429ED"/>
    <w:rsid w:val="00043335"/>
    <w:rsid w:val="000436FE"/>
    <w:rsid w:val="000438A3"/>
    <w:rsid w:val="00043C00"/>
    <w:rsid w:val="00043CB6"/>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EF3"/>
    <w:rsid w:val="00045F39"/>
    <w:rsid w:val="00046045"/>
    <w:rsid w:val="000461D4"/>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D38"/>
    <w:rsid w:val="000539E4"/>
    <w:rsid w:val="00053E2E"/>
    <w:rsid w:val="00053F3F"/>
    <w:rsid w:val="00054612"/>
    <w:rsid w:val="00054860"/>
    <w:rsid w:val="0005486C"/>
    <w:rsid w:val="00054D34"/>
    <w:rsid w:val="00055089"/>
    <w:rsid w:val="00055307"/>
    <w:rsid w:val="00055534"/>
    <w:rsid w:val="00055556"/>
    <w:rsid w:val="00055816"/>
    <w:rsid w:val="00055C3F"/>
    <w:rsid w:val="000561D7"/>
    <w:rsid w:val="000562A1"/>
    <w:rsid w:val="000562C7"/>
    <w:rsid w:val="000569CC"/>
    <w:rsid w:val="00056AA5"/>
    <w:rsid w:val="00057032"/>
    <w:rsid w:val="000578C2"/>
    <w:rsid w:val="00057AD2"/>
    <w:rsid w:val="0006013C"/>
    <w:rsid w:val="00060342"/>
    <w:rsid w:val="000604A6"/>
    <w:rsid w:val="0006066E"/>
    <w:rsid w:val="00060C85"/>
    <w:rsid w:val="00061188"/>
    <w:rsid w:val="00061838"/>
    <w:rsid w:val="00061B4A"/>
    <w:rsid w:val="00061B54"/>
    <w:rsid w:val="00061DCB"/>
    <w:rsid w:val="00061E15"/>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4B5A"/>
    <w:rsid w:val="0006504C"/>
    <w:rsid w:val="0006528F"/>
    <w:rsid w:val="00065914"/>
    <w:rsid w:val="00065B7B"/>
    <w:rsid w:val="00065BA0"/>
    <w:rsid w:val="00065C58"/>
    <w:rsid w:val="00065D51"/>
    <w:rsid w:val="000665B9"/>
    <w:rsid w:val="00066639"/>
    <w:rsid w:val="00066688"/>
    <w:rsid w:val="00066A6E"/>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2D3"/>
    <w:rsid w:val="000713CD"/>
    <w:rsid w:val="0007147E"/>
    <w:rsid w:val="000715AC"/>
    <w:rsid w:val="00072075"/>
    <w:rsid w:val="00072361"/>
    <w:rsid w:val="0007246C"/>
    <w:rsid w:val="000725CF"/>
    <w:rsid w:val="000728ED"/>
    <w:rsid w:val="000729B8"/>
    <w:rsid w:val="00072D7F"/>
    <w:rsid w:val="0007305C"/>
    <w:rsid w:val="000730ED"/>
    <w:rsid w:val="000732D5"/>
    <w:rsid w:val="000735AF"/>
    <w:rsid w:val="00073BC2"/>
    <w:rsid w:val="000745DB"/>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5A8"/>
    <w:rsid w:val="000778E2"/>
    <w:rsid w:val="00077CD3"/>
    <w:rsid w:val="00077EF6"/>
    <w:rsid w:val="00080372"/>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30E6"/>
    <w:rsid w:val="0008328D"/>
    <w:rsid w:val="0008332B"/>
    <w:rsid w:val="0008350F"/>
    <w:rsid w:val="000837F0"/>
    <w:rsid w:val="000839C3"/>
    <w:rsid w:val="00083C0A"/>
    <w:rsid w:val="00083C1E"/>
    <w:rsid w:val="00084008"/>
    <w:rsid w:val="000841ED"/>
    <w:rsid w:val="00084531"/>
    <w:rsid w:val="00084634"/>
    <w:rsid w:val="00084A03"/>
    <w:rsid w:val="00084E9F"/>
    <w:rsid w:val="0008591C"/>
    <w:rsid w:val="00085BD1"/>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BA2"/>
    <w:rsid w:val="00095CD6"/>
    <w:rsid w:val="000960F5"/>
    <w:rsid w:val="00096746"/>
    <w:rsid w:val="00096E12"/>
    <w:rsid w:val="00097097"/>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BE"/>
    <w:rsid w:val="000A1DCF"/>
    <w:rsid w:val="000A22D8"/>
    <w:rsid w:val="000A28F8"/>
    <w:rsid w:val="000A3645"/>
    <w:rsid w:val="000A36BE"/>
    <w:rsid w:val="000A3954"/>
    <w:rsid w:val="000A4309"/>
    <w:rsid w:val="000A4AE5"/>
    <w:rsid w:val="000A4C9E"/>
    <w:rsid w:val="000A5126"/>
    <w:rsid w:val="000A5188"/>
    <w:rsid w:val="000A5A58"/>
    <w:rsid w:val="000A5E69"/>
    <w:rsid w:val="000A6410"/>
    <w:rsid w:val="000A67B6"/>
    <w:rsid w:val="000A6A70"/>
    <w:rsid w:val="000A6D3A"/>
    <w:rsid w:val="000A6F48"/>
    <w:rsid w:val="000A700E"/>
    <w:rsid w:val="000A7216"/>
    <w:rsid w:val="000A74D2"/>
    <w:rsid w:val="000A750C"/>
    <w:rsid w:val="000A78D8"/>
    <w:rsid w:val="000A79CF"/>
    <w:rsid w:val="000B024A"/>
    <w:rsid w:val="000B0362"/>
    <w:rsid w:val="000B0392"/>
    <w:rsid w:val="000B06FC"/>
    <w:rsid w:val="000B072D"/>
    <w:rsid w:val="000B0ACA"/>
    <w:rsid w:val="000B0EE6"/>
    <w:rsid w:val="000B1683"/>
    <w:rsid w:val="000B19AD"/>
    <w:rsid w:val="000B1B9E"/>
    <w:rsid w:val="000B1CD7"/>
    <w:rsid w:val="000B1DB7"/>
    <w:rsid w:val="000B2333"/>
    <w:rsid w:val="000B23C8"/>
    <w:rsid w:val="000B240B"/>
    <w:rsid w:val="000B28AE"/>
    <w:rsid w:val="000B28F3"/>
    <w:rsid w:val="000B2A42"/>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8A"/>
    <w:rsid w:val="000B6BC7"/>
    <w:rsid w:val="000B6C66"/>
    <w:rsid w:val="000B717E"/>
    <w:rsid w:val="000B796D"/>
    <w:rsid w:val="000C0519"/>
    <w:rsid w:val="000C0671"/>
    <w:rsid w:val="000C08D1"/>
    <w:rsid w:val="000C0D45"/>
    <w:rsid w:val="000C0D7B"/>
    <w:rsid w:val="000C131F"/>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8A1"/>
    <w:rsid w:val="000C4B1F"/>
    <w:rsid w:val="000C4C03"/>
    <w:rsid w:val="000C5029"/>
    <w:rsid w:val="000C51AC"/>
    <w:rsid w:val="000C52A2"/>
    <w:rsid w:val="000C5A4D"/>
    <w:rsid w:val="000C5B58"/>
    <w:rsid w:val="000C5B78"/>
    <w:rsid w:val="000C5E0D"/>
    <w:rsid w:val="000C60FC"/>
    <w:rsid w:val="000C63C4"/>
    <w:rsid w:val="000C6470"/>
    <w:rsid w:val="000C6552"/>
    <w:rsid w:val="000C6560"/>
    <w:rsid w:val="000C6584"/>
    <w:rsid w:val="000C698C"/>
    <w:rsid w:val="000C6A05"/>
    <w:rsid w:val="000C6B26"/>
    <w:rsid w:val="000C6DAE"/>
    <w:rsid w:val="000C6F45"/>
    <w:rsid w:val="000C7371"/>
    <w:rsid w:val="000C73B9"/>
    <w:rsid w:val="000C74D4"/>
    <w:rsid w:val="000C7889"/>
    <w:rsid w:val="000C7C71"/>
    <w:rsid w:val="000C7D9C"/>
    <w:rsid w:val="000C7DF8"/>
    <w:rsid w:val="000D0271"/>
    <w:rsid w:val="000D057C"/>
    <w:rsid w:val="000D072A"/>
    <w:rsid w:val="000D0BE9"/>
    <w:rsid w:val="000D0E23"/>
    <w:rsid w:val="000D1028"/>
    <w:rsid w:val="000D1340"/>
    <w:rsid w:val="000D136D"/>
    <w:rsid w:val="000D14E3"/>
    <w:rsid w:val="000D15CB"/>
    <w:rsid w:val="000D1A09"/>
    <w:rsid w:val="000D1BE4"/>
    <w:rsid w:val="000D26CD"/>
    <w:rsid w:val="000D28CF"/>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E12"/>
    <w:rsid w:val="000D4E92"/>
    <w:rsid w:val="000D50A0"/>
    <w:rsid w:val="000D5454"/>
    <w:rsid w:val="000D5A34"/>
    <w:rsid w:val="000D5C69"/>
    <w:rsid w:val="000D5D3B"/>
    <w:rsid w:val="000D5D86"/>
    <w:rsid w:val="000D5DC0"/>
    <w:rsid w:val="000D612D"/>
    <w:rsid w:val="000D61FD"/>
    <w:rsid w:val="000D642E"/>
    <w:rsid w:val="000D6A9B"/>
    <w:rsid w:val="000D6BCB"/>
    <w:rsid w:val="000D6D52"/>
    <w:rsid w:val="000D6D8F"/>
    <w:rsid w:val="000D7213"/>
    <w:rsid w:val="000D7307"/>
    <w:rsid w:val="000D73A9"/>
    <w:rsid w:val="000D7617"/>
    <w:rsid w:val="000D77D1"/>
    <w:rsid w:val="000D7ABF"/>
    <w:rsid w:val="000D7B5F"/>
    <w:rsid w:val="000D7CF9"/>
    <w:rsid w:val="000E0052"/>
    <w:rsid w:val="000E01A1"/>
    <w:rsid w:val="000E0BA0"/>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A3"/>
    <w:rsid w:val="000E4352"/>
    <w:rsid w:val="000E4933"/>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376"/>
    <w:rsid w:val="000F192B"/>
    <w:rsid w:val="000F1A17"/>
    <w:rsid w:val="000F2055"/>
    <w:rsid w:val="000F2990"/>
    <w:rsid w:val="000F2A73"/>
    <w:rsid w:val="000F2BF9"/>
    <w:rsid w:val="000F2EC9"/>
    <w:rsid w:val="000F3016"/>
    <w:rsid w:val="000F3044"/>
    <w:rsid w:val="000F3234"/>
    <w:rsid w:val="000F3A13"/>
    <w:rsid w:val="000F3D3A"/>
    <w:rsid w:val="000F4214"/>
    <w:rsid w:val="000F42F3"/>
    <w:rsid w:val="000F438A"/>
    <w:rsid w:val="000F460F"/>
    <w:rsid w:val="000F49E8"/>
    <w:rsid w:val="000F4C78"/>
    <w:rsid w:val="000F509F"/>
    <w:rsid w:val="000F52DA"/>
    <w:rsid w:val="000F538D"/>
    <w:rsid w:val="000F5485"/>
    <w:rsid w:val="000F59FB"/>
    <w:rsid w:val="000F5E14"/>
    <w:rsid w:val="000F6058"/>
    <w:rsid w:val="000F68A0"/>
    <w:rsid w:val="000F6B1C"/>
    <w:rsid w:val="000F6E38"/>
    <w:rsid w:val="000F6E4A"/>
    <w:rsid w:val="000F6EE3"/>
    <w:rsid w:val="000F7190"/>
    <w:rsid w:val="000F7633"/>
    <w:rsid w:val="000F78CA"/>
    <w:rsid w:val="000F7CB8"/>
    <w:rsid w:val="000F7D3C"/>
    <w:rsid w:val="00100112"/>
    <w:rsid w:val="0010063A"/>
    <w:rsid w:val="001007FD"/>
    <w:rsid w:val="0010083C"/>
    <w:rsid w:val="00100B25"/>
    <w:rsid w:val="00100ECF"/>
    <w:rsid w:val="00100F27"/>
    <w:rsid w:val="0010120F"/>
    <w:rsid w:val="00101376"/>
    <w:rsid w:val="0010143B"/>
    <w:rsid w:val="00101B38"/>
    <w:rsid w:val="001022D3"/>
    <w:rsid w:val="0010234E"/>
    <w:rsid w:val="001026CF"/>
    <w:rsid w:val="0010288F"/>
    <w:rsid w:val="00102B7D"/>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E00"/>
    <w:rsid w:val="00105F72"/>
    <w:rsid w:val="001060C7"/>
    <w:rsid w:val="001061C5"/>
    <w:rsid w:val="00106820"/>
    <w:rsid w:val="001068B7"/>
    <w:rsid w:val="00106B06"/>
    <w:rsid w:val="00106F25"/>
    <w:rsid w:val="00107599"/>
    <w:rsid w:val="001076FD"/>
    <w:rsid w:val="00107A5E"/>
    <w:rsid w:val="00107A8E"/>
    <w:rsid w:val="0011023E"/>
    <w:rsid w:val="0011068F"/>
    <w:rsid w:val="00110717"/>
    <w:rsid w:val="00110B2B"/>
    <w:rsid w:val="00110C81"/>
    <w:rsid w:val="00110D00"/>
    <w:rsid w:val="00110DBF"/>
    <w:rsid w:val="00110FBE"/>
    <w:rsid w:val="001116D4"/>
    <w:rsid w:val="00111BAC"/>
    <w:rsid w:val="00111D4E"/>
    <w:rsid w:val="00111D58"/>
    <w:rsid w:val="00111E23"/>
    <w:rsid w:val="00111FA8"/>
    <w:rsid w:val="0011221B"/>
    <w:rsid w:val="00112245"/>
    <w:rsid w:val="0011232C"/>
    <w:rsid w:val="001126AB"/>
    <w:rsid w:val="001127CC"/>
    <w:rsid w:val="0011287C"/>
    <w:rsid w:val="00112F8F"/>
    <w:rsid w:val="001133FC"/>
    <w:rsid w:val="001134A1"/>
    <w:rsid w:val="00113552"/>
    <w:rsid w:val="00113582"/>
    <w:rsid w:val="00113781"/>
    <w:rsid w:val="001137A6"/>
    <w:rsid w:val="001139E6"/>
    <w:rsid w:val="00113C69"/>
    <w:rsid w:val="00114189"/>
    <w:rsid w:val="00114273"/>
    <w:rsid w:val="001146AD"/>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47C"/>
    <w:rsid w:val="0012063F"/>
    <w:rsid w:val="0012081A"/>
    <w:rsid w:val="00120A6A"/>
    <w:rsid w:val="00120A86"/>
    <w:rsid w:val="00120AB1"/>
    <w:rsid w:val="0012158F"/>
    <w:rsid w:val="00121CFD"/>
    <w:rsid w:val="00121D25"/>
    <w:rsid w:val="0012227A"/>
    <w:rsid w:val="001226E1"/>
    <w:rsid w:val="00122BA4"/>
    <w:rsid w:val="001230A0"/>
    <w:rsid w:val="001230F3"/>
    <w:rsid w:val="001234DF"/>
    <w:rsid w:val="001235D7"/>
    <w:rsid w:val="00123BB3"/>
    <w:rsid w:val="00123F0A"/>
    <w:rsid w:val="00124505"/>
    <w:rsid w:val="001245FB"/>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11"/>
    <w:rsid w:val="001273FD"/>
    <w:rsid w:val="00127E76"/>
    <w:rsid w:val="001303F8"/>
    <w:rsid w:val="001304AD"/>
    <w:rsid w:val="00130697"/>
    <w:rsid w:val="001307CA"/>
    <w:rsid w:val="00130D6C"/>
    <w:rsid w:val="00130DE5"/>
    <w:rsid w:val="0013119E"/>
    <w:rsid w:val="001316FC"/>
    <w:rsid w:val="00131E94"/>
    <w:rsid w:val="00131FEF"/>
    <w:rsid w:val="0013204C"/>
    <w:rsid w:val="0013206D"/>
    <w:rsid w:val="0013237B"/>
    <w:rsid w:val="00132615"/>
    <w:rsid w:val="00132A09"/>
    <w:rsid w:val="00132A1B"/>
    <w:rsid w:val="00132BB9"/>
    <w:rsid w:val="00132D08"/>
    <w:rsid w:val="0013309F"/>
    <w:rsid w:val="00133139"/>
    <w:rsid w:val="001332D2"/>
    <w:rsid w:val="0013379B"/>
    <w:rsid w:val="00133BDB"/>
    <w:rsid w:val="00133CB6"/>
    <w:rsid w:val="00133E33"/>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DD8"/>
    <w:rsid w:val="00141E8A"/>
    <w:rsid w:val="00142014"/>
    <w:rsid w:val="001420C3"/>
    <w:rsid w:val="0014231A"/>
    <w:rsid w:val="001423FD"/>
    <w:rsid w:val="001426C5"/>
    <w:rsid w:val="00142C4B"/>
    <w:rsid w:val="00142E47"/>
    <w:rsid w:val="00142E7D"/>
    <w:rsid w:val="00142E8B"/>
    <w:rsid w:val="00143309"/>
    <w:rsid w:val="0014344C"/>
    <w:rsid w:val="00143975"/>
    <w:rsid w:val="00143D08"/>
    <w:rsid w:val="00143F15"/>
    <w:rsid w:val="00143F1C"/>
    <w:rsid w:val="00143F50"/>
    <w:rsid w:val="00143F57"/>
    <w:rsid w:val="00143F60"/>
    <w:rsid w:val="00143FDE"/>
    <w:rsid w:val="001444F7"/>
    <w:rsid w:val="00144592"/>
    <w:rsid w:val="001445D9"/>
    <w:rsid w:val="0014483D"/>
    <w:rsid w:val="00144A9F"/>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363"/>
    <w:rsid w:val="0015257A"/>
    <w:rsid w:val="00152A69"/>
    <w:rsid w:val="00152BDC"/>
    <w:rsid w:val="00152E71"/>
    <w:rsid w:val="00152FE0"/>
    <w:rsid w:val="001536D8"/>
    <w:rsid w:val="001538B4"/>
    <w:rsid w:val="00153A11"/>
    <w:rsid w:val="00153F4B"/>
    <w:rsid w:val="001541EB"/>
    <w:rsid w:val="001543D4"/>
    <w:rsid w:val="0015445C"/>
    <w:rsid w:val="0015450F"/>
    <w:rsid w:val="00154B6D"/>
    <w:rsid w:val="00154D68"/>
    <w:rsid w:val="00154E72"/>
    <w:rsid w:val="00154E9A"/>
    <w:rsid w:val="001550BC"/>
    <w:rsid w:val="0015523D"/>
    <w:rsid w:val="00155633"/>
    <w:rsid w:val="00155C29"/>
    <w:rsid w:val="00155FB6"/>
    <w:rsid w:val="00156235"/>
    <w:rsid w:val="00156664"/>
    <w:rsid w:val="00156AC5"/>
    <w:rsid w:val="00156F5B"/>
    <w:rsid w:val="00156FE6"/>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A39"/>
    <w:rsid w:val="00161B38"/>
    <w:rsid w:val="00161B55"/>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3D90"/>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327"/>
    <w:rsid w:val="00170450"/>
    <w:rsid w:val="00170650"/>
    <w:rsid w:val="0017134C"/>
    <w:rsid w:val="001715BD"/>
    <w:rsid w:val="00171B16"/>
    <w:rsid w:val="001721E1"/>
    <w:rsid w:val="00172229"/>
    <w:rsid w:val="001727CE"/>
    <w:rsid w:val="001729CE"/>
    <w:rsid w:val="00172B99"/>
    <w:rsid w:val="00172E95"/>
    <w:rsid w:val="00173329"/>
    <w:rsid w:val="00173821"/>
    <w:rsid w:val="00173DC2"/>
    <w:rsid w:val="00174BD5"/>
    <w:rsid w:val="00174E30"/>
    <w:rsid w:val="00175145"/>
    <w:rsid w:val="0017520D"/>
    <w:rsid w:val="001754A4"/>
    <w:rsid w:val="001756D8"/>
    <w:rsid w:val="00175D8D"/>
    <w:rsid w:val="00176294"/>
    <w:rsid w:val="00176395"/>
    <w:rsid w:val="001767C6"/>
    <w:rsid w:val="00176886"/>
    <w:rsid w:val="0017692B"/>
    <w:rsid w:val="00176E6E"/>
    <w:rsid w:val="00176E78"/>
    <w:rsid w:val="0017711F"/>
    <w:rsid w:val="001774F8"/>
    <w:rsid w:val="00177D11"/>
    <w:rsid w:val="00177D7F"/>
    <w:rsid w:val="0018015B"/>
    <w:rsid w:val="001802A1"/>
    <w:rsid w:val="00180C95"/>
    <w:rsid w:val="00180D07"/>
    <w:rsid w:val="00180E29"/>
    <w:rsid w:val="0018108B"/>
    <w:rsid w:val="001810B9"/>
    <w:rsid w:val="001811A0"/>
    <w:rsid w:val="00181375"/>
    <w:rsid w:val="001814B3"/>
    <w:rsid w:val="001815B8"/>
    <w:rsid w:val="001815FB"/>
    <w:rsid w:val="001816A6"/>
    <w:rsid w:val="00181DBE"/>
    <w:rsid w:val="0018228D"/>
    <w:rsid w:val="00182367"/>
    <w:rsid w:val="001826DB"/>
    <w:rsid w:val="0018280C"/>
    <w:rsid w:val="00182BAC"/>
    <w:rsid w:val="00182E37"/>
    <w:rsid w:val="0018313C"/>
    <w:rsid w:val="0018330B"/>
    <w:rsid w:val="00183957"/>
    <w:rsid w:val="00183BDB"/>
    <w:rsid w:val="0018413C"/>
    <w:rsid w:val="0018414D"/>
    <w:rsid w:val="001844E5"/>
    <w:rsid w:val="00184530"/>
    <w:rsid w:val="001846B9"/>
    <w:rsid w:val="001847E6"/>
    <w:rsid w:val="001849F6"/>
    <w:rsid w:val="0018505C"/>
    <w:rsid w:val="00185085"/>
    <w:rsid w:val="0018518E"/>
    <w:rsid w:val="001851BD"/>
    <w:rsid w:val="0018565E"/>
    <w:rsid w:val="001856BA"/>
    <w:rsid w:val="0018598A"/>
    <w:rsid w:val="00185AF8"/>
    <w:rsid w:val="00185CE4"/>
    <w:rsid w:val="00185D0E"/>
    <w:rsid w:val="00186113"/>
    <w:rsid w:val="0018621F"/>
    <w:rsid w:val="00186249"/>
    <w:rsid w:val="00186771"/>
    <w:rsid w:val="0018696A"/>
    <w:rsid w:val="00186A2D"/>
    <w:rsid w:val="00186C23"/>
    <w:rsid w:val="00186F1C"/>
    <w:rsid w:val="00186FCC"/>
    <w:rsid w:val="00187858"/>
    <w:rsid w:val="00187892"/>
    <w:rsid w:val="001878D9"/>
    <w:rsid w:val="00187B32"/>
    <w:rsid w:val="00187B4D"/>
    <w:rsid w:val="00187F67"/>
    <w:rsid w:val="0019008D"/>
    <w:rsid w:val="0019022B"/>
    <w:rsid w:val="0019037D"/>
    <w:rsid w:val="0019044D"/>
    <w:rsid w:val="0019126B"/>
    <w:rsid w:val="00191483"/>
    <w:rsid w:val="0019155A"/>
    <w:rsid w:val="00191612"/>
    <w:rsid w:val="00191C4F"/>
    <w:rsid w:val="00191F3A"/>
    <w:rsid w:val="001921F0"/>
    <w:rsid w:val="00192350"/>
    <w:rsid w:val="001924F6"/>
    <w:rsid w:val="001925CE"/>
    <w:rsid w:val="00192896"/>
    <w:rsid w:val="00192C0D"/>
    <w:rsid w:val="00192CCC"/>
    <w:rsid w:val="00193278"/>
    <w:rsid w:val="00193417"/>
    <w:rsid w:val="00193479"/>
    <w:rsid w:val="0019388E"/>
    <w:rsid w:val="00193C5E"/>
    <w:rsid w:val="00193EA6"/>
    <w:rsid w:val="0019433F"/>
    <w:rsid w:val="00194836"/>
    <w:rsid w:val="00194AB8"/>
    <w:rsid w:val="00194CA1"/>
    <w:rsid w:val="00194F95"/>
    <w:rsid w:val="00195201"/>
    <w:rsid w:val="001952EC"/>
    <w:rsid w:val="0019530E"/>
    <w:rsid w:val="00195857"/>
    <w:rsid w:val="00195A1C"/>
    <w:rsid w:val="00195DE7"/>
    <w:rsid w:val="00195DFE"/>
    <w:rsid w:val="00195EF9"/>
    <w:rsid w:val="00196123"/>
    <w:rsid w:val="001963C9"/>
    <w:rsid w:val="00196771"/>
    <w:rsid w:val="00196D57"/>
    <w:rsid w:val="00196E4C"/>
    <w:rsid w:val="00196F3D"/>
    <w:rsid w:val="0019711B"/>
    <w:rsid w:val="00197312"/>
    <w:rsid w:val="00197401"/>
    <w:rsid w:val="001976BC"/>
    <w:rsid w:val="0019788A"/>
    <w:rsid w:val="0019799A"/>
    <w:rsid w:val="00197C0F"/>
    <w:rsid w:val="00197DC2"/>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3A"/>
    <w:rsid w:val="001A48CD"/>
    <w:rsid w:val="001A4ACD"/>
    <w:rsid w:val="001A4B57"/>
    <w:rsid w:val="001A592A"/>
    <w:rsid w:val="001A5C8D"/>
    <w:rsid w:val="001A6136"/>
    <w:rsid w:val="001A6342"/>
    <w:rsid w:val="001A652B"/>
    <w:rsid w:val="001A6563"/>
    <w:rsid w:val="001A657D"/>
    <w:rsid w:val="001A671D"/>
    <w:rsid w:val="001A713F"/>
    <w:rsid w:val="001A71CB"/>
    <w:rsid w:val="001A7384"/>
    <w:rsid w:val="001A788E"/>
    <w:rsid w:val="001A7B13"/>
    <w:rsid w:val="001A7F1C"/>
    <w:rsid w:val="001B0143"/>
    <w:rsid w:val="001B03DD"/>
    <w:rsid w:val="001B0472"/>
    <w:rsid w:val="001B0675"/>
    <w:rsid w:val="001B0873"/>
    <w:rsid w:val="001B092E"/>
    <w:rsid w:val="001B0B8E"/>
    <w:rsid w:val="001B102B"/>
    <w:rsid w:val="001B1100"/>
    <w:rsid w:val="001B11CD"/>
    <w:rsid w:val="001B1B4D"/>
    <w:rsid w:val="001B1BE8"/>
    <w:rsid w:val="001B1D8E"/>
    <w:rsid w:val="001B1F4A"/>
    <w:rsid w:val="001B20B4"/>
    <w:rsid w:val="001B21B7"/>
    <w:rsid w:val="001B25DC"/>
    <w:rsid w:val="001B2678"/>
    <w:rsid w:val="001B2A6E"/>
    <w:rsid w:val="001B3BC3"/>
    <w:rsid w:val="001B3CBC"/>
    <w:rsid w:val="001B40F8"/>
    <w:rsid w:val="001B429D"/>
    <w:rsid w:val="001B4C87"/>
    <w:rsid w:val="001B55DF"/>
    <w:rsid w:val="001B5903"/>
    <w:rsid w:val="001B592F"/>
    <w:rsid w:val="001B5AA9"/>
    <w:rsid w:val="001B5EAC"/>
    <w:rsid w:val="001B616C"/>
    <w:rsid w:val="001B627A"/>
    <w:rsid w:val="001B6C5E"/>
    <w:rsid w:val="001B75FB"/>
    <w:rsid w:val="001B76F4"/>
    <w:rsid w:val="001B77C3"/>
    <w:rsid w:val="001B7E08"/>
    <w:rsid w:val="001C00B3"/>
    <w:rsid w:val="001C0611"/>
    <w:rsid w:val="001C0AEC"/>
    <w:rsid w:val="001C0F26"/>
    <w:rsid w:val="001C102F"/>
    <w:rsid w:val="001C1049"/>
    <w:rsid w:val="001C114E"/>
    <w:rsid w:val="001C14D2"/>
    <w:rsid w:val="001C18AB"/>
    <w:rsid w:val="001C18F7"/>
    <w:rsid w:val="001C1B16"/>
    <w:rsid w:val="001C1E10"/>
    <w:rsid w:val="001C1E86"/>
    <w:rsid w:val="001C1FEF"/>
    <w:rsid w:val="001C2826"/>
    <w:rsid w:val="001C2900"/>
    <w:rsid w:val="001C2C05"/>
    <w:rsid w:val="001C36D2"/>
    <w:rsid w:val="001C3A5E"/>
    <w:rsid w:val="001C3C8B"/>
    <w:rsid w:val="001C3F9F"/>
    <w:rsid w:val="001C3FE4"/>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43C"/>
    <w:rsid w:val="001C5504"/>
    <w:rsid w:val="001C567D"/>
    <w:rsid w:val="001C57B1"/>
    <w:rsid w:val="001C5E79"/>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87A"/>
    <w:rsid w:val="001D19A9"/>
    <w:rsid w:val="001D1A87"/>
    <w:rsid w:val="001D1AF1"/>
    <w:rsid w:val="001D2208"/>
    <w:rsid w:val="001D25CB"/>
    <w:rsid w:val="001D285A"/>
    <w:rsid w:val="001D2ABC"/>
    <w:rsid w:val="001D2C3C"/>
    <w:rsid w:val="001D2CD5"/>
    <w:rsid w:val="001D2FB6"/>
    <w:rsid w:val="001D3540"/>
    <w:rsid w:val="001D371D"/>
    <w:rsid w:val="001D38C2"/>
    <w:rsid w:val="001D3971"/>
    <w:rsid w:val="001D39FD"/>
    <w:rsid w:val="001D46DF"/>
    <w:rsid w:val="001D48A4"/>
    <w:rsid w:val="001D48C9"/>
    <w:rsid w:val="001D4BFF"/>
    <w:rsid w:val="001D5589"/>
    <w:rsid w:val="001D599D"/>
    <w:rsid w:val="001D5DD4"/>
    <w:rsid w:val="001D61BD"/>
    <w:rsid w:val="001D6277"/>
    <w:rsid w:val="001D70BF"/>
    <w:rsid w:val="001D7BCD"/>
    <w:rsid w:val="001D7BE3"/>
    <w:rsid w:val="001D7F7E"/>
    <w:rsid w:val="001E00D9"/>
    <w:rsid w:val="001E04DE"/>
    <w:rsid w:val="001E05B5"/>
    <w:rsid w:val="001E094A"/>
    <w:rsid w:val="001E0A77"/>
    <w:rsid w:val="001E0AE6"/>
    <w:rsid w:val="001E0BA5"/>
    <w:rsid w:val="001E0C64"/>
    <w:rsid w:val="001E0E65"/>
    <w:rsid w:val="001E0F47"/>
    <w:rsid w:val="001E13C5"/>
    <w:rsid w:val="001E17C4"/>
    <w:rsid w:val="001E18AC"/>
    <w:rsid w:val="001E1926"/>
    <w:rsid w:val="001E1ADF"/>
    <w:rsid w:val="001E233C"/>
    <w:rsid w:val="001E27EC"/>
    <w:rsid w:val="001E2DC3"/>
    <w:rsid w:val="001E2E26"/>
    <w:rsid w:val="001E2E8E"/>
    <w:rsid w:val="001E2EF4"/>
    <w:rsid w:val="001E35BF"/>
    <w:rsid w:val="001E35D2"/>
    <w:rsid w:val="001E37CF"/>
    <w:rsid w:val="001E39C5"/>
    <w:rsid w:val="001E4B1D"/>
    <w:rsid w:val="001E4BD6"/>
    <w:rsid w:val="001E5479"/>
    <w:rsid w:val="001E55CD"/>
    <w:rsid w:val="001E5737"/>
    <w:rsid w:val="001E5BBC"/>
    <w:rsid w:val="001E5F29"/>
    <w:rsid w:val="001E612F"/>
    <w:rsid w:val="001E6435"/>
    <w:rsid w:val="001E6802"/>
    <w:rsid w:val="001E691E"/>
    <w:rsid w:val="001E6AFD"/>
    <w:rsid w:val="001E6B0E"/>
    <w:rsid w:val="001E6D5D"/>
    <w:rsid w:val="001E740B"/>
    <w:rsid w:val="001E75E4"/>
    <w:rsid w:val="001E7E60"/>
    <w:rsid w:val="001F0158"/>
    <w:rsid w:val="001F018E"/>
    <w:rsid w:val="001F019F"/>
    <w:rsid w:val="001F051D"/>
    <w:rsid w:val="001F07B9"/>
    <w:rsid w:val="001F0904"/>
    <w:rsid w:val="001F0B04"/>
    <w:rsid w:val="001F0C13"/>
    <w:rsid w:val="001F0F6E"/>
    <w:rsid w:val="001F0F98"/>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57B"/>
    <w:rsid w:val="001F4B16"/>
    <w:rsid w:val="001F4C39"/>
    <w:rsid w:val="001F62EA"/>
    <w:rsid w:val="001F65A3"/>
    <w:rsid w:val="001F6856"/>
    <w:rsid w:val="001F7017"/>
    <w:rsid w:val="001F7258"/>
    <w:rsid w:val="001F73D9"/>
    <w:rsid w:val="001F7478"/>
    <w:rsid w:val="001F7EDD"/>
    <w:rsid w:val="001F7FCA"/>
    <w:rsid w:val="00200212"/>
    <w:rsid w:val="002008BE"/>
    <w:rsid w:val="0020111B"/>
    <w:rsid w:val="002019C7"/>
    <w:rsid w:val="00201F1D"/>
    <w:rsid w:val="00201FE8"/>
    <w:rsid w:val="00201FEF"/>
    <w:rsid w:val="002024FC"/>
    <w:rsid w:val="0020264D"/>
    <w:rsid w:val="002027BD"/>
    <w:rsid w:val="0020291A"/>
    <w:rsid w:val="00202936"/>
    <w:rsid w:val="002029FC"/>
    <w:rsid w:val="00202AE4"/>
    <w:rsid w:val="002031C1"/>
    <w:rsid w:val="00203830"/>
    <w:rsid w:val="00203AFC"/>
    <w:rsid w:val="00203D79"/>
    <w:rsid w:val="0020406F"/>
    <w:rsid w:val="00204411"/>
    <w:rsid w:val="00204E0B"/>
    <w:rsid w:val="00204F72"/>
    <w:rsid w:val="00204F84"/>
    <w:rsid w:val="00205192"/>
    <w:rsid w:val="002051D4"/>
    <w:rsid w:val="002053E5"/>
    <w:rsid w:val="00205678"/>
    <w:rsid w:val="00205758"/>
    <w:rsid w:val="00205B56"/>
    <w:rsid w:val="00205C40"/>
    <w:rsid w:val="00205EF7"/>
    <w:rsid w:val="0020627A"/>
    <w:rsid w:val="0020640C"/>
    <w:rsid w:val="00206712"/>
    <w:rsid w:val="002069B7"/>
    <w:rsid w:val="00206B72"/>
    <w:rsid w:val="00206F81"/>
    <w:rsid w:val="00207016"/>
    <w:rsid w:val="00207F5C"/>
    <w:rsid w:val="0021014C"/>
    <w:rsid w:val="002102BF"/>
    <w:rsid w:val="002102F6"/>
    <w:rsid w:val="002104A6"/>
    <w:rsid w:val="00210673"/>
    <w:rsid w:val="00210D2D"/>
    <w:rsid w:val="00211245"/>
    <w:rsid w:val="00211389"/>
    <w:rsid w:val="00211634"/>
    <w:rsid w:val="0021164B"/>
    <w:rsid w:val="002116B8"/>
    <w:rsid w:val="00211823"/>
    <w:rsid w:val="00211EF5"/>
    <w:rsid w:val="002121E4"/>
    <w:rsid w:val="002121FC"/>
    <w:rsid w:val="0021222A"/>
    <w:rsid w:val="002125F9"/>
    <w:rsid w:val="002125FF"/>
    <w:rsid w:val="002126E8"/>
    <w:rsid w:val="00212A13"/>
    <w:rsid w:val="00212A82"/>
    <w:rsid w:val="00212C1C"/>
    <w:rsid w:val="00213330"/>
    <w:rsid w:val="002137DF"/>
    <w:rsid w:val="00213957"/>
    <w:rsid w:val="00213A28"/>
    <w:rsid w:val="00213D3C"/>
    <w:rsid w:val="00213DCF"/>
    <w:rsid w:val="00213EEE"/>
    <w:rsid w:val="00214143"/>
    <w:rsid w:val="0021448A"/>
    <w:rsid w:val="00214773"/>
    <w:rsid w:val="002147B7"/>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AC0"/>
    <w:rsid w:val="00221D4E"/>
    <w:rsid w:val="00221EF8"/>
    <w:rsid w:val="00221F4F"/>
    <w:rsid w:val="00222216"/>
    <w:rsid w:val="00222241"/>
    <w:rsid w:val="00222296"/>
    <w:rsid w:val="002222E1"/>
    <w:rsid w:val="002224A3"/>
    <w:rsid w:val="00222779"/>
    <w:rsid w:val="00222E32"/>
    <w:rsid w:val="00223627"/>
    <w:rsid w:val="00223985"/>
    <w:rsid w:val="002239AF"/>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8DA"/>
    <w:rsid w:val="002319E2"/>
    <w:rsid w:val="00231FDB"/>
    <w:rsid w:val="00232528"/>
    <w:rsid w:val="00232824"/>
    <w:rsid w:val="00232953"/>
    <w:rsid w:val="0023298F"/>
    <w:rsid w:val="002329B1"/>
    <w:rsid w:val="00232D34"/>
    <w:rsid w:val="00232EC1"/>
    <w:rsid w:val="002331FD"/>
    <w:rsid w:val="0023329F"/>
    <w:rsid w:val="0023340B"/>
    <w:rsid w:val="0023366B"/>
    <w:rsid w:val="002336C0"/>
    <w:rsid w:val="0023372E"/>
    <w:rsid w:val="00233C59"/>
    <w:rsid w:val="00233C8B"/>
    <w:rsid w:val="00233F8F"/>
    <w:rsid w:val="00234111"/>
    <w:rsid w:val="00234207"/>
    <w:rsid w:val="002344EC"/>
    <w:rsid w:val="0023468B"/>
    <w:rsid w:val="0023489F"/>
    <w:rsid w:val="00234B4B"/>
    <w:rsid w:val="00234B5F"/>
    <w:rsid w:val="00234DBF"/>
    <w:rsid w:val="00235054"/>
    <w:rsid w:val="00235292"/>
    <w:rsid w:val="002352AF"/>
    <w:rsid w:val="00235448"/>
    <w:rsid w:val="002354BB"/>
    <w:rsid w:val="0023599E"/>
    <w:rsid w:val="00235F58"/>
    <w:rsid w:val="002366AC"/>
    <w:rsid w:val="002366DD"/>
    <w:rsid w:val="00236E9F"/>
    <w:rsid w:val="00237BC1"/>
    <w:rsid w:val="00237F22"/>
    <w:rsid w:val="0024010C"/>
    <w:rsid w:val="002405B2"/>
    <w:rsid w:val="0024061C"/>
    <w:rsid w:val="0024082D"/>
    <w:rsid w:val="00241021"/>
    <w:rsid w:val="0024107A"/>
    <w:rsid w:val="002411E8"/>
    <w:rsid w:val="002413C4"/>
    <w:rsid w:val="002417AE"/>
    <w:rsid w:val="00241BC8"/>
    <w:rsid w:val="00241D41"/>
    <w:rsid w:val="0024280E"/>
    <w:rsid w:val="002429EB"/>
    <w:rsid w:val="00242D9E"/>
    <w:rsid w:val="00242F37"/>
    <w:rsid w:val="00243224"/>
    <w:rsid w:val="002434A7"/>
    <w:rsid w:val="00243CBD"/>
    <w:rsid w:val="00244291"/>
    <w:rsid w:val="00244882"/>
    <w:rsid w:val="00244CD1"/>
    <w:rsid w:val="00245225"/>
    <w:rsid w:val="0024556F"/>
    <w:rsid w:val="00245DC5"/>
    <w:rsid w:val="00246013"/>
    <w:rsid w:val="00246834"/>
    <w:rsid w:val="00246851"/>
    <w:rsid w:val="002468AE"/>
    <w:rsid w:val="00246D02"/>
    <w:rsid w:val="00246D9D"/>
    <w:rsid w:val="00246FFE"/>
    <w:rsid w:val="0024707B"/>
    <w:rsid w:val="00247828"/>
    <w:rsid w:val="00247B60"/>
    <w:rsid w:val="00247C1D"/>
    <w:rsid w:val="002504BA"/>
    <w:rsid w:val="00250742"/>
    <w:rsid w:val="002507BB"/>
    <w:rsid w:val="00250D47"/>
    <w:rsid w:val="00251203"/>
    <w:rsid w:val="00251555"/>
    <w:rsid w:val="00251605"/>
    <w:rsid w:val="00251786"/>
    <w:rsid w:val="0025182C"/>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6F"/>
    <w:rsid w:val="002557C7"/>
    <w:rsid w:val="00256013"/>
    <w:rsid w:val="002565B3"/>
    <w:rsid w:val="002567F1"/>
    <w:rsid w:val="002569ED"/>
    <w:rsid w:val="00256D3D"/>
    <w:rsid w:val="00256E13"/>
    <w:rsid w:val="00257035"/>
    <w:rsid w:val="00257066"/>
    <w:rsid w:val="002575E4"/>
    <w:rsid w:val="002578DF"/>
    <w:rsid w:val="00257936"/>
    <w:rsid w:val="00257D1B"/>
    <w:rsid w:val="00257E08"/>
    <w:rsid w:val="00257E14"/>
    <w:rsid w:val="00260461"/>
    <w:rsid w:val="00260656"/>
    <w:rsid w:val="002606F8"/>
    <w:rsid w:val="00260A41"/>
    <w:rsid w:val="00260B69"/>
    <w:rsid w:val="00260EA3"/>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3CEF"/>
    <w:rsid w:val="00264067"/>
    <w:rsid w:val="00264169"/>
    <w:rsid w:val="002643FD"/>
    <w:rsid w:val="00264752"/>
    <w:rsid w:val="00264DD7"/>
    <w:rsid w:val="00264FB8"/>
    <w:rsid w:val="00264FB9"/>
    <w:rsid w:val="002650E3"/>
    <w:rsid w:val="00265B1A"/>
    <w:rsid w:val="00266269"/>
    <w:rsid w:val="002663A5"/>
    <w:rsid w:val="00266603"/>
    <w:rsid w:val="00266B0F"/>
    <w:rsid w:val="002674BC"/>
    <w:rsid w:val="00267C19"/>
    <w:rsid w:val="00267FCC"/>
    <w:rsid w:val="0027098C"/>
    <w:rsid w:val="00270A70"/>
    <w:rsid w:val="00270C5C"/>
    <w:rsid w:val="00270F23"/>
    <w:rsid w:val="00271021"/>
    <w:rsid w:val="0027111A"/>
    <w:rsid w:val="002711DC"/>
    <w:rsid w:val="002713F9"/>
    <w:rsid w:val="00271861"/>
    <w:rsid w:val="00271872"/>
    <w:rsid w:val="00271934"/>
    <w:rsid w:val="002721B5"/>
    <w:rsid w:val="00272416"/>
    <w:rsid w:val="002729F8"/>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BBC"/>
    <w:rsid w:val="00280E9D"/>
    <w:rsid w:val="00280F8D"/>
    <w:rsid w:val="00281071"/>
    <w:rsid w:val="00281606"/>
    <w:rsid w:val="002817E2"/>
    <w:rsid w:val="00281B29"/>
    <w:rsid w:val="00281EC3"/>
    <w:rsid w:val="00282592"/>
    <w:rsid w:val="002828BF"/>
    <w:rsid w:val="00282A44"/>
    <w:rsid w:val="00283084"/>
    <w:rsid w:val="00283251"/>
    <w:rsid w:val="00283421"/>
    <w:rsid w:val="00283CD8"/>
    <w:rsid w:val="00283D22"/>
    <w:rsid w:val="0028412B"/>
    <w:rsid w:val="002846C5"/>
    <w:rsid w:val="00284A38"/>
    <w:rsid w:val="00284EBB"/>
    <w:rsid w:val="002851FB"/>
    <w:rsid w:val="00285431"/>
    <w:rsid w:val="0028552E"/>
    <w:rsid w:val="00285600"/>
    <w:rsid w:val="00285712"/>
    <w:rsid w:val="00285AF6"/>
    <w:rsid w:val="00286598"/>
    <w:rsid w:val="0028663A"/>
    <w:rsid w:val="00286ACD"/>
    <w:rsid w:val="00286B0E"/>
    <w:rsid w:val="00286B4B"/>
    <w:rsid w:val="00286BD1"/>
    <w:rsid w:val="00287088"/>
    <w:rsid w:val="0028710A"/>
    <w:rsid w:val="00287283"/>
    <w:rsid w:val="0028732F"/>
    <w:rsid w:val="00287BFE"/>
    <w:rsid w:val="00287E08"/>
    <w:rsid w:val="002900B7"/>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5DB9"/>
    <w:rsid w:val="0029603B"/>
    <w:rsid w:val="00296413"/>
    <w:rsid w:val="00296737"/>
    <w:rsid w:val="00296B4F"/>
    <w:rsid w:val="00296CAD"/>
    <w:rsid w:val="00296E62"/>
    <w:rsid w:val="00297269"/>
    <w:rsid w:val="002972DF"/>
    <w:rsid w:val="0029740A"/>
    <w:rsid w:val="0029749B"/>
    <w:rsid w:val="0029765E"/>
    <w:rsid w:val="00297A98"/>
    <w:rsid w:val="00297CD8"/>
    <w:rsid w:val="00297F48"/>
    <w:rsid w:val="00297FA2"/>
    <w:rsid w:val="002A0465"/>
    <w:rsid w:val="002A0491"/>
    <w:rsid w:val="002A0633"/>
    <w:rsid w:val="002A06C3"/>
    <w:rsid w:val="002A0727"/>
    <w:rsid w:val="002A0826"/>
    <w:rsid w:val="002A08A0"/>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2E"/>
    <w:rsid w:val="002A59FD"/>
    <w:rsid w:val="002A5DA0"/>
    <w:rsid w:val="002A60EC"/>
    <w:rsid w:val="002A65FE"/>
    <w:rsid w:val="002A69BC"/>
    <w:rsid w:val="002A69C8"/>
    <w:rsid w:val="002A6B6D"/>
    <w:rsid w:val="002A6DDE"/>
    <w:rsid w:val="002A6FA0"/>
    <w:rsid w:val="002A7272"/>
    <w:rsid w:val="002A729D"/>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7CE"/>
    <w:rsid w:val="002B49C5"/>
    <w:rsid w:val="002B4DA6"/>
    <w:rsid w:val="002B4F0D"/>
    <w:rsid w:val="002B4F9C"/>
    <w:rsid w:val="002B5024"/>
    <w:rsid w:val="002B525E"/>
    <w:rsid w:val="002B5650"/>
    <w:rsid w:val="002B566A"/>
    <w:rsid w:val="002B59CA"/>
    <w:rsid w:val="002B5AE4"/>
    <w:rsid w:val="002B5AFB"/>
    <w:rsid w:val="002B5BA7"/>
    <w:rsid w:val="002B5EAC"/>
    <w:rsid w:val="002B5FB0"/>
    <w:rsid w:val="002B622E"/>
    <w:rsid w:val="002B6274"/>
    <w:rsid w:val="002B6416"/>
    <w:rsid w:val="002B67D4"/>
    <w:rsid w:val="002B69F7"/>
    <w:rsid w:val="002B6BE2"/>
    <w:rsid w:val="002B6FFD"/>
    <w:rsid w:val="002B709D"/>
    <w:rsid w:val="002B70F6"/>
    <w:rsid w:val="002B7106"/>
    <w:rsid w:val="002B7189"/>
    <w:rsid w:val="002B74C7"/>
    <w:rsid w:val="002B7871"/>
    <w:rsid w:val="002B7900"/>
    <w:rsid w:val="002B7948"/>
    <w:rsid w:val="002C0060"/>
    <w:rsid w:val="002C0078"/>
    <w:rsid w:val="002C03E4"/>
    <w:rsid w:val="002C076D"/>
    <w:rsid w:val="002C0AED"/>
    <w:rsid w:val="002C10F7"/>
    <w:rsid w:val="002C1218"/>
    <w:rsid w:val="002C134A"/>
    <w:rsid w:val="002C1409"/>
    <w:rsid w:val="002C146D"/>
    <w:rsid w:val="002C18B4"/>
    <w:rsid w:val="002C1A35"/>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561"/>
    <w:rsid w:val="002C3DB9"/>
    <w:rsid w:val="002C431F"/>
    <w:rsid w:val="002C4356"/>
    <w:rsid w:val="002C4C80"/>
    <w:rsid w:val="002C522F"/>
    <w:rsid w:val="002C52BF"/>
    <w:rsid w:val="002C54C1"/>
    <w:rsid w:val="002C556D"/>
    <w:rsid w:val="002C5DB9"/>
    <w:rsid w:val="002C5DE6"/>
    <w:rsid w:val="002C5E42"/>
    <w:rsid w:val="002C6236"/>
    <w:rsid w:val="002C62A6"/>
    <w:rsid w:val="002C6444"/>
    <w:rsid w:val="002C6677"/>
    <w:rsid w:val="002C67C0"/>
    <w:rsid w:val="002C69BD"/>
    <w:rsid w:val="002C6D69"/>
    <w:rsid w:val="002C6F73"/>
    <w:rsid w:val="002C70A1"/>
    <w:rsid w:val="002C70D8"/>
    <w:rsid w:val="002C7140"/>
    <w:rsid w:val="002C7212"/>
    <w:rsid w:val="002C77C6"/>
    <w:rsid w:val="002C7974"/>
    <w:rsid w:val="002C7C1A"/>
    <w:rsid w:val="002C7DE8"/>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23E"/>
    <w:rsid w:val="002D33D6"/>
    <w:rsid w:val="002D34BC"/>
    <w:rsid w:val="002D35D0"/>
    <w:rsid w:val="002D3F35"/>
    <w:rsid w:val="002D4489"/>
    <w:rsid w:val="002D44CD"/>
    <w:rsid w:val="002D4703"/>
    <w:rsid w:val="002D4769"/>
    <w:rsid w:val="002D4775"/>
    <w:rsid w:val="002D4A5F"/>
    <w:rsid w:val="002D4BBD"/>
    <w:rsid w:val="002D535D"/>
    <w:rsid w:val="002D548B"/>
    <w:rsid w:val="002D5528"/>
    <w:rsid w:val="002D57E2"/>
    <w:rsid w:val="002D588F"/>
    <w:rsid w:val="002D58C0"/>
    <w:rsid w:val="002D58E5"/>
    <w:rsid w:val="002D5E9D"/>
    <w:rsid w:val="002D5EC3"/>
    <w:rsid w:val="002D60FB"/>
    <w:rsid w:val="002D6682"/>
    <w:rsid w:val="002D67B0"/>
    <w:rsid w:val="002D6996"/>
    <w:rsid w:val="002D6AB5"/>
    <w:rsid w:val="002D7D47"/>
    <w:rsid w:val="002E01CA"/>
    <w:rsid w:val="002E025C"/>
    <w:rsid w:val="002E0263"/>
    <w:rsid w:val="002E077B"/>
    <w:rsid w:val="002E0949"/>
    <w:rsid w:val="002E0B8F"/>
    <w:rsid w:val="002E0C25"/>
    <w:rsid w:val="002E0C56"/>
    <w:rsid w:val="002E0D3A"/>
    <w:rsid w:val="002E116E"/>
    <w:rsid w:val="002E12C5"/>
    <w:rsid w:val="002E149C"/>
    <w:rsid w:val="002E1AA5"/>
    <w:rsid w:val="002E1E43"/>
    <w:rsid w:val="002E231E"/>
    <w:rsid w:val="002E26B3"/>
    <w:rsid w:val="002E2CBA"/>
    <w:rsid w:val="002E2D95"/>
    <w:rsid w:val="002E31A4"/>
    <w:rsid w:val="002E374F"/>
    <w:rsid w:val="002E38A4"/>
    <w:rsid w:val="002E3AD5"/>
    <w:rsid w:val="002E3B74"/>
    <w:rsid w:val="002E3C2E"/>
    <w:rsid w:val="002E45C4"/>
    <w:rsid w:val="002E4724"/>
    <w:rsid w:val="002E475C"/>
    <w:rsid w:val="002E52B7"/>
    <w:rsid w:val="002E5308"/>
    <w:rsid w:val="002E5AF6"/>
    <w:rsid w:val="002E604B"/>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911"/>
    <w:rsid w:val="002F1D8C"/>
    <w:rsid w:val="002F1EE5"/>
    <w:rsid w:val="002F2021"/>
    <w:rsid w:val="002F20F7"/>
    <w:rsid w:val="002F2CDC"/>
    <w:rsid w:val="002F2D17"/>
    <w:rsid w:val="002F2D68"/>
    <w:rsid w:val="002F33DB"/>
    <w:rsid w:val="002F3582"/>
    <w:rsid w:val="002F3F2F"/>
    <w:rsid w:val="002F40F4"/>
    <w:rsid w:val="002F45ED"/>
    <w:rsid w:val="002F460A"/>
    <w:rsid w:val="002F46E1"/>
    <w:rsid w:val="002F4D7D"/>
    <w:rsid w:val="002F52A7"/>
    <w:rsid w:val="002F5553"/>
    <w:rsid w:val="002F55A8"/>
    <w:rsid w:val="002F5751"/>
    <w:rsid w:val="002F5C0F"/>
    <w:rsid w:val="002F5F03"/>
    <w:rsid w:val="002F5FC2"/>
    <w:rsid w:val="002F6316"/>
    <w:rsid w:val="002F660C"/>
    <w:rsid w:val="002F68FD"/>
    <w:rsid w:val="002F6A62"/>
    <w:rsid w:val="002F6C84"/>
    <w:rsid w:val="002F6F98"/>
    <w:rsid w:val="002F6FE1"/>
    <w:rsid w:val="002F70F9"/>
    <w:rsid w:val="002F7233"/>
    <w:rsid w:val="002F7773"/>
    <w:rsid w:val="002F797E"/>
    <w:rsid w:val="002F79F4"/>
    <w:rsid w:val="002F7C80"/>
    <w:rsid w:val="002F7FCB"/>
    <w:rsid w:val="00300505"/>
    <w:rsid w:val="0030063B"/>
    <w:rsid w:val="003006A0"/>
    <w:rsid w:val="003007B5"/>
    <w:rsid w:val="00300809"/>
    <w:rsid w:val="003008E9"/>
    <w:rsid w:val="00300AA0"/>
    <w:rsid w:val="00301371"/>
    <w:rsid w:val="0030137B"/>
    <w:rsid w:val="0030172B"/>
    <w:rsid w:val="003017B5"/>
    <w:rsid w:val="00301897"/>
    <w:rsid w:val="00301B2D"/>
    <w:rsid w:val="00301E85"/>
    <w:rsid w:val="00301ED5"/>
    <w:rsid w:val="00302084"/>
    <w:rsid w:val="00302635"/>
    <w:rsid w:val="003027F0"/>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6E5"/>
    <w:rsid w:val="00304717"/>
    <w:rsid w:val="00304970"/>
    <w:rsid w:val="00304CD8"/>
    <w:rsid w:val="00304D95"/>
    <w:rsid w:val="00305460"/>
    <w:rsid w:val="00305763"/>
    <w:rsid w:val="00305932"/>
    <w:rsid w:val="00305947"/>
    <w:rsid w:val="00306732"/>
    <w:rsid w:val="00306974"/>
    <w:rsid w:val="00306A0B"/>
    <w:rsid w:val="003070FA"/>
    <w:rsid w:val="00307186"/>
    <w:rsid w:val="00307305"/>
    <w:rsid w:val="003077A5"/>
    <w:rsid w:val="00307F9B"/>
    <w:rsid w:val="00310043"/>
    <w:rsid w:val="0031029F"/>
    <w:rsid w:val="003103BE"/>
    <w:rsid w:val="0031087F"/>
    <w:rsid w:val="00310C67"/>
    <w:rsid w:val="00310D0C"/>
    <w:rsid w:val="00310D49"/>
    <w:rsid w:val="00310F45"/>
    <w:rsid w:val="0031134B"/>
    <w:rsid w:val="00311460"/>
    <w:rsid w:val="0031174E"/>
    <w:rsid w:val="00311824"/>
    <w:rsid w:val="00311971"/>
    <w:rsid w:val="00311A13"/>
    <w:rsid w:val="00311EFA"/>
    <w:rsid w:val="003121A6"/>
    <w:rsid w:val="00312777"/>
    <w:rsid w:val="003127D5"/>
    <w:rsid w:val="00312878"/>
    <w:rsid w:val="00312888"/>
    <w:rsid w:val="003129FC"/>
    <w:rsid w:val="00312B67"/>
    <w:rsid w:val="00312DF5"/>
    <w:rsid w:val="0031311D"/>
    <w:rsid w:val="003131DA"/>
    <w:rsid w:val="00313290"/>
    <w:rsid w:val="003132D1"/>
    <w:rsid w:val="00313609"/>
    <w:rsid w:val="00313783"/>
    <w:rsid w:val="00313C71"/>
    <w:rsid w:val="00313C7C"/>
    <w:rsid w:val="00313D2E"/>
    <w:rsid w:val="00314513"/>
    <w:rsid w:val="00314563"/>
    <w:rsid w:val="003148D6"/>
    <w:rsid w:val="00314BF3"/>
    <w:rsid w:val="003152E9"/>
    <w:rsid w:val="003153EE"/>
    <w:rsid w:val="003155D2"/>
    <w:rsid w:val="003155D5"/>
    <w:rsid w:val="0031567F"/>
    <w:rsid w:val="00315A8B"/>
    <w:rsid w:val="00315F79"/>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23DE"/>
    <w:rsid w:val="0032242D"/>
    <w:rsid w:val="0032244B"/>
    <w:rsid w:val="003226F3"/>
    <w:rsid w:val="003228AC"/>
    <w:rsid w:val="00322B57"/>
    <w:rsid w:val="00322C1B"/>
    <w:rsid w:val="00322FCD"/>
    <w:rsid w:val="00323059"/>
    <w:rsid w:val="0032310A"/>
    <w:rsid w:val="0032348D"/>
    <w:rsid w:val="00323783"/>
    <w:rsid w:val="003239FE"/>
    <w:rsid w:val="00323A2C"/>
    <w:rsid w:val="00323DC0"/>
    <w:rsid w:val="00323F7B"/>
    <w:rsid w:val="00324208"/>
    <w:rsid w:val="003245AA"/>
    <w:rsid w:val="00324674"/>
    <w:rsid w:val="00324AF7"/>
    <w:rsid w:val="00325534"/>
    <w:rsid w:val="00325827"/>
    <w:rsid w:val="003258A7"/>
    <w:rsid w:val="003259A3"/>
    <w:rsid w:val="00325A7A"/>
    <w:rsid w:val="00325ABC"/>
    <w:rsid w:val="00325E22"/>
    <w:rsid w:val="00325E50"/>
    <w:rsid w:val="0032670D"/>
    <w:rsid w:val="00326BB2"/>
    <w:rsid w:val="00326BD8"/>
    <w:rsid w:val="00326ED8"/>
    <w:rsid w:val="00326F1D"/>
    <w:rsid w:val="00326FA3"/>
    <w:rsid w:val="00327CD1"/>
    <w:rsid w:val="00327D35"/>
    <w:rsid w:val="00330636"/>
    <w:rsid w:val="003308AC"/>
    <w:rsid w:val="00330B40"/>
    <w:rsid w:val="00330B78"/>
    <w:rsid w:val="003311C4"/>
    <w:rsid w:val="0033180A"/>
    <w:rsid w:val="00331E9C"/>
    <w:rsid w:val="00331FBE"/>
    <w:rsid w:val="0033253F"/>
    <w:rsid w:val="0033295A"/>
    <w:rsid w:val="0033295D"/>
    <w:rsid w:val="0033296A"/>
    <w:rsid w:val="00332DFF"/>
    <w:rsid w:val="00332E1E"/>
    <w:rsid w:val="00333128"/>
    <w:rsid w:val="00333223"/>
    <w:rsid w:val="0033335F"/>
    <w:rsid w:val="003334F6"/>
    <w:rsid w:val="00333602"/>
    <w:rsid w:val="00333646"/>
    <w:rsid w:val="003337D5"/>
    <w:rsid w:val="00333840"/>
    <w:rsid w:val="003338B2"/>
    <w:rsid w:val="00333CC1"/>
    <w:rsid w:val="00333D1F"/>
    <w:rsid w:val="00333DBC"/>
    <w:rsid w:val="003346CE"/>
    <w:rsid w:val="00334BD6"/>
    <w:rsid w:val="00334DF1"/>
    <w:rsid w:val="0033515F"/>
    <w:rsid w:val="00335467"/>
    <w:rsid w:val="00335474"/>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29FA"/>
    <w:rsid w:val="00343161"/>
    <w:rsid w:val="003431DD"/>
    <w:rsid w:val="0034333F"/>
    <w:rsid w:val="00343BD9"/>
    <w:rsid w:val="00343BF3"/>
    <w:rsid w:val="00343DB9"/>
    <w:rsid w:val="00344502"/>
    <w:rsid w:val="00344F56"/>
    <w:rsid w:val="003451F5"/>
    <w:rsid w:val="0034538F"/>
    <w:rsid w:val="00345754"/>
    <w:rsid w:val="003459BC"/>
    <w:rsid w:val="00345B71"/>
    <w:rsid w:val="00345C1B"/>
    <w:rsid w:val="003460E4"/>
    <w:rsid w:val="003461BF"/>
    <w:rsid w:val="0034641E"/>
    <w:rsid w:val="00346489"/>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3AC"/>
    <w:rsid w:val="003535A7"/>
    <w:rsid w:val="00353C5E"/>
    <w:rsid w:val="00354018"/>
    <w:rsid w:val="0035403B"/>
    <w:rsid w:val="003540FA"/>
    <w:rsid w:val="00354733"/>
    <w:rsid w:val="00354A12"/>
    <w:rsid w:val="0035531E"/>
    <w:rsid w:val="00355379"/>
    <w:rsid w:val="00355785"/>
    <w:rsid w:val="00355AC5"/>
    <w:rsid w:val="00355E65"/>
    <w:rsid w:val="0035613B"/>
    <w:rsid w:val="003561CB"/>
    <w:rsid w:val="00356253"/>
    <w:rsid w:val="00356296"/>
    <w:rsid w:val="0035669B"/>
    <w:rsid w:val="00356AA4"/>
    <w:rsid w:val="00356CA6"/>
    <w:rsid w:val="003571FB"/>
    <w:rsid w:val="0035750A"/>
    <w:rsid w:val="0035758C"/>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4EA"/>
    <w:rsid w:val="003636FB"/>
    <w:rsid w:val="00363A15"/>
    <w:rsid w:val="00363B12"/>
    <w:rsid w:val="00363B7D"/>
    <w:rsid w:val="00363CDC"/>
    <w:rsid w:val="00363ECF"/>
    <w:rsid w:val="003646FB"/>
    <w:rsid w:val="00364A55"/>
    <w:rsid w:val="00364B2A"/>
    <w:rsid w:val="00364B5D"/>
    <w:rsid w:val="00364C5E"/>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DBB"/>
    <w:rsid w:val="003725BF"/>
    <w:rsid w:val="003725E3"/>
    <w:rsid w:val="00372773"/>
    <w:rsid w:val="0037281D"/>
    <w:rsid w:val="003728D7"/>
    <w:rsid w:val="00372C0F"/>
    <w:rsid w:val="00372EC1"/>
    <w:rsid w:val="00372FB3"/>
    <w:rsid w:val="0037312C"/>
    <w:rsid w:val="003731C3"/>
    <w:rsid w:val="00373F94"/>
    <w:rsid w:val="00374200"/>
    <w:rsid w:val="003742E9"/>
    <w:rsid w:val="00374549"/>
    <w:rsid w:val="00374761"/>
    <w:rsid w:val="0037484D"/>
    <w:rsid w:val="00374C13"/>
    <w:rsid w:val="00374DC9"/>
    <w:rsid w:val="00375017"/>
    <w:rsid w:val="00375112"/>
    <w:rsid w:val="0037517D"/>
    <w:rsid w:val="00375406"/>
    <w:rsid w:val="003756A8"/>
    <w:rsid w:val="00375A3D"/>
    <w:rsid w:val="00375DF8"/>
    <w:rsid w:val="0037647F"/>
    <w:rsid w:val="00376778"/>
    <w:rsid w:val="003768BA"/>
    <w:rsid w:val="00376B6A"/>
    <w:rsid w:val="00376F70"/>
    <w:rsid w:val="0037705C"/>
    <w:rsid w:val="0037727F"/>
    <w:rsid w:val="003772B2"/>
    <w:rsid w:val="003777E2"/>
    <w:rsid w:val="00377A00"/>
    <w:rsid w:val="00377A90"/>
    <w:rsid w:val="00377D4E"/>
    <w:rsid w:val="00377E05"/>
    <w:rsid w:val="0038054D"/>
    <w:rsid w:val="0038083C"/>
    <w:rsid w:val="00380FD2"/>
    <w:rsid w:val="003810E3"/>
    <w:rsid w:val="00381260"/>
    <w:rsid w:val="00381992"/>
    <w:rsid w:val="00381AF9"/>
    <w:rsid w:val="00381E70"/>
    <w:rsid w:val="00381F15"/>
    <w:rsid w:val="00381FA2"/>
    <w:rsid w:val="00381FB9"/>
    <w:rsid w:val="003821E7"/>
    <w:rsid w:val="00382324"/>
    <w:rsid w:val="00382326"/>
    <w:rsid w:val="0038258C"/>
    <w:rsid w:val="00382636"/>
    <w:rsid w:val="0038295E"/>
    <w:rsid w:val="00382CA0"/>
    <w:rsid w:val="00382F70"/>
    <w:rsid w:val="00382F73"/>
    <w:rsid w:val="003831BC"/>
    <w:rsid w:val="003832AD"/>
    <w:rsid w:val="003833C5"/>
    <w:rsid w:val="00383718"/>
    <w:rsid w:val="003837CD"/>
    <w:rsid w:val="00383846"/>
    <w:rsid w:val="00383AC0"/>
    <w:rsid w:val="00383BA8"/>
    <w:rsid w:val="00383E45"/>
    <w:rsid w:val="0038417A"/>
    <w:rsid w:val="003842F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D5"/>
    <w:rsid w:val="0038665E"/>
    <w:rsid w:val="00386D50"/>
    <w:rsid w:val="003876EA"/>
    <w:rsid w:val="003879E4"/>
    <w:rsid w:val="00387EAE"/>
    <w:rsid w:val="00387EC3"/>
    <w:rsid w:val="003900E9"/>
    <w:rsid w:val="0039048C"/>
    <w:rsid w:val="00390685"/>
    <w:rsid w:val="00390736"/>
    <w:rsid w:val="00390D13"/>
    <w:rsid w:val="00390D22"/>
    <w:rsid w:val="00390DC6"/>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4FEF"/>
    <w:rsid w:val="00395229"/>
    <w:rsid w:val="00395286"/>
    <w:rsid w:val="00395389"/>
    <w:rsid w:val="0039554C"/>
    <w:rsid w:val="00395B02"/>
    <w:rsid w:val="00395CF6"/>
    <w:rsid w:val="00395EDC"/>
    <w:rsid w:val="00395F99"/>
    <w:rsid w:val="00396437"/>
    <w:rsid w:val="0039687E"/>
    <w:rsid w:val="00396A34"/>
    <w:rsid w:val="00396DC3"/>
    <w:rsid w:val="00396F82"/>
    <w:rsid w:val="0039769A"/>
    <w:rsid w:val="00397C4E"/>
    <w:rsid w:val="003A0277"/>
    <w:rsid w:val="003A0316"/>
    <w:rsid w:val="003A063D"/>
    <w:rsid w:val="003A090B"/>
    <w:rsid w:val="003A094A"/>
    <w:rsid w:val="003A0CB0"/>
    <w:rsid w:val="003A12D7"/>
    <w:rsid w:val="003A13DE"/>
    <w:rsid w:val="003A17C3"/>
    <w:rsid w:val="003A2113"/>
    <w:rsid w:val="003A21F8"/>
    <w:rsid w:val="003A2805"/>
    <w:rsid w:val="003A284B"/>
    <w:rsid w:val="003A2A56"/>
    <w:rsid w:val="003A2D67"/>
    <w:rsid w:val="003A2E8A"/>
    <w:rsid w:val="003A320F"/>
    <w:rsid w:val="003A36CE"/>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783"/>
    <w:rsid w:val="003A5C62"/>
    <w:rsid w:val="003A5D4F"/>
    <w:rsid w:val="003A6191"/>
    <w:rsid w:val="003A684C"/>
    <w:rsid w:val="003A6A5D"/>
    <w:rsid w:val="003A6D5D"/>
    <w:rsid w:val="003A6EBC"/>
    <w:rsid w:val="003A77A6"/>
    <w:rsid w:val="003A7D3E"/>
    <w:rsid w:val="003A7DBA"/>
    <w:rsid w:val="003B01FF"/>
    <w:rsid w:val="003B053E"/>
    <w:rsid w:val="003B054B"/>
    <w:rsid w:val="003B07B6"/>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5E9F"/>
    <w:rsid w:val="003B6183"/>
    <w:rsid w:val="003B61EE"/>
    <w:rsid w:val="003B631E"/>
    <w:rsid w:val="003B6340"/>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1AA2"/>
    <w:rsid w:val="003C2F67"/>
    <w:rsid w:val="003C30BF"/>
    <w:rsid w:val="003C3307"/>
    <w:rsid w:val="003C33A6"/>
    <w:rsid w:val="003C346F"/>
    <w:rsid w:val="003C37A3"/>
    <w:rsid w:val="003C4281"/>
    <w:rsid w:val="003C4BBF"/>
    <w:rsid w:val="003C4C26"/>
    <w:rsid w:val="003C4C2D"/>
    <w:rsid w:val="003C521E"/>
    <w:rsid w:val="003C54A5"/>
    <w:rsid w:val="003C5548"/>
    <w:rsid w:val="003C5606"/>
    <w:rsid w:val="003C590E"/>
    <w:rsid w:val="003C594E"/>
    <w:rsid w:val="003C5E63"/>
    <w:rsid w:val="003C6565"/>
    <w:rsid w:val="003C67CB"/>
    <w:rsid w:val="003C7091"/>
    <w:rsid w:val="003C7170"/>
    <w:rsid w:val="003C7264"/>
    <w:rsid w:val="003C78AC"/>
    <w:rsid w:val="003C7C7B"/>
    <w:rsid w:val="003C7E88"/>
    <w:rsid w:val="003D000A"/>
    <w:rsid w:val="003D04CC"/>
    <w:rsid w:val="003D04D6"/>
    <w:rsid w:val="003D0A50"/>
    <w:rsid w:val="003D0AB5"/>
    <w:rsid w:val="003D0BAF"/>
    <w:rsid w:val="003D0C96"/>
    <w:rsid w:val="003D0D3C"/>
    <w:rsid w:val="003D0F30"/>
    <w:rsid w:val="003D1258"/>
    <w:rsid w:val="003D1A87"/>
    <w:rsid w:val="003D1BBE"/>
    <w:rsid w:val="003D1C3F"/>
    <w:rsid w:val="003D1E1C"/>
    <w:rsid w:val="003D1E97"/>
    <w:rsid w:val="003D1FF9"/>
    <w:rsid w:val="003D248C"/>
    <w:rsid w:val="003D2743"/>
    <w:rsid w:val="003D28ED"/>
    <w:rsid w:val="003D2999"/>
    <w:rsid w:val="003D2A68"/>
    <w:rsid w:val="003D2DC7"/>
    <w:rsid w:val="003D3EC6"/>
    <w:rsid w:val="003D44F6"/>
    <w:rsid w:val="003D4660"/>
    <w:rsid w:val="003D4A83"/>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C64"/>
    <w:rsid w:val="003D7F36"/>
    <w:rsid w:val="003E020B"/>
    <w:rsid w:val="003E039A"/>
    <w:rsid w:val="003E0406"/>
    <w:rsid w:val="003E0471"/>
    <w:rsid w:val="003E05BD"/>
    <w:rsid w:val="003E0DBA"/>
    <w:rsid w:val="003E10F4"/>
    <w:rsid w:val="003E111E"/>
    <w:rsid w:val="003E126E"/>
    <w:rsid w:val="003E151E"/>
    <w:rsid w:val="003E1535"/>
    <w:rsid w:val="003E1B50"/>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BF0"/>
    <w:rsid w:val="003E6423"/>
    <w:rsid w:val="003E6513"/>
    <w:rsid w:val="003E6654"/>
    <w:rsid w:val="003E6CFA"/>
    <w:rsid w:val="003E6F40"/>
    <w:rsid w:val="003E710B"/>
    <w:rsid w:val="003E7163"/>
    <w:rsid w:val="003E7A91"/>
    <w:rsid w:val="003E7B17"/>
    <w:rsid w:val="003E7B8C"/>
    <w:rsid w:val="003E7FB2"/>
    <w:rsid w:val="003F05B8"/>
    <w:rsid w:val="003F05D2"/>
    <w:rsid w:val="003F0935"/>
    <w:rsid w:val="003F165A"/>
    <w:rsid w:val="003F1776"/>
    <w:rsid w:val="003F1843"/>
    <w:rsid w:val="003F1A2F"/>
    <w:rsid w:val="003F1B52"/>
    <w:rsid w:val="003F1C97"/>
    <w:rsid w:val="003F1FE6"/>
    <w:rsid w:val="003F20A4"/>
    <w:rsid w:val="003F20DE"/>
    <w:rsid w:val="003F2154"/>
    <w:rsid w:val="003F2201"/>
    <w:rsid w:val="003F2237"/>
    <w:rsid w:val="003F2366"/>
    <w:rsid w:val="003F2488"/>
    <w:rsid w:val="003F25C4"/>
    <w:rsid w:val="003F274D"/>
    <w:rsid w:val="003F2764"/>
    <w:rsid w:val="003F3245"/>
    <w:rsid w:val="003F3325"/>
    <w:rsid w:val="003F340D"/>
    <w:rsid w:val="003F3BAE"/>
    <w:rsid w:val="003F3F36"/>
    <w:rsid w:val="003F3FAB"/>
    <w:rsid w:val="003F40D1"/>
    <w:rsid w:val="003F46E9"/>
    <w:rsid w:val="003F4D16"/>
    <w:rsid w:val="003F4F84"/>
    <w:rsid w:val="003F516E"/>
    <w:rsid w:val="003F549B"/>
    <w:rsid w:val="003F5716"/>
    <w:rsid w:val="003F60C2"/>
    <w:rsid w:val="003F6396"/>
    <w:rsid w:val="003F6422"/>
    <w:rsid w:val="003F683C"/>
    <w:rsid w:val="003F698E"/>
    <w:rsid w:val="003F6A6E"/>
    <w:rsid w:val="003F6A94"/>
    <w:rsid w:val="003F6FF3"/>
    <w:rsid w:val="003F73F1"/>
    <w:rsid w:val="003F74D8"/>
    <w:rsid w:val="003F75A5"/>
    <w:rsid w:val="003F76F6"/>
    <w:rsid w:val="003F7758"/>
    <w:rsid w:val="003F7934"/>
    <w:rsid w:val="003F7A92"/>
    <w:rsid w:val="003F7B4F"/>
    <w:rsid w:val="003F7CB7"/>
    <w:rsid w:val="004001A2"/>
    <w:rsid w:val="00400486"/>
    <w:rsid w:val="004008A0"/>
    <w:rsid w:val="00400E28"/>
    <w:rsid w:val="00401287"/>
    <w:rsid w:val="0040181B"/>
    <w:rsid w:val="00401CBF"/>
    <w:rsid w:val="00401EE3"/>
    <w:rsid w:val="0040218F"/>
    <w:rsid w:val="00402274"/>
    <w:rsid w:val="004028B6"/>
    <w:rsid w:val="00402AD4"/>
    <w:rsid w:val="00402BBA"/>
    <w:rsid w:val="00402E78"/>
    <w:rsid w:val="004030AA"/>
    <w:rsid w:val="00403E79"/>
    <w:rsid w:val="004040FE"/>
    <w:rsid w:val="00404212"/>
    <w:rsid w:val="004044C1"/>
    <w:rsid w:val="00404785"/>
    <w:rsid w:val="00404B18"/>
    <w:rsid w:val="00404B8A"/>
    <w:rsid w:val="00404F2A"/>
    <w:rsid w:val="004052AB"/>
    <w:rsid w:val="00405369"/>
    <w:rsid w:val="0040547F"/>
    <w:rsid w:val="0040554F"/>
    <w:rsid w:val="00405705"/>
    <w:rsid w:val="00405F2F"/>
    <w:rsid w:val="00405FB4"/>
    <w:rsid w:val="004062D7"/>
    <w:rsid w:val="004063BD"/>
    <w:rsid w:val="0040644B"/>
    <w:rsid w:val="004064E0"/>
    <w:rsid w:val="00406AC5"/>
    <w:rsid w:val="00406B8E"/>
    <w:rsid w:val="00406E5A"/>
    <w:rsid w:val="00406E86"/>
    <w:rsid w:val="004071AA"/>
    <w:rsid w:val="004071E1"/>
    <w:rsid w:val="00407510"/>
    <w:rsid w:val="00407B1E"/>
    <w:rsid w:val="00407B24"/>
    <w:rsid w:val="00407E4E"/>
    <w:rsid w:val="00410064"/>
    <w:rsid w:val="0041007A"/>
    <w:rsid w:val="00410216"/>
    <w:rsid w:val="00410386"/>
    <w:rsid w:val="00410BBB"/>
    <w:rsid w:val="004115F5"/>
    <w:rsid w:val="00411607"/>
    <w:rsid w:val="004116E5"/>
    <w:rsid w:val="00411C04"/>
    <w:rsid w:val="00411F9F"/>
    <w:rsid w:val="00412054"/>
    <w:rsid w:val="00412366"/>
    <w:rsid w:val="00412488"/>
    <w:rsid w:val="00412823"/>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8DB"/>
    <w:rsid w:val="00416CEA"/>
    <w:rsid w:val="00416D3B"/>
    <w:rsid w:val="00416F71"/>
    <w:rsid w:val="00417094"/>
    <w:rsid w:val="004171B0"/>
    <w:rsid w:val="00417431"/>
    <w:rsid w:val="004174A9"/>
    <w:rsid w:val="00417B83"/>
    <w:rsid w:val="00417D1E"/>
    <w:rsid w:val="004204F9"/>
    <w:rsid w:val="00420510"/>
    <w:rsid w:val="00420766"/>
    <w:rsid w:val="00420984"/>
    <w:rsid w:val="00420A0F"/>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41A"/>
    <w:rsid w:val="0042695B"/>
    <w:rsid w:val="004271DB"/>
    <w:rsid w:val="004273AC"/>
    <w:rsid w:val="004276C1"/>
    <w:rsid w:val="0042785D"/>
    <w:rsid w:val="00427ACF"/>
    <w:rsid w:val="00427B55"/>
    <w:rsid w:val="00430244"/>
    <w:rsid w:val="0043038F"/>
    <w:rsid w:val="00430559"/>
    <w:rsid w:val="0043120E"/>
    <w:rsid w:val="0043169B"/>
    <w:rsid w:val="00431DA4"/>
    <w:rsid w:val="00431ED7"/>
    <w:rsid w:val="00432950"/>
    <w:rsid w:val="00432AD4"/>
    <w:rsid w:val="00432C13"/>
    <w:rsid w:val="00432EBC"/>
    <w:rsid w:val="00433A5F"/>
    <w:rsid w:val="00433D7E"/>
    <w:rsid w:val="00433F9B"/>
    <w:rsid w:val="00434145"/>
    <w:rsid w:val="0043421A"/>
    <w:rsid w:val="00434642"/>
    <w:rsid w:val="00434D5D"/>
    <w:rsid w:val="00434FF6"/>
    <w:rsid w:val="00435523"/>
    <w:rsid w:val="00435BF1"/>
    <w:rsid w:val="00435BFA"/>
    <w:rsid w:val="00435FB3"/>
    <w:rsid w:val="00436A99"/>
    <w:rsid w:val="00436B43"/>
    <w:rsid w:val="00436BF9"/>
    <w:rsid w:val="00436C0F"/>
    <w:rsid w:val="00436C11"/>
    <w:rsid w:val="00436FF7"/>
    <w:rsid w:val="0043720F"/>
    <w:rsid w:val="004372BB"/>
    <w:rsid w:val="00437592"/>
    <w:rsid w:val="00437674"/>
    <w:rsid w:val="00437994"/>
    <w:rsid w:val="00437B42"/>
    <w:rsid w:val="00437C9C"/>
    <w:rsid w:val="00437FDB"/>
    <w:rsid w:val="0044008A"/>
    <w:rsid w:val="0044058B"/>
    <w:rsid w:val="00440F02"/>
    <w:rsid w:val="004416EF"/>
    <w:rsid w:val="00441C5C"/>
    <w:rsid w:val="00441E22"/>
    <w:rsid w:val="00441E8B"/>
    <w:rsid w:val="00442016"/>
    <w:rsid w:val="00442327"/>
    <w:rsid w:val="004425B1"/>
    <w:rsid w:val="0044288D"/>
    <w:rsid w:val="00442947"/>
    <w:rsid w:val="00442EB8"/>
    <w:rsid w:val="00442EC8"/>
    <w:rsid w:val="0044308C"/>
    <w:rsid w:val="00443493"/>
    <w:rsid w:val="00443790"/>
    <w:rsid w:val="00443C0F"/>
    <w:rsid w:val="00443F4D"/>
    <w:rsid w:val="0044401F"/>
    <w:rsid w:val="004443BB"/>
    <w:rsid w:val="0044443D"/>
    <w:rsid w:val="004449C4"/>
    <w:rsid w:val="00444B47"/>
    <w:rsid w:val="00444B5E"/>
    <w:rsid w:val="00445260"/>
    <w:rsid w:val="004453B8"/>
    <w:rsid w:val="004456B2"/>
    <w:rsid w:val="004458D6"/>
    <w:rsid w:val="00445BC5"/>
    <w:rsid w:val="00446087"/>
    <w:rsid w:val="0044611D"/>
    <w:rsid w:val="00446595"/>
    <w:rsid w:val="00446D39"/>
    <w:rsid w:val="00446FAD"/>
    <w:rsid w:val="00447064"/>
    <w:rsid w:val="004470CE"/>
    <w:rsid w:val="004476C3"/>
    <w:rsid w:val="004500CC"/>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02E"/>
    <w:rsid w:val="00452755"/>
    <w:rsid w:val="00452A0A"/>
    <w:rsid w:val="00452B48"/>
    <w:rsid w:val="00452B64"/>
    <w:rsid w:val="00452EB4"/>
    <w:rsid w:val="00452ECF"/>
    <w:rsid w:val="00452F46"/>
    <w:rsid w:val="00452FD7"/>
    <w:rsid w:val="00453B5B"/>
    <w:rsid w:val="00453C6F"/>
    <w:rsid w:val="0045400C"/>
    <w:rsid w:val="00454442"/>
    <w:rsid w:val="004544DA"/>
    <w:rsid w:val="0045466B"/>
    <w:rsid w:val="004546AB"/>
    <w:rsid w:val="00455127"/>
    <w:rsid w:val="00455256"/>
    <w:rsid w:val="0045548A"/>
    <w:rsid w:val="004558FC"/>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CE8"/>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7EA"/>
    <w:rsid w:val="00466B30"/>
    <w:rsid w:val="00466DA6"/>
    <w:rsid w:val="00466E88"/>
    <w:rsid w:val="00466F77"/>
    <w:rsid w:val="0046703B"/>
    <w:rsid w:val="004676FF"/>
    <w:rsid w:val="00467B5D"/>
    <w:rsid w:val="00467D56"/>
    <w:rsid w:val="0047041E"/>
    <w:rsid w:val="004708B5"/>
    <w:rsid w:val="00471044"/>
    <w:rsid w:val="0047110B"/>
    <w:rsid w:val="0047192C"/>
    <w:rsid w:val="00471EAF"/>
    <w:rsid w:val="004720B0"/>
    <w:rsid w:val="0047217E"/>
    <w:rsid w:val="00472192"/>
    <w:rsid w:val="00472294"/>
    <w:rsid w:val="00472374"/>
    <w:rsid w:val="004726A6"/>
    <w:rsid w:val="004727A6"/>
    <w:rsid w:val="00472C8E"/>
    <w:rsid w:val="004730B6"/>
    <w:rsid w:val="00473210"/>
    <w:rsid w:val="0047333D"/>
    <w:rsid w:val="00473624"/>
    <w:rsid w:val="004738EA"/>
    <w:rsid w:val="00473CFC"/>
    <w:rsid w:val="00474031"/>
    <w:rsid w:val="0047429B"/>
    <w:rsid w:val="0047450B"/>
    <w:rsid w:val="004747BD"/>
    <w:rsid w:val="004749CE"/>
    <w:rsid w:val="00474B33"/>
    <w:rsid w:val="00474B4C"/>
    <w:rsid w:val="00474C30"/>
    <w:rsid w:val="00474D75"/>
    <w:rsid w:val="00474E89"/>
    <w:rsid w:val="00475139"/>
    <w:rsid w:val="004751CA"/>
    <w:rsid w:val="00475382"/>
    <w:rsid w:val="004756BB"/>
    <w:rsid w:val="00475935"/>
    <w:rsid w:val="00475AB1"/>
    <w:rsid w:val="00475B14"/>
    <w:rsid w:val="00475C66"/>
    <w:rsid w:val="00475C87"/>
    <w:rsid w:val="0047667D"/>
    <w:rsid w:val="00476E4D"/>
    <w:rsid w:val="004772AB"/>
    <w:rsid w:val="0047739F"/>
    <w:rsid w:val="004776E8"/>
    <w:rsid w:val="00477747"/>
    <w:rsid w:val="00477E57"/>
    <w:rsid w:val="00477FE3"/>
    <w:rsid w:val="00480208"/>
    <w:rsid w:val="00480223"/>
    <w:rsid w:val="00480867"/>
    <w:rsid w:val="00481794"/>
    <w:rsid w:val="00481BA3"/>
    <w:rsid w:val="00481E5F"/>
    <w:rsid w:val="004822A7"/>
    <w:rsid w:val="004822EB"/>
    <w:rsid w:val="0048239B"/>
    <w:rsid w:val="0048249D"/>
    <w:rsid w:val="00482834"/>
    <w:rsid w:val="004833F8"/>
    <w:rsid w:val="00483530"/>
    <w:rsid w:val="0048374D"/>
    <w:rsid w:val="00483758"/>
    <w:rsid w:val="004838CA"/>
    <w:rsid w:val="004838E4"/>
    <w:rsid w:val="0048432C"/>
    <w:rsid w:val="004843F9"/>
    <w:rsid w:val="00484611"/>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6DE"/>
    <w:rsid w:val="00492F01"/>
    <w:rsid w:val="00493172"/>
    <w:rsid w:val="004931F9"/>
    <w:rsid w:val="00493283"/>
    <w:rsid w:val="004934BC"/>
    <w:rsid w:val="004936CE"/>
    <w:rsid w:val="00493D37"/>
    <w:rsid w:val="00493E48"/>
    <w:rsid w:val="00494024"/>
    <w:rsid w:val="00494449"/>
    <w:rsid w:val="00494AFE"/>
    <w:rsid w:val="00495181"/>
    <w:rsid w:val="0049558A"/>
    <w:rsid w:val="00495834"/>
    <w:rsid w:val="00495B68"/>
    <w:rsid w:val="00495E00"/>
    <w:rsid w:val="00495E28"/>
    <w:rsid w:val="004960DF"/>
    <w:rsid w:val="00496263"/>
    <w:rsid w:val="0049677F"/>
    <w:rsid w:val="0049685F"/>
    <w:rsid w:val="004969B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00"/>
    <w:rsid w:val="004A2C55"/>
    <w:rsid w:val="004A2CA7"/>
    <w:rsid w:val="004A3078"/>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D62"/>
    <w:rsid w:val="004A5E7D"/>
    <w:rsid w:val="004A63A3"/>
    <w:rsid w:val="004A65C5"/>
    <w:rsid w:val="004A66BC"/>
    <w:rsid w:val="004A67C0"/>
    <w:rsid w:val="004A6827"/>
    <w:rsid w:val="004A6BFE"/>
    <w:rsid w:val="004A6E93"/>
    <w:rsid w:val="004A731D"/>
    <w:rsid w:val="004A7556"/>
    <w:rsid w:val="004A7573"/>
    <w:rsid w:val="004A75D1"/>
    <w:rsid w:val="004A7B15"/>
    <w:rsid w:val="004A7BED"/>
    <w:rsid w:val="004B059F"/>
    <w:rsid w:val="004B0B58"/>
    <w:rsid w:val="004B0BD8"/>
    <w:rsid w:val="004B0E6E"/>
    <w:rsid w:val="004B1019"/>
    <w:rsid w:val="004B1282"/>
    <w:rsid w:val="004B1566"/>
    <w:rsid w:val="004B1638"/>
    <w:rsid w:val="004B1698"/>
    <w:rsid w:val="004B18A2"/>
    <w:rsid w:val="004B19D0"/>
    <w:rsid w:val="004B1B5B"/>
    <w:rsid w:val="004B1CFF"/>
    <w:rsid w:val="004B1ECA"/>
    <w:rsid w:val="004B1F23"/>
    <w:rsid w:val="004B2396"/>
    <w:rsid w:val="004B24CB"/>
    <w:rsid w:val="004B2C8E"/>
    <w:rsid w:val="004B30CF"/>
    <w:rsid w:val="004B35F0"/>
    <w:rsid w:val="004B3729"/>
    <w:rsid w:val="004B3C43"/>
    <w:rsid w:val="004B3D3A"/>
    <w:rsid w:val="004B3DF8"/>
    <w:rsid w:val="004B3F31"/>
    <w:rsid w:val="004B42EB"/>
    <w:rsid w:val="004B44CB"/>
    <w:rsid w:val="004B45D5"/>
    <w:rsid w:val="004B4664"/>
    <w:rsid w:val="004B46D8"/>
    <w:rsid w:val="004B47DB"/>
    <w:rsid w:val="004B4803"/>
    <w:rsid w:val="004B484B"/>
    <w:rsid w:val="004B4ABF"/>
    <w:rsid w:val="004B4BD8"/>
    <w:rsid w:val="004B4C91"/>
    <w:rsid w:val="004B4CF8"/>
    <w:rsid w:val="004B4E46"/>
    <w:rsid w:val="004B591D"/>
    <w:rsid w:val="004B6A3A"/>
    <w:rsid w:val="004B6B1F"/>
    <w:rsid w:val="004B6CF0"/>
    <w:rsid w:val="004B6D92"/>
    <w:rsid w:val="004B7280"/>
    <w:rsid w:val="004B7FBD"/>
    <w:rsid w:val="004C0208"/>
    <w:rsid w:val="004C04D9"/>
    <w:rsid w:val="004C05AD"/>
    <w:rsid w:val="004C0850"/>
    <w:rsid w:val="004C0857"/>
    <w:rsid w:val="004C09F5"/>
    <w:rsid w:val="004C0B84"/>
    <w:rsid w:val="004C0F00"/>
    <w:rsid w:val="004C11C8"/>
    <w:rsid w:val="004C147B"/>
    <w:rsid w:val="004C19DB"/>
    <w:rsid w:val="004C1AB2"/>
    <w:rsid w:val="004C1F0F"/>
    <w:rsid w:val="004C1F52"/>
    <w:rsid w:val="004C1F63"/>
    <w:rsid w:val="004C20B5"/>
    <w:rsid w:val="004C236D"/>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51F"/>
    <w:rsid w:val="004C5C3B"/>
    <w:rsid w:val="004C5C6B"/>
    <w:rsid w:val="004C5D0F"/>
    <w:rsid w:val="004C5DDD"/>
    <w:rsid w:val="004C6114"/>
    <w:rsid w:val="004C6307"/>
    <w:rsid w:val="004C6643"/>
    <w:rsid w:val="004C6949"/>
    <w:rsid w:val="004C69CF"/>
    <w:rsid w:val="004C69D4"/>
    <w:rsid w:val="004C726D"/>
    <w:rsid w:val="004C7495"/>
    <w:rsid w:val="004C75F6"/>
    <w:rsid w:val="004C7F38"/>
    <w:rsid w:val="004D0024"/>
    <w:rsid w:val="004D0614"/>
    <w:rsid w:val="004D09FD"/>
    <w:rsid w:val="004D0B96"/>
    <w:rsid w:val="004D104F"/>
    <w:rsid w:val="004D10BA"/>
    <w:rsid w:val="004D13B9"/>
    <w:rsid w:val="004D16CD"/>
    <w:rsid w:val="004D16F6"/>
    <w:rsid w:val="004D1B47"/>
    <w:rsid w:val="004D1BE3"/>
    <w:rsid w:val="004D1D23"/>
    <w:rsid w:val="004D1F83"/>
    <w:rsid w:val="004D2158"/>
    <w:rsid w:val="004D21A7"/>
    <w:rsid w:val="004D2237"/>
    <w:rsid w:val="004D255A"/>
    <w:rsid w:val="004D261C"/>
    <w:rsid w:val="004D26DB"/>
    <w:rsid w:val="004D3381"/>
    <w:rsid w:val="004D36FF"/>
    <w:rsid w:val="004D381E"/>
    <w:rsid w:val="004D3FD8"/>
    <w:rsid w:val="004D40C2"/>
    <w:rsid w:val="004D40E1"/>
    <w:rsid w:val="004D4540"/>
    <w:rsid w:val="004D4BF9"/>
    <w:rsid w:val="004D4CE3"/>
    <w:rsid w:val="004D4D77"/>
    <w:rsid w:val="004D52DC"/>
    <w:rsid w:val="004D55CE"/>
    <w:rsid w:val="004D584B"/>
    <w:rsid w:val="004D59C6"/>
    <w:rsid w:val="004D5A68"/>
    <w:rsid w:val="004D5AE9"/>
    <w:rsid w:val="004D5C91"/>
    <w:rsid w:val="004D5F68"/>
    <w:rsid w:val="004D601D"/>
    <w:rsid w:val="004D61ED"/>
    <w:rsid w:val="004D6253"/>
    <w:rsid w:val="004D6533"/>
    <w:rsid w:val="004D655E"/>
    <w:rsid w:val="004D67E4"/>
    <w:rsid w:val="004D6920"/>
    <w:rsid w:val="004D6B48"/>
    <w:rsid w:val="004D6C5B"/>
    <w:rsid w:val="004D6D47"/>
    <w:rsid w:val="004D6E2E"/>
    <w:rsid w:val="004D75A0"/>
    <w:rsid w:val="004D7871"/>
    <w:rsid w:val="004D7ABB"/>
    <w:rsid w:val="004D7FF8"/>
    <w:rsid w:val="004E000C"/>
    <w:rsid w:val="004E05EF"/>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412"/>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7BC"/>
    <w:rsid w:val="004E6BE6"/>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470"/>
    <w:rsid w:val="004F2136"/>
    <w:rsid w:val="004F2188"/>
    <w:rsid w:val="004F260D"/>
    <w:rsid w:val="004F2989"/>
    <w:rsid w:val="004F2EE2"/>
    <w:rsid w:val="004F2F41"/>
    <w:rsid w:val="004F30C8"/>
    <w:rsid w:val="004F3164"/>
    <w:rsid w:val="004F32DA"/>
    <w:rsid w:val="004F3359"/>
    <w:rsid w:val="004F337A"/>
    <w:rsid w:val="004F38F7"/>
    <w:rsid w:val="004F3DC4"/>
    <w:rsid w:val="004F405D"/>
    <w:rsid w:val="004F41B1"/>
    <w:rsid w:val="004F42CB"/>
    <w:rsid w:val="004F42E9"/>
    <w:rsid w:val="004F4518"/>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7034"/>
    <w:rsid w:val="004F7718"/>
    <w:rsid w:val="004F77D4"/>
    <w:rsid w:val="004F784C"/>
    <w:rsid w:val="004F78D8"/>
    <w:rsid w:val="004F7901"/>
    <w:rsid w:val="0050002D"/>
    <w:rsid w:val="00500220"/>
    <w:rsid w:val="0050036A"/>
    <w:rsid w:val="00500789"/>
    <w:rsid w:val="00500BCF"/>
    <w:rsid w:val="0050170E"/>
    <w:rsid w:val="00501A4C"/>
    <w:rsid w:val="00501FDE"/>
    <w:rsid w:val="005021F8"/>
    <w:rsid w:val="005022D9"/>
    <w:rsid w:val="00502416"/>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E6"/>
    <w:rsid w:val="005055C6"/>
    <w:rsid w:val="00505735"/>
    <w:rsid w:val="00505979"/>
    <w:rsid w:val="00505E15"/>
    <w:rsid w:val="00506131"/>
    <w:rsid w:val="005067BD"/>
    <w:rsid w:val="00506B18"/>
    <w:rsid w:val="00507450"/>
    <w:rsid w:val="00507559"/>
    <w:rsid w:val="00507644"/>
    <w:rsid w:val="00507BE6"/>
    <w:rsid w:val="00507DFB"/>
    <w:rsid w:val="0051006C"/>
    <w:rsid w:val="0051023B"/>
    <w:rsid w:val="00510368"/>
    <w:rsid w:val="00511241"/>
    <w:rsid w:val="005115FE"/>
    <w:rsid w:val="00511826"/>
    <w:rsid w:val="00512072"/>
    <w:rsid w:val="0051209F"/>
    <w:rsid w:val="005122D4"/>
    <w:rsid w:val="00512685"/>
    <w:rsid w:val="00512744"/>
    <w:rsid w:val="005129E1"/>
    <w:rsid w:val="00512EFF"/>
    <w:rsid w:val="0051370F"/>
    <w:rsid w:val="00513872"/>
    <w:rsid w:val="00513BC9"/>
    <w:rsid w:val="005141D3"/>
    <w:rsid w:val="005142BD"/>
    <w:rsid w:val="00515377"/>
    <w:rsid w:val="005153DF"/>
    <w:rsid w:val="00515426"/>
    <w:rsid w:val="00515452"/>
    <w:rsid w:val="0051573E"/>
    <w:rsid w:val="0051589A"/>
    <w:rsid w:val="005159F3"/>
    <w:rsid w:val="00515AEA"/>
    <w:rsid w:val="00515CE6"/>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5BD"/>
    <w:rsid w:val="005246E2"/>
    <w:rsid w:val="00524BC1"/>
    <w:rsid w:val="00524C31"/>
    <w:rsid w:val="00524C4E"/>
    <w:rsid w:val="00524C5F"/>
    <w:rsid w:val="00524CB7"/>
    <w:rsid w:val="00524EE7"/>
    <w:rsid w:val="005254F1"/>
    <w:rsid w:val="00525612"/>
    <w:rsid w:val="005256FB"/>
    <w:rsid w:val="00525A58"/>
    <w:rsid w:val="00525A7F"/>
    <w:rsid w:val="00525ABA"/>
    <w:rsid w:val="00525AEC"/>
    <w:rsid w:val="00526D0E"/>
    <w:rsid w:val="00526E3D"/>
    <w:rsid w:val="00526E94"/>
    <w:rsid w:val="005278A1"/>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F"/>
    <w:rsid w:val="005336A8"/>
    <w:rsid w:val="0053393A"/>
    <w:rsid w:val="00533BF8"/>
    <w:rsid w:val="00533EA7"/>
    <w:rsid w:val="00534261"/>
    <w:rsid w:val="00534404"/>
    <w:rsid w:val="0053528F"/>
    <w:rsid w:val="00535690"/>
    <w:rsid w:val="00535994"/>
    <w:rsid w:val="00535F02"/>
    <w:rsid w:val="00535FF6"/>
    <w:rsid w:val="00536007"/>
    <w:rsid w:val="00536315"/>
    <w:rsid w:val="00536362"/>
    <w:rsid w:val="005363C4"/>
    <w:rsid w:val="00536B42"/>
    <w:rsid w:val="00537138"/>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333"/>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C23"/>
    <w:rsid w:val="00547E52"/>
    <w:rsid w:val="00550191"/>
    <w:rsid w:val="00550495"/>
    <w:rsid w:val="005507D2"/>
    <w:rsid w:val="005507F2"/>
    <w:rsid w:val="00550B4C"/>
    <w:rsid w:val="00550D5E"/>
    <w:rsid w:val="00550D87"/>
    <w:rsid w:val="00550FDD"/>
    <w:rsid w:val="005512C8"/>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56DB"/>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26F"/>
    <w:rsid w:val="005623D7"/>
    <w:rsid w:val="005627B1"/>
    <w:rsid w:val="00562862"/>
    <w:rsid w:val="00562922"/>
    <w:rsid w:val="005629E7"/>
    <w:rsid w:val="00562A24"/>
    <w:rsid w:val="00562C1B"/>
    <w:rsid w:val="00562C7E"/>
    <w:rsid w:val="00562E1D"/>
    <w:rsid w:val="00562FD5"/>
    <w:rsid w:val="00563059"/>
    <w:rsid w:val="005631AA"/>
    <w:rsid w:val="00563548"/>
    <w:rsid w:val="00563685"/>
    <w:rsid w:val="005636C8"/>
    <w:rsid w:val="00563752"/>
    <w:rsid w:val="00563B99"/>
    <w:rsid w:val="00563D2A"/>
    <w:rsid w:val="00563EE6"/>
    <w:rsid w:val="00564199"/>
    <w:rsid w:val="005641EF"/>
    <w:rsid w:val="005642A8"/>
    <w:rsid w:val="005642B4"/>
    <w:rsid w:val="00564918"/>
    <w:rsid w:val="00564F4B"/>
    <w:rsid w:val="00564FFD"/>
    <w:rsid w:val="005653B4"/>
    <w:rsid w:val="005653EE"/>
    <w:rsid w:val="0056555C"/>
    <w:rsid w:val="00565A76"/>
    <w:rsid w:val="00565C83"/>
    <w:rsid w:val="0056607E"/>
    <w:rsid w:val="0056637D"/>
    <w:rsid w:val="00566518"/>
    <w:rsid w:val="00566A26"/>
    <w:rsid w:val="00566AF5"/>
    <w:rsid w:val="00566B1D"/>
    <w:rsid w:val="005670E7"/>
    <w:rsid w:val="005671F2"/>
    <w:rsid w:val="005676FD"/>
    <w:rsid w:val="0056780E"/>
    <w:rsid w:val="00567B0D"/>
    <w:rsid w:val="00567FA2"/>
    <w:rsid w:val="0057037C"/>
    <w:rsid w:val="00570BD8"/>
    <w:rsid w:val="00570F43"/>
    <w:rsid w:val="00570FA1"/>
    <w:rsid w:val="00571100"/>
    <w:rsid w:val="00571AE6"/>
    <w:rsid w:val="00571E22"/>
    <w:rsid w:val="00571FBA"/>
    <w:rsid w:val="005720BF"/>
    <w:rsid w:val="0057240D"/>
    <w:rsid w:val="005726BC"/>
    <w:rsid w:val="00572729"/>
    <w:rsid w:val="00572A93"/>
    <w:rsid w:val="0057323E"/>
    <w:rsid w:val="00573521"/>
    <w:rsid w:val="0057385B"/>
    <w:rsid w:val="005739B2"/>
    <w:rsid w:val="00573B47"/>
    <w:rsid w:val="00573C5F"/>
    <w:rsid w:val="00573E58"/>
    <w:rsid w:val="0057428B"/>
    <w:rsid w:val="00574629"/>
    <w:rsid w:val="0057463A"/>
    <w:rsid w:val="005748E7"/>
    <w:rsid w:val="0057514C"/>
    <w:rsid w:val="00575646"/>
    <w:rsid w:val="005757AF"/>
    <w:rsid w:val="00575876"/>
    <w:rsid w:val="00575A0C"/>
    <w:rsid w:val="0057630C"/>
    <w:rsid w:val="00576807"/>
    <w:rsid w:val="005769A0"/>
    <w:rsid w:val="00576E6C"/>
    <w:rsid w:val="00576F19"/>
    <w:rsid w:val="0057704B"/>
    <w:rsid w:val="005772EE"/>
    <w:rsid w:val="0057734E"/>
    <w:rsid w:val="0057744D"/>
    <w:rsid w:val="005778ED"/>
    <w:rsid w:val="00577A6C"/>
    <w:rsid w:val="00577FF2"/>
    <w:rsid w:val="0058029E"/>
    <w:rsid w:val="0058038D"/>
    <w:rsid w:val="005804F5"/>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4ED6"/>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609"/>
    <w:rsid w:val="00587614"/>
    <w:rsid w:val="0058770B"/>
    <w:rsid w:val="0058771A"/>
    <w:rsid w:val="00587782"/>
    <w:rsid w:val="00587864"/>
    <w:rsid w:val="0058799B"/>
    <w:rsid w:val="00587A74"/>
    <w:rsid w:val="00587BC4"/>
    <w:rsid w:val="00587BDA"/>
    <w:rsid w:val="0059026E"/>
    <w:rsid w:val="0059053B"/>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4C50"/>
    <w:rsid w:val="00595004"/>
    <w:rsid w:val="00595234"/>
    <w:rsid w:val="00595A3A"/>
    <w:rsid w:val="00595C0F"/>
    <w:rsid w:val="00595DA3"/>
    <w:rsid w:val="00595E52"/>
    <w:rsid w:val="00595EF1"/>
    <w:rsid w:val="00596021"/>
    <w:rsid w:val="005960CB"/>
    <w:rsid w:val="005962BE"/>
    <w:rsid w:val="00596419"/>
    <w:rsid w:val="00596435"/>
    <w:rsid w:val="00596609"/>
    <w:rsid w:val="0059692C"/>
    <w:rsid w:val="00596D74"/>
    <w:rsid w:val="005973A7"/>
    <w:rsid w:val="00597973"/>
    <w:rsid w:val="00597B4C"/>
    <w:rsid w:val="00597D48"/>
    <w:rsid w:val="005A007B"/>
    <w:rsid w:val="005A0617"/>
    <w:rsid w:val="005A06DD"/>
    <w:rsid w:val="005A07BE"/>
    <w:rsid w:val="005A08EF"/>
    <w:rsid w:val="005A19C2"/>
    <w:rsid w:val="005A22E4"/>
    <w:rsid w:val="005A2B01"/>
    <w:rsid w:val="005A2C42"/>
    <w:rsid w:val="005A2D39"/>
    <w:rsid w:val="005A2DF6"/>
    <w:rsid w:val="005A30B5"/>
    <w:rsid w:val="005A3306"/>
    <w:rsid w:val="005A3406"/>
    <w:rsid w:val="005A3754"/>
    <w:rsid w:val="005A3CB0"/>
    <w:rsid w:val="005A3CDA"/>
    <w:rsid w:val="005A4184"/>
    <w:rsid w:val="005A45CD"/>
    <w:rsid w:val="005A46B2"/>
    <w:rsid w:val="005A4780"/>
    <w:rsid w:val="005A4BCE"/>
    <w:rsid w:val="005A4D7F"/>
    <w:rsid w:val="005A5389"/>
    <w:rsid w:val="005A57C4"/>
    <w:rsid w:val="005A5856"/>
    <w:rsid w:val="005A585A"/>
    <w:rsid w:val="005A5A14"/>
    <w:rsid w:val="005A5AB2"/>
    <w:rsid w:val="005A5CA2"/>
    <w:rsid w:val="005A60EB"/>
    <w:rsid w:val="005A665B"/>
    <w:rsid w:val="005A6932"/>
    <w:rsid w:val="005A6946"/>
    <w:rsid w:val="005A6B7E"/>
    <w:rsid w:val="005A75B1"/>
    <w:rsid w:val="005B03CC"/>
    <w:rsid w:val="005B041F"/>
    <w:rsid w:val="005B121D"/>
    <w:rsid w:val="005B150C"/>
    <w:rsid w:val="005B176B"/>
    <w:rsid w:val="005B1AD7"/>
    <w:rsid w:val="005B1F03"/>
    <w:rsid w:val="005B2635"/>
    <w:rsid w:val="005B2E29"/>
    <w:rsid w:val="005B2E57"/>
    <w:rsid w:val="005B338D"/>
    <w:rsid w:val="005B39DF"/>
    <w:rsid w:val="005B3A1E"/>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DA3"/>
    <w:rsid w:val="005B6DD9"/>
    <w:rsid w:val="005B6DEC"/>
    <w:rsid w:val="005B6E88"/>
    <w:rsid w:val="005B707D"/>
    <w:rsid w:val="005B7166"/>
    <w:rsid w:val="005B7363"/>
    <w:rsid w:val="005B7442"/>
    <w:rsid w:val="005B74FD"/>
    <w:rsid w:val="005B76CF"/>
    <w:rsid w:val="005B7F43"/>
    <w:rsid w:val="005C0298"/>
    <w:rsid w:val="005C033A"/>
    <w:rsid w:val="005C0682"/>
    <w:rsid w:val="005C0A6C"/>
    <w:rsid w:val="005C0E12"/>
    <w:rsid w:val="005C1159"/>
    <w:rsid w:val="005C1430"/>
    <w:rsid w:val="005C254C"/>
    <w:rsid w:val="005C25AC"/>
    <w:rsid w:val="005C2B04"/>
    <w:rsid w:val="005C2B5F"/>
    <w:rsid w:val="005C2C57"/>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452"/>
    <w:rsid w:val="005C5E9F"/>
    <w:rsid w:val="005C6566"/>
    <w:rsid w:val="005C65CE"/>
    <w:rsid w:val="005C6ED4"/>
    <w:rsid w:val="005C6F0E"/>
    <w:rsid w:val="005C70E7"/>
    <w:rsid w:val="005C7548"/>
    <w:rsid w:val="005C7718"/>
    <w:rsid w:val="005C77AD"/>
    <w:rsid w:val="005C78B7"/>
    <w:rsid w:val="005C79A0"/>
    <w:rsid w:val="005C7ED3"/>
    <w:rsid w:val="005D0233"/>
    <w:rsid w:val="005D02DD"/>
    <w:rsid w:val="005D074E"/>
    <w:rsid w:val="005D0DFF"/>
    <w:rsid w:val="005D1436"/>
    <w:rsid w:val="005D149D"/>
    <w:rsid w:val="005D174B"/>
    <w:rsid w:val="005D19FA"/>
    <w:rsid w:val="005D1BB0"/>
    <w:rsid w:val="005D200F"/>
    <w:rsid w:val="005D2131"/>
    <w:rsid w:val="005D23CC"/>
    <w:rsid w:val="005D24D7"/>
    <w:rsid w:val="005D27D1"/>
    <w:rsid w:val="005D2B6F"/>
    <w:rsid w:val="005D2BB5"/>
    <w:rsid w:val="005D35AD"/>
    <w:rsid w:val="005D3A7E"/>
    <w:rsid w:val="005D3CDD"/>
    <w:rsid w:val="005D4126"/>
    <w:rsid w:val="005D44EE"/>
    <w:rsid w:val="005D4A61"/>
    <w:rsid w:val="005D5048"/>
    <w:rsid w:val="005D5790"/>
    <w:rsid w:val="005D5C1C"/>
    <w:rsid w:val="005D5CF2"/>
    <w:rsid w:val="005D5ED1"/>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433"/>
    <w:rsid w:val="005E1786"/>
    <w:rsid w:val="005E1A91"/>
    <w:rsid w:val="005E1BD4"/>
    <w:rsid w:val="005E2150"/>
    <w:rsid w:val="005E262D"/>
    <w:rsid w:val="005E274B"/>
    <w:rsid w:val="005E2F8E"/>
    <w:rsid w:val="005E33F6"/>
    <w:rsid w:val="005E35B3"/>
    <w:rsid w:val="005E368E"/>
    <w:rsid w:val="005E3825"/>
    <w:rsid w:val="005E38E7"/>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460"/>
    <w:rsid w:val="005E793C"/>
    <w:rsid w:val="005E7AE0"/>
    <w:rsid w:val="005E7CB2"/>
    <w:rsid w:val="005F04F9"/>
    <w:rsid w:val="005F0558"/>
    <w:rsid w:val="005F0B7D"/>
    <w:rsid w:val="005F0FB1"/>
    <w:rsid w:val="005F114E"/>
    <w:rsid w:val="005F13AB"/>
    <w:rsid w:val="005F1B50"/>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2B2"/>
    <w:rsid w:val="005F52E4"/>
    <w:rsid w:val="005F52E6"/>
    <w:rsid w:val="005F536D"/>
    <w:rsid w:val="005F5467"/>
    <w:rsid w:val="005F54A6"/>
    <w:rsid w:val="005F55E6"/>
    <w:rsid w:val="005F57E1"/>
    <w:rsid w:val="005F5E57"/>
    <w:rsid w:val="005F5EDF"/>
    <w:rsid w:val="005F60A7"/>
    <w:rsid w:val="005F6183"/>
    <w:rsid w:val="005F622A"/>
    <w:rsid w:val="005F7039"/>
    <w:rsid w:val="005F783A"/>
    <w:rsid w:val="005F7A6E"/>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4CE"/>
    <w:rsid w:val="006029E9"/>
    <w:rsid w:val="00602BF5"/>
    <w:rsid w:val="00602D22"/>
    <w:rsid w:val="00602D7D"/>
    <w:rsid w:val="00602EDE"/>
    <w:rsid w:val="006038F5"/>
    <w:rsid w:val="00603A0F"/>
    <w:rsid w:val="00603C76"/>
    <w:rsid w:val="00603DBA"/>
    <w:rsid w:val="00603DCC"/>
    <w:rsid w:val="00603E5F"/>
    <w:rsid w:val="00603FE4"/>
    <w:rsid w:val="006044C2"/>
    <w:rsid w:val="006046D0"/>
    <w:rsid w:val="006047EC"/>
    <w:rsid w:val="0060492D"/>
    <w:rsid w:val="00605510"/>
    <w:rsid w:val="006055BD"/>
    <w:rsid w:val="006055D6"/>
    <w:rsid w:val="00605C47"/>
    <w:rsid w:val="00605CBD"/>
    <w:rsid w:val="00606157"/>
    <w:rsid w:val="006061F9"/>
    <w:rsid w:val="00606223"/>
    <w:rsid w:val="00606888"/>
    <w:rsid w:val="006069D1"/>
    <w:rsid w:val="00606E67"/>
    <w:rsid w:val="00607334"/>
    <w:rsid w:val="006076EF"/>
    <w:rsid w:val="0060772A"/>
    <w:rsid w:val="006078FA"/>
    <w:rsid w:val="00607B15"/>
    <w:rsid w:val="00607C8B"/>
    <w:rsid w:val="0061069E"/>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94"/>
    <w:rsid w:val="006132AD"/>
    <w:rsid w:val="006132B6"/>
    <w:rsid w:val="00613838"/>
    <w:rsid w:val="00613970"/>
    <w:rsid w:val="00613CB4"/>
    <w:rsid w:val="00613E94"/>
    <w:rsid w:val="00613ECA"/>
    <w:rsid w:val="00614245"/>
    <w:rsid w:val="00615141"/>
    <w:rsid w:val="00615609"/>
    <w:rsid w:val="00615727"/>
    <w:rsid w:val="00615882"/>
    <w:rsid w:val="006159A2"/>
    <w:rsid w:val="006159EC"/>
    <w:rsid w:val="00615C61"/>
    <w:rsid w:val="00616150"/>
    <w:rsid w:val="0061679B"/>
    <w:rsid w:val="00616875"/>
    <w:rsid w:val="00616975"/>
    <w:rsid w:val="0061747B"/>
    <w:rsid w:val="006176E8"/>
    <w:rsid w:val="00620068"/>
    <w:rsid w:val="00620121"/>
    <w:rsid w:val="0062015C"/>
    <w:rsid w:val="006201C8"/>
    <w:rsid w:val="00620473"/>
    <w:rsid w:val="00620541"/>
    <w:rsid w:val="00620573"/>
    <w:rsid w:val="006207D7"/>
    <w:rsid w:val="006208F8"/>
    <w:rsid w:val="00620CBA"/>
    <w:rsid w:val="00620DFC"/>
    <w:rsid w:val="006214E8"/>
    <w:rsid w:val="006216E9"/>
    <w:rsid w:val="006218AB"/>
    <w:rsid w:val="006218C5"/>
    <w:rsid w:val="0062248D"/>
    <w:rsid w:val="00622978"/>
    <w:rsid w:val="00622CE0"/>
    <w:rsid w:val="00622D72"/>
    <w:rsid w:val="00622E40"/>
    <w:rsid w:val="00623146"/>
    <w:rsid w:val="0062350A"/>
    <w:rsid w:val="006239B2"/>
    <w:rsid w:val="006239C6"/>
    <w:rsid w:val="00623C25"/>
    <w:rsid w:val="006240C0"/>
    <w:rsid w:val="00624A28"/>
    <w:rsid w:val="00624B0A"/>
    <w:rsid w:val="00624B65"/>
    <w:rsid w:val="00624D26"/>
    <w:rsid w:val="00624F98"/>
    <w:rsid w:val="006251CC"/>
    <w:rsid w:val="00625367"/>
    <w:rsid w:val="0062554B"/>
    <w:rsid w:val="00625D70"/>
    <w:rsid w:val="00625E39"/>
    <w:rsid w:val="00625F92"/>
    <w:rsid w:val="00626082"/>
    <w:rsid w:val="00626408"/>
    <w:rsid w:val="00626598"/>
    <w:rsid w:val="00626B64"/>
    <w:rsid w:val="00626D42"/>
    <w:rsid w:val="00626E22"/>
    <w:rsid w:val="00626E78"/>
    <w:rsid w:val="006277F0"/>
    <w:rsid w:val="0062788E"/>
    <w:rsid w:val="00627A8A"/>
    <w:rsid w:val="00627ABA"/>
    <w:rsid w:val="00627E1A"/>
    <w:rsid w:val="00630263"/>
    <w:rsid w:val="006304D5"/>
    <w:rsid w:val="006309DC"/>
    <w:rsid w:val="00630D87"/>
    <w:rsid w:val="00631301"/>
    <w:rsid w:val="006313F5"/>
    <w:rsid w:val="00631A22"/>
    <w:rsid w:val="00632098"/>
    <w:rsid w:val="0063234C"/>
    <w:rsid w:val="00632508"/>
    <w:rsid w:val="006326B6"/>
    <w:rsid w:val="00632A7C"/>
    <w:rsid w:val="00632F2C"/>
    <w:rsid w:val="006334D3"/>
    <w:rsid w:val="006337CF"/>
    <w:rsid w:val="00633C50"/>
    <w:rsid w:val="00633DCA"/>
    <w:rsid w:val="00633EBC"/>
    <w:rsid w:val="00633F65"/>
    <w:rsid w:val="00634056"/>
    <w:rsid w:val="00634076"/>
    <w:rsid w:val="0063407D"/>
    <w:rsid w:val="0063466E"/>
    <w:rsid w:val="00634934"/>
    <w:rsid w:val="00634996"/>
    <w:rsid w:val="00634C71"/>
    <w:rsid w:val="00634E1A"/>
    <w:rsid w:val="006350DD"/>
    <w:rsid w:val="006351FE"/>
    <w:rsid w:val="006359A0"/>
    <w:rsid w:val="00636860"/>
    <w:rsid w:val="006374D2"/>
    <w:rsid w:val="00637509"/>
    <w:rsid w:val="006377DF"/>
    <w:rsid w:val="00637B7D"/>
    <w:rsid w:val="00637C08"/>
    <w:rsid w:val="006401DE"/>
    <w:rsid w:val="006402C7"/>
    <w:rsid w:val="00640336"/>
    <w:rsid w:val="006404D3"/>
    <w:rsid w:val="006406C5"/>
    <w:rsid w:val="006407D9"/>
    <w:rsid w:val="006409BE"/>
    <w:rsid w:val="00640C41"/>
    <w:rsid w:val="00640DF6"/>
    <w:rsid w:val="006410E4"/>
    <w:rsid w:val="0064117F"/>
    <w:rsid w:val="00641630"/>
    <w:rsid w:val="006416A5"/>
    <w:rsid w:val="00641AF0"/>
    <w:rsid w:val="00641B27"/>
    <w:rsid w:val="00641BE6"/>
    <w:rsid w:val="00641DB7"/>
    <w:rsid w:val="0064262F"/>
    <w:rsid w:val="00642693"/>
    <w:rsid w:val="00642D37"/>
    <w:rsid w:val="00642F62"/>
    <w:rsid w:val="00643006"/>
    <w:rsid w:val="006431DA"/>
    <w:rsid w:val="006431DB"/>
    <w:rsid w:val="00643A18"/>
    <w:rsid w:val="00643BE2"/>
    <w:rsid w:val="00643C26"/>
    <w:rsid w:val="00643D49"/>
    <w:rsid w:val="00644198"/>
    <w:rsid w:val="00644868"/>
    <w:rsid w:val="00644C14"/>
    <w:rsid w:val="00644C9F"/>
    <w:rsid w:val="00645006"/>
    <w:rsid w:val="006450CC"/>
    <w:rsid w:val="006452DD"/>
    <w:rsid w:val="00645472"/>
    <w:rsid w:val="0064556B"/>
    <w:rsid w:val="00645804"/>
    <w:rsid w:val="006459E2"/>
    <w:rsid w:val="00645B63"/>
    <w:rsid w:val="00645CD9"/>
    <w:rsid w:val="00645D7E"/>
    <w:rsid w:val="00646434"/>
    <w:rsid w:val="00646643"/>
    <w:rsid w:val="00646D13"/>
    <w:rsid w:val="00646FE1"/>
    <w:rsid w:val="006478C2"/>
    <w:rsid w:val="0064799B"/>
    <w:rsid w:val="006479BB"/>
    <w:rsid w:val="00647BC9"/>
    <w:rsid w:val="00647D67"/>
    <w:rsid w:val="006502E3"/>
    <w:rsid w:val="00650C4A"/>
    <w:rsid w:val="00650E53"/>
    <w:rsid w:val="00650ED6"/>
    <w:rsid w:val="00650FA0"/>
    <w:rsid w:val="0065101E"/>
    <w:rsid w:val="006512C1"/>
    <w:rsid w:val="0065142A"/>
    <w:rsid w:val="00651688"/>
    <w:rsid w:val="0065178C"/>
    <w:rsid w:val="00651AEA"/>
    <w:rsid w:val="00651B15"/>
    <w:rsid w:val="00651E1B"/>
    <w:rsid w:val="00651EB7"/>
    <w:rsid w:val="00652356"/>
    <w:rsid w:val="00652394"/>
    <w:rsid w:val="006527C9"/>
    <w:rsid w:val="00652FAF"/>
    <w:rsid w:val="006536FA"/>
    <w:rsid w:val="00653738"/>
    <w:rsid w:val="0065453B"/>
    <w:rsid w:val="00654578"/>
    <w:rsid w:val="00654BAE"/>
    <w:rsid w:val="00654BDE"/>
    <w:rsid w:val="00654EF6"/>
    <w:rsid w:val="00655631"/>
    <w:rsid w:val="00655BC0"/>
    <w:rsid w:val="00655C6D"/>
    <w:rsid w:val="00655CCC"/>
    <w:rsid w:val="0065622D"/>
    <w:rsid w:val="006562D0"/>
    <w:rsid w:val="006563F3"/>
    <w:rsid w:val="006566AA"/>
    <w:rsid w:val="00656E27"/>
    <w:rsid w:val="00656F28"/>
    <w:rsid w:val="00657032"/>
    <w:rsid w:val="006574FB"/>
    <w:rsid w:val="0065763A"/>
    <w:rsid w:val="00657BFA"/>
    <w:rsid w:val="00657E5C"/>
    <w:rsid w:val="0066038B"/>
    <w:rsid w:val="00660A03"/>
    <w:rsid w:val="00660BFA"/>
    <w:rsid w:val="00660BFE"/>
    <w:rsid w:val="00661066"/>
    <w:rsid w:val="00661281"/>
    <w:rsid w:val="00661608"/>
    <w:rsid w:val="00661913"/>
    <w:rsid w:val="00662113"/>
    <w:rsid w:val="006622BB"/>
    <w:rsid w:val="006623CC"/>
    <w:rsid w:val="00662419"/>
    <w:rsid w:val="00662949"/>
    <w:rsid w:val="00663132"/>
    <w:rsid w:val="0066355E"/>
    <w:rsid w:val="00663580"/>
    <w:rsid w:val="00663607"/>
    <w:rsid w:val="00663DFF"/>
    <w:rsid w:val="00663E55"/>
    <w:rsid w:val="00663E99"/>
    <w:rsid w:val="00664232"/>
    <w:rsid w:val="0066425A"/>
    <w:rsid w:val="00664277"/>
    <w:rsid w:val="00664371"/>
    <w:rsid w:val="006644BB"/>
    <w:rsid w:val="0066452B"/>
    <w:rsid w:val="00664A3B"/>
    <w:rsid w:val="00664AA1"/>
    <w:rsid w:val="00664FE6"/>
    <w:rsid w:val="00665106"/>
    <w:rsid w:val="0066581A"/>
    <w:rsid w:val="006659AB"/>
    <w:rsid w:val="006659D5"/>
    <w:rsid w:val="00665AF6"/>
    <w:rsid w:val="00665B52"/>
    <w:rsid w:val="00665B80"/>
    <w:rsid w:val="00665CD1"/>
    <w:rsid w:val="00665D69"/>
    <w:rsid w:val="00665E22"/>
    <w:rsid w:val="00665E72"/>
    <w:rsid w:val="00665F6B"/>
    <w:rsid w:val="00665F92"/>
    <w:rsid w:val="006663F2"/>
    <w:rsid w:val="00666551"/>
    <w:rsid w:val="006665ED"/>
    <w:rsid w:val="00666676"/>
    <w:rsid w:val="0066673C"/>
    <w:rsid w:val="00666CA7"/>
    <w:rsid w:val="00666D8E"/>
    <w:rsid w:val="00667285"/>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2456"/>
    <w:rsid w:val="006730F1"/>
    <w:rsid w:val="00673232"/>
    <w:rsid w:val="00673763"/>
    <w:rsid w:val="006738EC"/>
    <w:rsid w:val="00673905"/>
    <w:rsid w:val="00673B25"/>
    <w:rsid w:val="00673C8D"/>
    <w:rsid w:val="00674223"/>
    <w:rsid w:val="00674ADA"/>
    <w:rsid w:val="006750FE"/>
    <w:rsid w:val="0067525C"/>
    <w:rsid w:val="00675504"/>
    <w:rsid w:val="0067554D"/>
    <w:rsid w:val="00675A2C"/>
    <w:rsid w:val="00676031"/>
    <w:rsid w:val="006760BC"/>
    <w:rsid w:val="006765D1"/>
    <w:rsid w:val="006766BB"/>
    <w:rsid w:val="006767A3"/>
    <w:rsid w:val="00676984"/>
    <w:rsid w:val="0067704A"/>
    <w:rsid w:val="006772D2"/>
    <w:rsid w:val="006773DB"/>
    <w:rsid w:val="0067754A"/>
    <w:rsid w:val="00677A30"/>
    <w:rsid w:val="00677C47"/>
    <w:rsid w:val="00677D1E"/>
    <w:rsid w:val="006800A3"/>
    <w:rsid w:val="0068048C"/>
    <w:rsid w:val="006806EE"/>
    <w:rsid w:val="0068092A"/>
    <w:rsid w:val="00680C0C"/>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4CBE"/>
    <w:rsid w:val="00684E67"/>
    <w:rsid w:val="0068547B"/>
    <w:rsid w:val="006854AB"/>
    <w:rsid w:val="006856C9"/>
    <w:rsid w:val="00685A70"/>
    <w:rsid w:val="00685D68"/>
    <w:rsid w:val="006863FB"/>
    <w:rsid w:val="00686930"/>
    <w:rsid w:val="00686CD2"/>
    <w:rsid w:val="00686EAE"/>
    <w:rsid w:val="006871EE"/>
    <w:rsid w:val="00687528"/>
    <w:rsid w:val="0068782D"/>
    <w:rsid w:val="00687A7F"/>
    <w:rsid w:val="00687AE3"/>
    <w:rsid w:val="00687CC2"/>
    <w:rsid w:val="00687E95"/>
    <w:rsid w:val="00687EF6"/>
    <w:rsid w:val="00690729"/>
    <w:rsid w:val="00690F66"/>
    <w:rsid w:val="006910DB"/>
    <w:rsid w:val="0069122A"/>
    <w:rsid w:val="00691380"/>
    <w:rsid w:val="006914A3"/>
    <w:rsid w:val="00691BDB"/>
    <w:rsid w:val="00691CD3"/>
    <w:rsid w:val="00691E79"/>
    <w:rsid w:val="00691E7A"/>
    <w:rsid w:val="00692111"/>
    <w:rsid w:val="006925AE"/>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99C"/>
    <w:rsid w:val="006969DB"/>
    <w:rsid w:val="00696A4A"/>
    <w:rsid w:val="00697554"/>
    <w:rsid w:val="006975AC"/>
    <w:rsid w:val="00697873"/>
    <w:rsid w:val="00697976"/>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31B"/>
    <w:rsid w:val="006A39F2"/>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456"/>
    <w:rsid w:val="006A6605"/>
    <w:rsid w:val="006A66BD"/>
    <w:rsid w:val="006A6962"/>
    <w:rsid w:val="006A6B50"/>
    <w:rsid w:val="006A6D1E"/>
    <w:rsid w:val="006A704C"/>
    <w:rsid w:val="006A7132"/>
    <w:rsid w:val="006A7648"/>
    <w:rsid w:val="006A7800"/>
    <w:rsid w:val="006A789B"/>
    <w:rsid w:val="006A78D9"/>
    <w:rsid w:val="006A7FFA"/>
    <w:rsid w:val="006B00AC"/>
    <w:rsid w:val="006B00D5"/>
    <w:rsid w:val="006B0358"/>
    <w:rsid w:val="006B0F30"/>
    <w:rsid w:val="006B11B6"/>
    <w:rsid w:val="006B1392"/>
    <w:rsid w:val="006B1708"/>
    <w:rsid w:val="006B1855"/>
    <w:rsid w:val="006B231E"/>
    <w:rsid w:val="006B2877"/>
    <w:rsid w:val="006B2893"/>
    <w:rsid w:val="006B289A"/>
    <w:rsid w:val="006B344B"/>
    <w:rsid w:val="006B3552"/>
    <w:rsid w:val="006B38FD"/>
    <w:rsid w:val="006B3CDF"/>
    <w:rsid w:val="006B3E5B"/>
    <w:rsid w:val="006B4472"/>
    <w:rsid w:val="006B4510"/>
    <w:rsid w:val="006B456F"/>
    <w:rsid w:val="006B4605"/>
    <w:rsid w:val="006B48E0"/>
    <w:rsid w:val="006B499A"/>
    <w:rsid w:val="006B49F1"/>
    <w:rsid w:val="006B4C00"/>
    <w:rsid w:val="006B5413"/>
    <w:rsid w:val="006B5538"/>
    <w:rsid w:val="006B5769"/>
    <w:rsid w:val="006B58B6"/>
    <w:rsid w:val="006B591A"/>
    <w:rsid w:val="006B59A6"/>
    <w:rsid w:val="006B5F06"/>
    <w:rsid w:val="006B5F44"/>
    <w:rsid w:val="006B62F7"/>
    <w:rsid w:val="006B637A"/>
    <w:rsid w:val="006B639C"/>
    <w:rsid w:val="006B697E"/>
    <w:rsid w:val="006B6C73"/>
    <w:rsid w:val="006B7228"/>
    <w:rsid w:val="006B7331"/>
    <w:rsid w:val="006B7472"/>
    <w:rsid w:val="006B7491"/>
    <w:rsid w:val="006B7561"/>
    <w:rsid w:val="006B767B"/>
    <w:rsid w:val="006B783F"/>
    <w:rsid w:val="006B7896"/>
    <w:rsid w:val="006B7AA0"/>
    <w:rsid w:val="006B7DE3"/>
    <w:rsid w:val="006B7F16"/>
    <w:rsid w:val="006C00B8"/>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5F7"/>
    <w:rsid w:val="006C393A"/>
    <w:rsid w:val="006C3A62"/>
    <w:rsid w:val="006C4000"/>
    <w:rsid w:val="006C4C17"/>
    <w:rsid w:val="006C4CAF"/>
    <w:rsid w:val="006C51D4"/>
    <w:rsid w:val="006C5571"/>
    <w:rsid w:val="006C58E0"/>
    <w:rsid w:val="006C5904"/>
    <w:rsid w:val="006C5A3B"/>
    <w:rsid w:val="006C5CC4"/>
    <w:rsid w:val="006C628A"/>
    <w:rsid w:val="006C67A7"/>
    <w:rsid w:val="006C6904"/>
    <w:rsid w:val="006C6AED"/>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1C1E"/>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6F56"/>
    <w:rsid w:val="006D70DC"/>
    <w:rsid w:val="006D75DB"/>
    <w:rsid w:val="006D76E6"/>
    <w:rsid w:val="006D770C"/>
    <w:rsid w:val="006D7767"/>
    <w:rsid w:val="006D7819"/>
    <w:rsid w:val="006E00CA"/>
    <w:rsid w:val="006E0405"/>
    <w:rsid w:val="006E097F"/>
    <w:rsid w:val="006E0F8D"/>
    <w:rsid w:val="006E0FA1"/>
    <w:rsid w:val="006E159C"/>
    <w:rsid w:val="006E1782"/>
    <w:rsid w:val="006E1CC2"/>
    <w:rsid w:val="006E1FF5"/>
    <w:rsid w:val="006E2092"/>
    <w:rsid w:val="006E22DB"/>
    <w:rsid w:val="006E24C9"/>
    <w:rsid w:val="006E24E3"/>
    <w:rsid w:val="006E2992"/>
    <w:rsid w:val="006E2E17"/>
    <w:rsid w:val="006E2F1D"/>
    <w:rsid w:val="006E2F6C"/>
    <w:rsid w:val="006E301B"/>
    <w:rsid w:val="006E3113"/>
    <w:rsid w:val="006E38C9"/>
    <w:rsid w:val="006E3A3B"/>
    <w:rsid w:val="006E4116"/>
    <w:rsid w:val="006E4445"/>
    <w:rsid w:val="006E4980"/>
    <w:rsid w:val="006E4EC9"/>
    <w:rsid w:val="006E50B3"/>
    <w:rsid w:val="006E5235"/>
    <w:rsid w:val="006E55DF"/>
    <w:rsid w:val="006E5A2D"/>
    <w:rsid w:val="006E604F"/>
    <w:rsid w:val="006E6CDD"/>
    <w:rsid w:val="006E7383"/>
    <w:rsid w:val="006E758C"/>
    <w:rsid w:val="006E769B"/>
    <w:rsid w:val="006E7729"/>
    <w:rsid w:val="006E77B9"/>
    <w:rsid w:val="006E7FD6"/>
    <w:rsid w:val="006F0279"/>
    <w:rsid w:val="006F02F4"/>
    <w:rsid w:val="006F0AB0"/>
    <w:rsid w:val="006F0AF2"/>
    <w:rsid w:val="006F0F5C"/>
    <w:rsid w:val="006F0F97"/>
    <w:rsid w:val="006F0F9E"/>
    <w:rsid w:val="006F1241"/>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D7E"/>
    <w:rsid w:val="006F3E73"/>
    <w:rsid w:val="006F4052"/>
    <w:rsid w:val="006F415E"/>
    <w:rsid w:val="006F42DC"/>
    <w:rsid w:val="006F448B"/>
    <w:rsid w:val="006F4714"/>
    <w:rsid w:val="006F4B59"/>
    <w:rsid w:val="006F5356"/>
    <w:rsid w:val="006F577D"/>
    <w:rsid w:val="006F585E"/>
    <w:rsid w:val="006F5F46"/>
    <w:rsid w:val="006F6554"/>
    <w:rsid w:val="006F696D"/>
    <w:rsid w:val="006F6C3B"/>
    <w:rsid w:val="006F79C8"/>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69E"/>
    <w:rsid w:val="00704CDE"/>
    <w:rsid w:val="00704D3E"/>
    <w:rsid w:val="00704F30"/>
    <w:rsid w:val="007051DB"/>
    <w:rsid w:val="007057DF"/>
    <w:rsid w:val="007058AA"/>
    <w:rsid w:val="00706228"/>
    <w:rsid w:val="00706638"/>
    <w:rsid w:val="0070681D"/>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C6"/>
    <w:rsid w:val="007125E4"/>
    <w:rsid w:val="00712889"/>
    <w:rsid w:val="007128DE"/>
    <w:rsid w:val="0071290D"/>
    <w:rsid w:val="00712B40"/>
    <w:rsid w:val="00712B9E"/>
    <w:rsid w:val="00712BC5"/>
    <w:rsid w:val="00712D26"/>
    <w:rsid w:val="007137DA"/>
    <w:rsid w:val="00713D67"/>
    <w:rsid w:val="00713E18"/>
    <w:rsid w:val="00713F20"/>
    <w:rsid w:val="00713F8A"/>
    <w:rsid w:val="00714081"/>
    <w:rsid w:val="00714093"/>
    <w:rsid w:val="007141B4"/>
    <w:rsid w:val="00714457"/>
    <w:rsid w:val="00714593"/>
    <w:rsid w:val="00714AA2"/>
    <w:rsid w:val="00714CDB"/>
    <w:rsid w:val="00715076"/>
    <w:rsid w:val="00715326"/>
    <w:rsid w:val="007153BB"/>
    <w:rsid w:val="00715799"/>
    <w:rsid w:val="00715A90"/>
    <w:rsid w:val="00715B99"/>
    <w:rsid w:val="00715EC3"/>
    <w:rsid w:val="007160E4"/>
    <w:rsid w:val="0071630E"/>
    <w:rsid w:val="0071711A"/>
    <w:rsid w:val="0071734A"/>
    <w:rsid w:val="00717669"/>
    <w:rsid w:val="0071791A"/>
    <w:rsid w:val="00720008"/>
    <w:rsid w:val="0072024F"/>
    <w:rsid w:val="0072034F"/>
    <w:rsid w:val="0072054F"/>
    <w:rsid w:val="00720715"/>
    <w:rsid w:val="00720AD8"/>
    <w:rsid w:val="00720D17"/>
    <w:rsid w:val="00721099"/>
    <w:rsid w:val="0072124E"/>
    <w:rsid w:val="00721626"/>
    <w:rsid w:val="00721773"/>
    <w:rsid w:val="00721777"/>
    <w:rsid w:val="00721925"/>
    <w:rsid w:val="00721C88"/>
    <w:rsid w:val="00721FED"/>
    <w:rsid w:val="00722180"/>
    <w:rsid w:val="00722237"/>
    <w:rsid w:val="00722543"/>
    <w:rsid w:val="00722915"/>
    <w:rsid w:val="00722D96"/>
    <w:rsid w:val="00722EB4"/>
    <w:rsid w:val="00722EBA"/>
    <w:rsid w:val="00723170"/>
    <w:rsid w:val="007238CF"/>
    <w:rsid w:val="00723B70"/>
    <w:rsid w:val="00723FB6"/>
    <w:rsid w:val="0072408C"/>
    <w:rsid w:val="007244BA"/>
    <w:rsid w:val="007244EA"/>
    <w:rsid w:val="00724A18"/>
    <w:rsid w:val="00724E53"/>
    <w:rsid w:val="0072535D"/>
    <w:rsid w:val="007254F9"/>
    <w:rsid w:val="00725689"/>
    <w:rsid w:val="00725731"/>
    <w:rsid w:val="007259EF"/>
    <w:rsid w:val="0072652D"/>
    <w:rsid w:val="00726A76"/>
    <w:rsid w:val="00726F58"/>
    <w:rsid w:val="00727533"/>
    <w:rsid w:val="00727B60"/>
    <w:rsid w:val="00727DE0"/>
    <w:rsid w:val="0073012E"/>
    <w:rsid w:val="007307E8"/>
    <w:rsid w:val="00730806"/>
    <w:rsid w:val="00730817"/>
    <w:rsid w:val="007309E1"/>
    <w:rsid w:val="00730BA6"/>
    <w:rsid w:val="00730C65"/>
    <w:rsid w:val="00730E23"/>
    <w:rsid w:val="00730F0A"/>
    <w:rsid w:val="007312E9"/>
    <w:rsid w:val="007314B9"/>
    <w:rsid w:val="00731650"/>
    <w:rsid w:val="00731B86"/>
    <w:rsid w:val="00732055"/>
    <w:rsid w:val="0073232E"/>
    <w:rsid w:val="007325BF"/>
    <w:rsid w:val="007326C6"/>
    <w:rsid w:val="00732A57"/>
    <w:rsid w:val="00732FA8"/>
    <w:rsid w:val="0073353C"/>
    <w:rsid w:val="007335E0"/>
    <w:rsid w:val="007337F7"/>
    <w:rsid w:val="00733941"/>
    <w:rsid w:val="0073399D"/>
    <w:rsid w:val="0073444E"/>
    <w:rsid w:val="00734496"/>
    <w:rsid w:val="007344C9"/>
    <w:rsid w:val="007344CF"/>
    <w:rsid w:val="0073497F"/>
    <w:rsid w:val="00734A05"/>
    <w:rsid w:val="00734AEC"/>
    <w:rsid w:val="00734D04"/>
    <w:rsid w:val="00734EEB"/>
    <w:rsid w:val="00734EF2"/>
    <w:rsid w:val="00734FA4"/>
    <w:rsid w:val="00735099"/>
    <w:rsid w:val="007353BD"/>
    <w:rsid w:val="0073554E"/>
    <w:rsid w:val="00735786"/>
    <w:rsid w:val="007357AB"/>
    <w:rsid w:val="00735B12"/>
    <w:rsid w:val="00735CA2"/>
    <w:rsid w:val="00735D78"/>
    <w:rsid w:val="00735EAA"/>
    <w:rsid w:val="0073610B"/>
    <w:rsid w:val="00736944"/>
    <w:rsid w:val="00736A63"/>
    <w:rsid w:val="00736CCC"/>
    <w:rsid w:val="00736D76"/>
    <w:rsid w:val="00737085"/>
    <w:rsid w:val="007372BC"/>
    <w:rsid w:val="007373A2"/>
    <w:rsid w:val="00737AB0"/>
    <w:rsid w:val="00737F9B"/>
    <w:rsid w:val="007406E8"/>
    <w:rsid w:val="00740D08"/>
    <w:rsid w:val="0074132B"/>
    <w:rsid w:val="0074155B"/>
    <w:rsid w:val="00741B84"/>
    <w:rsid w:val="00741CA7"/>
    <w:rsid w:val="00741CDB"/>
    <w:rsid w:val="00742419"/>
    <w:rsid w:val="007425F8"/>
    <w:rsid w:val="007427BF"/>
    <w:rsid w:val="00742857"/>
    <w:rsid w:val="007428FE"/>
    <w:rsid w:val="00742CE6"/>
    <w:rsid w:val="00742D99"/>
    <w:rsid w:val="00743248"/>
    <w:rsid w:val="007432F0"/>
    <w:rsid w:val="0074370C"/>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974"/>
    <w:rsid w:val="00751F4E"/>
    <w:rsid w:val="00751FE8"/>
    <w:rsid w:val="007524F7"/>
    <w:rsid w:val="007527D2"/>
    <w:rsid w:val="00752AC2"/>
    <w:rsid w:val="00752B9E"/>
    <w:rsid w:val="00752F6B"/>
    <w:rsid w:val="0075321D"/>
    <w:rsid w:val="00753279"/>
    <w:rsid w:val="00754018"/>
    <w:rsid w:val="007541E6"/>
    <w:rsid w:val="00754472"/>
    <w:rsid w:val="007547DE"/>
    <w:rsid w:val="0075485B"/>
    <w:rsid w:val="00754BB1"/>
    <w:rsid w:val="007554E8"/>
    <w:rsid w:val="0075592D"/>
    <w:rsid w:val="0075598C"/>
    <w:rsid w:val="00755B76"/>
    <w:rsid w:val="00755D90"/>
    <w:rsid w:val="00755EA3"/>
    <w:rsid w:val="00755F72"/>
    <w:rsid w:val="00755FB2"/>
    <w:rsid w:val="00756029"/>
    <w:rsid w:val="0075654C"/>
    <w:rsid w:val="00756AF7"/>
    <w:rsid w:val="007578FE"/>
    <w:rsid w:val="00757B85"/>
    <w:rsid w:val="00757E63"/>
    <w:rsid w:val="00757EFE"/>
    <w:rsid w:val="00760194"/>
    <w:rsid w:val="007605F9"/>
    <w:rsid w:val="007608C3"/>
    <w:rsid w:val="00760A3C"/>
    <w:rsid w:val="00760EB1"/>
    <w:rsid w:val="00760F67"/>
    <w:rsid w:val="007612FF"/>
    <w:rsid w:val="00761EFD"/>
    <w:rsid w:val="00762198"/>
    <w:rsid w:val="007623EB"/>
    <w:rsid w:val="0076242C"/>
    <w:rsid w:val="0076258B"/>
    <w:rsid w:val="00762CE9"/>
    <w:rsid w:val="00762F17"/>
    <w:rsid w:val="00762FAD"/>
    <w:rsid w:val="0076376C"/>
    <w:rsid w:val="00763A71"/>
    <w:rsid w:val="00763F7E"/>
    <w:rsid w:val="00764312"/>
    <w:rsid w:val="00764CB1"/>
    <w:rsid w:val="007656A8"/>
    <w:rsid w:val="00765759"/>
    <w:rsid w:val="00765F75"/>
    <w:rsid w:val="007661FB"/>
    <w:rsid w:val="007667A1"/>
    <w:rsid w:val="007667BF"/>
    <w:rsid w:val="007667D3"/>
    <w:rsid w:val="007669E0"/>
    <w:rsid w:val="00766C36"/>
    <w:rsid w:val="00766DB0"/>
    <w:rsid w:val="00767CEB"/>
    <w:rsid w:val="00767E82"/>
    <w:rsid w:val="0077061A"/>
    <w:rsid w:val="007708C5"/>
    <w:rsid w:val="007709DA"/>
    <w:rsid w:val="00770C53"/>
    <w:rsid w:val="00770E20"/>
    <w:rsid w:val="00771135"/>
    <w:rsid w:val="0077134B"/>
    <w:rsid w:val="007713EE"/>
    <w:rsid w:val="00771551"/>
    <w:rsid w:val="00771583"/>
    <w:rsid w:val="00771A06"/>
    <w:rsid w:val="00771A18"/>
    <w:rsid w:val="00771F69"/>
    <w:rsid w:val="007722A8"/>
    <w:rsid w:val="00772654"/>
    <w:rsid w:val="00772AA0"/>
    <w:rsid w:val="00772BF0"/>
    <w:rsid w:val="00772D23"/>
    <w:rsid w:val="00772D82"/>
    <w:rsid w:val="00772FEB"/>
    <w:rsid w:val="0077344F"/>
    <w:rsid w:val="00773788"/>
    <w:rsid w:val="00773C2C"/>
    <w:rsid w:val="00774441"/>
    <w:rsid w:val="00774598"/>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77E71"/>
    <w:rsid w:val="007800A3"/>
    <w:rsid w:val="007800A6"/>
    <w:rsid w:val="0078103E"/>
    <w:rsid w:val="007811CE"/>
    <w:rsid w:val="007813F1"/>
    <w:rsid w:val="007817A4"/>
    <w:rsid w:val="007817E1"/>
    <w:rsid w:val="00781BDB"/>
    <w:rsid w:val="00781C30"/>
    <w:rsid w:val="00782DCC"/>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1F06"/>
    <w:rsid w:val="007921AC"/>
    <w:rsid w:val="007924C4"/>
    <w:rsid w:val="00792C19"/>
    <w:rsid w:val="00792D43"/>
    <w:rsid w:val="00792F69"/>
    <w:rsid w:val="0079334B"/>
    <w:rsid w:val="00793574"/>
    <w:rsid w:val="007937FD"/>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6B93"/>
    <w:rsid w:val="007973FA"/>
    <w:rsid w:val="00797765"/>
    <w:rsid w:val="00797F24"/>
    <w:rsid w:val="007A01DE"/>
    <w:rsid w:val="007A031B"/>
    <w:rsid w:val="007A0B38"/>
    <w:rsid w:val="007A0B95"/>
    <w:rsid w:val="007A11CE"/>
    <w:rsid w:val="007A13F1"/>
    <w:rsid w:val="007A14E6"/>
    <w:rsid w:val="007A15FD"/>
    <w:rsid w:val="007A1619"/>
    <w:rsid w:val="007A1658"/>
    <w:rsid w:val="007A2548"/>
    <w:rsid w:val="007A270C"/>
    <w:rsid w:val="007A2778"/>
    <w:rsid w:val="007A2A31"/>
    <w:rsid w:val="007A2E9B"/>
    <w:rsid w:val="007A34DB"/>
    <w:rsid w:val="007A3980"/>
    <w:rsid w:val="007A3E93"/>
    <w:rsid w:val="007A3F3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2322"/>
    <w:rsid w:val="007B27B6"/>
    <w:rsid w:val="007B28B1"/>
    <w:rsid w:val="007B2D9F"/>
    <w:rsid w:val="007B2F75"/>
    <w:rsid w:val="007B3489"/>
    <w:rsid w:val="007B3663"/>
    <w:rsid w:val="007B3A96"/>
    <w:rsid w:val="007B3AC3"/>
    <w:rsid w:val="007B3BA9"/>
    <w:rsid w:val="007B3F6C"/>
    <w:rsid w:val="007B4685"/>
    <w:rsid w:val="007B468B"/>
    <w:rsid w:val="007B4736"/>
    <w:rsid w:val="007B48AC"/>
    <w:rsid w:val="007B4F6F"/>
    <w:rsid w:val="007B5201"/>
    <w:rsid w:val="007B533F"/>
    <w:rsid w:val="007B54D2"/>
    <w:rsid w:val="007B55D6"/>
    <w:rsid w:val="007B58BF"/>
    <w:rsid w:val="007B5A6D"/>
    <w:rsid w:val="007B5BBD"/>
    <w:rsid w:val="007B5D02"/>
    <w:rsid w:val="007B6092"/>
    <w:rsid w:val="007B66DA"/>
    <w:rsid w:val="007B6AF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6C0D"/>
    <w:rsid w:val="007C73EA"/>
    <w:rsid w:val="007C7948"/>
    <w:rsid w:val="007C794C"/>
    <w:rsid w:val="007C7C8D"/>
    <w:rsid w:val="007C7FCC"/>
    <w:rsid w:val="007D0517"/>
    <w:rsid w:val="007D07FB"/>
    <w:rsid w:val="007D08B0"/>
    <w:rsid w:val="007D09E0"/>
    <w:rsid w:val="007D1084"/>
    <w:rsid w:val="007D12C0"/>
    <w:rsid w:val="007D1624"/>
    <w:rsid w:val="007D181E"/>
    <w:rsid w:val="007D1917"/>
    <w:rsid w:val="007D196D"/>
    <w:rsid w:val="007D1C5F"/>
    <w:rsid w:val="007D29E3"/>
    <w:rsid w:val="007D29F6"/>
    <w:rsid w:val="007D29F7"/>
    <w:rsid w:val="007D32E4"/>
    <w:rsid w:val="007D32E7"/>
    <w:rsid w:val="007D34E0"/>
    <w:rsid w:val="007D399F"/>
    <w:rsid w:val="007D3A2E"/>
    <w:rsid w:val="007D3AAB"/>
    <w:rsid w:val="007D3CA9"/>
    <w:rsid w:val="007D3D98"/>
    <w:rsid w:val="007D3DF0"/>
    <w:rsid w:val="007D40B5"/>
    <w:rsid w:val="007D4422"/>
    <w:rsid w:val="007D57CD"/>
    <w:rsid w:val="007D5844"/>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718"/>
    <w:rsid w:val="007E4D70"/>
    <w:rsid w:val="007E5332"/>
    <w:rsid w:val="007E53F0"/>
    <w:rsid w:val="007E5433"/>
    <w:rsid w:val="007E54B4"/>
    <w:rsid w:val="007E562A"/>
    <w:rsid w:val="007E5682"/>
    <w:rsid w:val="007E5726"/>
    <w:rsid w:val="007E5958"/>
    <w:rsid w:val="007E5DA7"/>
    <w:rsid w:val="007E5F51"/>
    <w:rsid w:val="007E6515"/>
    <w:rsid w:val="007E6AD8"/>
    <w:rsid w:val="007E6D7F"/>
    <w:rsid w:val="007E6F7B"/>
    <w:rsid w:val="007E74AD"/>
    <w:rsid w:val="007E780B"/>
    <w:rsid w:val="007E7AE0"/>
    <w:rsid w:val="007E7C1C"/>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7A9"/>
    <w:rsid w:val="007F2EAE"/>
    <w:rsid w:val="007F3205"/>
    <w:rsid w:val="007F3353"/>
    <w:rsid w:val="007F3412"/>
    <w:rsid w:val="007F3479"/>
    <w:rsid w:val="007F3DD7"/>
    <w:rsid w:val="007F3E20"/>
    <w:rsid w:val="007F3E3F"/>
    <w:rsid w:val="007F4991"/>
    <w:rsid w:val="007F4ABA"/>
    <w:rsid w:val="007F5575"/>
    <w:rsid w:val="007F590E"/>
    <w:rsid w:val="007F59E8"/>
    <w:rsid w:val="007F5AEA"/>
    <w:rsid w:val="007F607E"/>
    <w:rsid w:val="007F62C7"/>
    <w:rsid w:val="007F630C"/>
    <w:rsid w:val="007F6397"/>
    <w:rsid w:val="007F6926"/>
    <w:rsid w:val="007F6A16"/>
    <w:rsid w:val="007F6F34"/>
    <w:rsid w:val="007F7330"/>
    <w:rsid w:val="007F7378"/>
    <w:rsid w:val="007F73ED"/>
    <w:rsid w:val="007F7532"/>
    <w:rsid w:val="007F763A"/>
    <w:rsid w:val="007F7853"/>
    <w:rsid w:val="007F785F"/>
    <w:rsid w:val="007F7B39"/>
    <w:rsid w:val="007F7BB0"/>
    <w:rsid w:val="007F7C9E"/>
    <w:rsid w:val="00800457"/>
    <w:rsid w:val="0080071B"/>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E28"/>
    <w:rsid w:val="00803FE1"/>
    <w:rsid w:val="00804092"/>
    <w:rsid w:val="008043C2"/>
    <w:rsid w:val="0080457B"/>
    <w:rsid w:val="00804C78"/>
    <w:rsid w:val="00804F7C"/>
    <w:rsid w:val="008052BB"/>
    <w:rsid w:val="008052F0"/>
    <w:rsid w:val="008057CD"/>
    <w:rsid w:val="008059DB"/>
    <w:rsid w:val="00805CEC"/>
    <w:rsid w:val="00805D34"/>
    <w:rsid w:val="00805F9F"/>
    <w:rsid w:val="00805FEE"/>
    <w:rsid w:val="008062DB"/>
    <w:rsid w:val="00806438"/>
    <w:rsid w:val="008064D5"/>
    <w:rsid w:val="008066CB"/>
    <w:rsid w:val="00806F22"/>
    <w:rsid w:val="00806F6F"/>
    <w:rsid w:val="00807166"/>
    <w:rsid w:val="008072EF"/>
    <w:rsid w:val="008077F3"/>
    <w:rsid w:val="0080792E"/>
    <w:rsid w:val="00807ACB"/>
    <w:rsid w:val="00807BC9"/>
    <w:rsid w:val="00807C95"/>
    <w:rsid w:val="00807DCC"/>
    <w:rsid w:val="0081023E"/>
    <w:rsid w:val="00810320"/>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CE7"/>
    <w:rsid w:val="00813F5C"/>
    <w:rsid w:val="0081440D"/>
    <w:rsid w:val="008147D7"/>
    <w:rsid w:val="00814A5C"/>
    <w:rsid w:val="00815058"/>
    <w:rsid w:val="00815271"/>
    <w:rsid w:val="008152E0"/>
    <w:rsid w:val="008156C3"/>
    <w:rsid w:val="008156E5"/>
    <w:rsid w:val="00815DB4"/>
    <w:rsid w:val="00815F07"/>
    <w:rsid w:val="00816276"/>
    <w:rsid w:val="0081675F"/>
    <w:rsid w:val="00816984"/>
    <w:rsid w:val="00816A90"/>
    <w:rsid w:val="00816DA3"/>
    <w:rsid w:val="00817034"/>
    <w:rsid w:val="00817976"/>
    <w:rsid w:val="00817FAF"/>
    <w:rsid w:val="00820151"/>
    <w:rsid w:val="008206FE"/>
    <w:rsid w:val="00820A52"/>
    <w:rsid w:val="00820D8E"/>
    <w:rsid w:val="00821F8C"/>
    <w:rsid w:val="0082233D"/>
    <w:rsid w:val="0082287F"/>
    <w:rsid w:val="00822A75"/>
    <w:rsid w:val="00822C64"/>
    <w:rsid w:val="00822FAF"/>
    <w:rsid w:val="0082388B"/>
    <w:rsid w:val="00823BCC"/>
    <w:rsid w:val="00823C1F"/>
    <w:rsid w:val="00823C25"/>
    <w:rsid w:val="00823DCC"/>
    <w:rsid w:val="00824743"/>
    <w:rsid w:val="00824A1D"/>
    <w:rsid w:val="00824B6D"/>
    <w:rsid w:val="00824F86"/>
    <w:rsid w:val="00824FD2"/>
    <w:rsid w:val="008254AB"/>
    <w:rsid w:val="008254FB"/>
    <w:rsid w:val="00825680"/>
    <w:rsid w:val="0082585E"/>
    <w:rsid w:val="00825FD4"/>
    <w:rsid w:val="0082658F"/>
    <w:rsid w:val="0082664F"/>
    <w:rsid w:val="008266FD"/>
    <w:rsid w:val="00826701"/>
    <w:rsid w:val="00826CBA"/>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52F"/>
    <w:rsid w:val="0083185A"/>
    <w:rsid w:val="00831BC2"/>
    <w:rsid w:val="008322BA"/>
    <w:rsid w:val="008324C1"/>
    <w:rsid w:val="00832611"/>
    <w:rsid w:val="00832C15"/>
    <w:rsid w:val="00832C19"/>
    <w:rsid w:val="00832D9B"/>
    <w:rsid w:val="00833020"/>
    <w:rsid w:val="0083313D"/>
    <w:rsid w:val="0083328B"/>
    <w:rsid w:val="008333F6"/>
    <w:rsid w:val="00833425"/>
    <w:rsid w:val="00833957"/>
    <w:rsid w:val="00833AC6"/>
    <w:rsid w:val="00833FF9"/>
    <w:rsid w:val="008347EA"/>
    <w:rsid w:val="00834809"/>
    <w:rsid w:val="00834EA9"/>
    <w:rsid w:val="0083543B"/>
    <w:rsid w:val="0083583A"/>
    <w:rsid w:val="00835903"/>
    <w:rsid w:val="00835BD3"/>
    <w:rsid w:val="008364DF"/>
    <w:rsid w:val="00836705"/>
    <w:rsid w:val="00836EFA"/>
    <w:rsid w:val="0083752B"/>
    <w:rsid w:val="008376EB"/>
    <w:rsid w:val="008378FA"/>
    <w:rsid w:val="00840241"/>
    <w:rsid w:val="008402CC"/>
    <w:rsid w:val="0084076B"/>
    <w:rsid w:val="0084121E"/>
    <w:rsid w:val="008412EE"/>
    <w:rsid w:val="0084186B"/>
    <w:rsid w:val="00841B2E"/>
    <w:rsid w:val="00842869"/>
    <w:rsid w:val="00842BE1"/>
    <w:rsid w:val="00842CD6"/>
    <w:rsid w:val="00842DAB"/>
    <w:rsid w:val="00842EAE"/>
    <w:rsid w:val="00842F01"/>
    <w:rsid w:val="00842F09"/>
    <w:rsid w:val="00842F34"/>
    <w:rsid w:val="00843099"/>
    <w:rsid w:val="008434FC"/>
    <w:rsid w:val="0084373D"/>
    <w:rsid w:val="008439A1"/>
    <w:rsid w:val="008441E9"/>
    <w:rsid w:val="00844297"/>
    <w:rsid w:val="0084459A"/>
    <w:rsid w:val="008445B5"/>
    <w:rsid w:val="008447BB"/>
    <w:rsid w:val="00844D29"/>
    <w:rsid w:val="00844EDC"/>
    <w:rsid w:val="00844F8A"/>
    <w:rsid w:val="008453AD"/>
    <w:rsid w:val="00845673"/>
    <w:rsid w:val="0084593F"/>
    <w:rsid w:val="00845BE2"/>
    <w:rsid w:val="00845F9B"/>
    <w:rsid w:val="00845FFF"/>
    <w:rsid w:val="00846312"/>
    <w:rsid w:val="008463AC"/>
    <w:rsid w:val="00846654"/>
    <w:rsid w:val="008474C2"/>
    <w:rsid w:val="0084795A"/>
    <w:rsid w:val="00847AAD"/>
    <w:rsid w:val="00847B3C"/>
    <w:rsid w:val="00847E0D"/>
    <w:rsid w:val="00847F3D"/>
    <w:rsid w:val="0085038D"/>
    <w:rsid w:val="0085051B"/>
    <w:rsid w:val="00850821"/>
    <w:rsid w:val="00850983"/>
    <w:rsid w:val="00850BCB"/>
    <w:rsid w:val="00850C6C"/>
    <w:rsid w:val="00850CBB"/>
    <w:rsid w:val="00850EE9"/>
    <w:rsid w:val="0085101D"/>
    <w:rsid w:val="0085108C"/>
    <w:rsid w:val="00851338"/>
    <w:rsid w:val="008513A0"/>
    <w:rsid w:val="0085169D"/>
    <w:rsid w:val="00851A37"/>
    <w:rsid w:val="00851DBF"/>
    <w:rsid w:val="00851E8F"/>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5B2"/>
    <w:rsid w:val="0085560D"/>
    <w:rsid w:val="00855637"/>
    <w:rsid w:val="008557D6"/>
    <w:rsid w:val="00855888"/>
    <w:rsid w:val="00855B5D"/>
    <w:rsid w:val="00855E2E"/>
    <w:rsid w:val="00855E33"/>
    <w:rsid w:val="00855F89"/>
    <w:rsid w:val="00856204"/>
    <w:rsid w:val="0085627B"/>
    <w:rsid w:val="008563FC"/>
    <w:rsid w:val="00856459"/>
    <w:rsid w:val="008567AB"/>
    <w:rsid w:val="00856A54"/>
    <w:rsid w:val="00856BEC"/>
    <w:rsid w:val="00856CA4"/>
    <w:rsid w:val="00856D7B"/>
    <w:rsid w:val="00856E21"/>
    <w:rsid w:val="00856E55"/>
    <w:rsid w:val="0085712D"/>
    <w:rsid w:val="00857272"/>
    <w:rsid w:val="00857331"/>
    <w:rsid w:val="0085739F"/>
    <w:rsid w:val="00860077"/>
    <w:rsid w:val="0086013C"/>
    <w:rsid w:val="00860211"/>
    <w:rsid w:val="00860283"/>
    <w:rsid w:val="00860581"/>
    <w:rsid w:val="0086058E"/>
    <w:rsid w:val="00860C34"/>
    <w:rsid w:val="00861196"/>
    <w:rsid w:val="00862090"/>
    <w:rsid w:val="00862CC2"/>
    <w:rsid w:val="00862F65"/>
    <w:rsid w:val="00862FC7"/>
    <w:rsid w:val="0086311C"/>
    <w:rsid w:val="0086340C"/>
    <w:rsid w:val="0086342F"/>
    <w:rsid w:val="0086360A"/>
    <w:rsid w:val="008638F0"/>
    <w:rsid w:val="00863A21"/>
    <w:rsid w:val="00863B9C"/>
    <w:rsid w:val="008641C2"/>
    <w:rsid w:val="0086471E"/>
    <w:rsid w:val="0086475E"/>
    <w:rsid w:val="00864760"/>
    <w:rsid w:val="00864A63"/>
    <w:rsid w:val="00864A7D"/>
    <w:rsid w:val="00864EE7"/>
    <w:rsid w:val="00865616"/>
    <w:rsid w:val="00865D57"/>
    <w:rsid w:val="00865D9B"/>
    <w:rsid w:val="00866092"/>
    <w:rsid w:val="0086614C"/>
    <w:rsid w:val="0086653D"/>
    <w:rsid w:val="0086659C"/>
    <w:rsid w:val="008666EC"/>
    <w:rsid w:val="00867060"/>
    <w:rsid w:val="00867137"/>
    <w:rsid w:val="0086782F"/>
    <w:rsid w:val="0086785E"/>
    <w:rsid w:val="00867997"/>
    <w:rsid w:val="00867C38"/>
    <w:rsid w:val="00870002"/>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26D"/>
    <w:rsid w:val="00873403"/>
    <w:rsid w:val="008735CE"/>
    <w:rsid w:val="008738B9"/>
    <w:rsid w:val="00873FBD"/>
    <w:rsid w:val="0087404B"/>
    <w:rsid w:val="008742E5"/>
    <w:rsid w:val="00874333"/>
    <w:rsid w:val="00874A5E"/>
    <w:rsid w:val="00874B4C"/>
    <w:rsid w:val="00874C17"/>
    <w:rsid w:val="00874F29"/>
    <w:rsid w:val="00875351"/>
    <w:rsid w:val="00875B37"/>
    <w:rsid w:val="0087606E"/>
    <w:rsid w:val="0087622B"/>
    <w:rsid w:val="008764A6"/>
    <w:rsid w:val="008765BC"/>
    <w:rsid w:val="00876747"/>
    <w:rsid w:val="00876903"/>
    <w:rsid w:val="00876C6A"/>
    <w:rsid w:val="00876D2A"/>
    <w:rsid w:val="00876F12"/>
    <w:rsid w:val="00877605"/>
    <w:rsid w:val="0087760E"/>
    <w:rsid w:val="008779C5"/>
    <w:rsid w:val="00877C13"/>
    <w:rsid w:val="00877DBE"/>
    <w:rsid w:val="008800EB"/>
    <w:rsid w:val="00880F48"/>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1EA"/>
    <w:rsid w:val="008878AA"/>
    <w:rsid w:val="008879AE"/>
    <w:rsid w:val="008906CA"/>
    <w:rsid w:val="008908D2"/>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ABE"/>
    <w:rsid w:val="00893B79"/>
    <w:rsid w:val="00893D8D"/>
    <w:rsid w:val="00894081"/>
    <w:rsid w:val="0089421F"/>
    <w:rsid w:val="0089431A"/>
    <w:rsid w:val="00894E93"/>
    <w:rsid w:val="00895253"/>
    <w:rsid w:val="00895623"/>
    <w:rsid w:val="00895643"/>
    <w:rsid w:val="00895655"/>
    <w:rsid w:val="00895695"/>
    <w:rsid w:val="00895896"/>
    <w:rsid w:val="00895CF0"/>
    <w:rsid w:val="0089630C"/>
    <w:rsid w:val="00896434"/>
    <w:rsid w:val="008965E8"/>
    <w:rsid w:val="00896666"/>
    <w:rsid w:val="0089669C"/>
    <w:rsid w:val="00896AA1"/>
    <w:rsid w:val="00896AD4"/>
    <w:rsid w:val="00897459"/>
    <w:rsid w:val="00897630"/>
    <w:rsid w:val="008977AF"/>
    <w:rsid w:val="00897EA6"/>
    <w:rsid w:val="008A004D"/>
    <w:rsid w:val="008A0B6B"/>
    <w:rsid w:val="008A0C6F"/>
    <w:rsid w:val="008A10DB"/>
    <w:rsid w:val="008A1319"/>
    <w:rsid w:val="008A1855"/>
    <w:rsid w:val="008A1E33"/>
    <w:rsid w:val="008A1FAD"/>
    <w:rsid w:val="008A2106"/>
    <w:rsid w:val="008A23E6"/>
    <w:rsid w:val="008A2B9F"/>
    <w:rsid w:val="008A3048"/>
    <w:rsid w:val="008A31C9"/>
    <w:rsid w:val="008A3C47"/>
    <w:rsid w:val="008A3C6A"/>
    <w:rsid w:val="008A3CFB"/>
    <w:rsid w:val="008A3D5E"/>
    <w:rsid w:val="008A409C"/>
    <w:rsid w:val="008A48C5"/>
    <w:rsid w:val="008A4900"/>
    <w:rsid w:val="008A4D70"/>
    <w:rsid w:val="008A50A5"/>
    <w:rsid w:val="008A5CF9"/>
    <w:rsid w:val="008A5DB5"/>
    <w:rsid w:val="008A5DEE"/>
    <w:rsid w:val="008A699D"/>
    <w:rsid w:val="008A717A"/>
    <w:rsid w:val="008A721A"/>
    <w:rsid w:val="008A739B"/>
    <w:rsid w:val="008A7641"/>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3F4"/>
    <w:rsid w:val="008B5428"/>
    <w:rsid w:val="008B55B5"/>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683"/>
    <w:rsid w:val="008B7EA0"/>
    <w:rsid w:val="008C0445"/>
    <w:rsid w:val="008C0C29"/>
    <w:rsid w:val="008C0F4C"/>
    <w:rsid w:val="008C1331"/>
    <w:rsid w:val="008C1510"/>
    <w:rsid w:val="008C21EE"/>
    <w:rsid w:val="008C26B2"/>
    <w:rsid w:val="008C29DD"/>
    <w:rsid w:val="008C3092"/>
    <w:rsid w:val="008C3287"/>
    <w:rsid w:val="008C336C"/>
    <w:rsid w:val="008C34B6"/>
    <w:rsid w:val="008C3773"/>
    <w:rsid w:val="008C3806"/>
    <w:rsid w:val="008C3EAC"/>
    <w:rsid w:val="008C3F0B"/>
    <w:rsid w:val="008C3F7C"/>
    <w:rsid w:val="008C4AB5"/>
    <w:rsid w:val="008C4EF8"/>
    <w:rsid w:val="008C540A"/>
    <w:rsid w:val="008C5B54"/>
    <w:rsid w:val="008C6239"/>
    <w:rsid w:val="008C640B"/>
    <w:rsid w:val="008C649D"/>
    <w:rsid w:val="008C64AD"/>
    <w:rsid w:val="008C65BF"/>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F97"/>
    <w:rsid w:val="008D50AC"/>
    <w:rsid w:val="008D50F9"/>
    <w:rsid w:val="008D514B"/>
    <w:rsid w:val="008D56A3"/>
    <w:rsid w:val="008D57D6"/>
    <w:rsid w:val="008D59A9"/>
    <w:rsid w:val="008D5BD2"/>
    <w:rsid w:val="008D5DEB"/>
    <w:rsid w:val="008D6553"/>
    <w:rsid w:val="008D663D"/>
    <w:rsid w:val="008D668C"/>
    <w:rsid w:val="008D6B9B"/>
    <w:rsid w:val="008D6CE0"/>
    <w:rsid w:val="008D6DC9"/>
    <w:rsid w:val="008D6F1B"/>
    <w:rsid w:val="008D713E"/>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0F4"/>
    <w:rsid w:val="008E2160"/>
    <w:rsid w:val="008E21B8"/>
    <w:rsid w:val="008E2463"/>
    <w:rsid w:val="008E2493"/>
    <w:rsid w:val="008E2576"/>
    <w:rsid w:val="008E3267"/>
    <w:rsid w:val="008E3357"/>
    <w:rsid w:val="008E3594"/>
    <w:rsid w:val="008E403B"/>
    <w:rsid w:val="008E429A"/>
    <w:rsid w:val="008E4379"/>
    <w:rsid w:val="008E45D0"/>
    <w:rsid w:val="008E4761"/>
    <w:rsid w:val="008E4A8A"/>
    <w:rsid w:val="008E4D07"/>
    <w:rsid w:val="008E50AE"/>
    <w:rsid w:val="008E581A"/>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3AF"/>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B8B"/>
    <w:rsid w:val="008F3F56"/>
    <w:rsid w:val="008F3FAC"/>
    <w:rsid w:val="008F4722"/>
    <w:rsid w:val="008F4934"/>
    <w:rsid w:val="008F4AA6"/>
    <w:rsid w:val="008F4B52"/>
    <w:rsid w:val="008F53BA"/>
    <w:rsid w:val="008F59E4"/>
    <w:rsid w:val="008F5EDC"/>
    <w:rsid w:val="008F6260"/>
    <w:rsid w:val="008F6426"/>
    <w:rsid w:val="008F64E5"/>
    <w:rsid w:val="008F6729"/>
    <w:rsid w:val="008F67F4"/>
    <w:rsid w:val="008F686A"/>
    <w:rsid w:val="008F6A9B"/>
    <w:rsid w:val="008F6AC4"/>
    <w:rsid w:val="008F6B5D"/>
    <w:rsid w:val="008F6DC3"/>
    <w:rsid w:val="008F6E76"/>
    <w:rsid w:val="008F7547"/>
    <w:rsid w:val="0090088A"/>
    <w:rsid w:val="009008A3"/>
    <w:rsid w:val="00900B9A"/>
    <w:rsid w:val="00900D31"/>
    <w:rsid w:val="00900DA2"/>
    <w:rsid w:val="009011AE"/>
    <w:rsid w:val="009011B7"/>
    <w:rsid w:val="0090182A"/>
    <w:rsid w:val="00901A61"/>
    <w:rsid w:val="00901D44"/>
    <w:rsid w:val="0090201C"/>
    <w:rsid w:val="0090258F"/>
    <w:rsid w:val="0090269C"/>
    <w:rsid w:val="00902817"/>
    <w:rsid w:val="009029FF"/>
    <w:rsid w:val="00902A78"/>
    <w:rsid w:val="00902B00"/>
    <w:rsid w:val="00902BCF"/>
    <w:rsid w:val="00903B2C"/>
    <w:rsid w:val="00903C74"/>
    <w:rsid w:val="00903D2A"/>
    <w:rsid w:val="00904B95"/>
    <w:rsid w:val="00905146"/>
    <w:rsid w:val="009051D6"/>
    <w:rsid w:val="0090527B"/>
    <w:rsid w:val="0090532F"/>
    <w:rsid w:val="0090540C"/>
    <w:rsid w:val="00905460"/>
    <w:rsid w:val="009059B7"/>
    <w:rsid w:val="00905A4C"/>
    <w:rsid w:val="00905B8C"/>
    <w:rsid w:val="00906775"/>
    <w:rsid w:val="00907024"/>
    <w:rsid w:val="0090729C"/>
    <w:rsid w:val="00907703"/>
    <w:rsid w:val="00907DFC"/>
    <w:rsid w:val="00907EEB"/>
    <w:rsid w:val="00907F74"/>
    <w:rsid w:val="00910087"/>
    <w:rsid w:val="009103F1"/>
    <w:rsid w:val="00910662"/>
    <w:rsid w:val="0091069C"/>
    <w:rsid w:val="0091086A"/>
    <w:rsid w:val="00910F6E"/>
    <w:rsid w:val="0091107D"/>
    <w:rsid w:val="0091107F"/>
    <w:rsid w:val="00911195"/>
    <w:rsid w:val="00911340"/>
    <w:rsid w:val="0091141C"/>
    <w:rsid w:val="009114DD"/>
    <w:rsid w:val="00911B7D"/>
    <w:rsid w:val="00911D18"/>
    <w:rsid w:val="009123D2"/>
    <w:rsid w:val="009125BC"/>
    <w:rsid w:val="00912B40"/>
    <w:rsid w:val="00912B49"/>
    <w:rsid w:val="00912D86"/>
    <w:rsid w:val="009131C5"/>
    <w:rsid w:val="0091333A"/>
    <w:rsid w:val="0091347E"/>
    <w:rsid w:val="0091381D"/>
    <w:rsid w:val="009138BF"/>
    <w:rsid w:val="009138FB"/>
    <w:rsid w:val="00913A49"/>
    <w:rsid w:val="00913F55"/>
    <w:rsid w:val="009141B1"/>
    <w:rsid w:val="00914201"/>
    <w:rsid w:val="00914494"/>
    <w:rsid w:val="009146B1"/>
    <w:rsid w:val="00914CDA"/>
    <w:rsid w:val="0091520B"/>
    <w:rsid w:val="009157F2"/>
    <w:rsid w:val="00915AAF"/>
    <w:rsid w:val="00916406"/>
    <w:rsid w:val="009164F1"/>
    <w:rsid w:val="009165C1"/>
    <w:rsid w:val="00916814"/>
    <w:rsid w:val="0091691D"/>
    <w:rsid w:val="00916A39"/>
    <w:rsid w:val="00916BAF"/>
    <w:rsid w:val="00916CCA"/>
    <w:rsid w:val="00917388"/>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F10"/>
    <w:rsid w:val="0092621F"/>
    <w:rsid w:val="00926327"/>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60E"/>
    <w:rsid w:val="00932C1A"/>
    <w:rsid w:val="00932CEB"/>
    <w:rsid w:val="00933656"/>
    <w:rsid w:val="00933B80"/>
    <w:rsid w:val="0093410B"/>
    <w:rsid w:val="0093415B"/>
    <w:rsid w:val="009341A0"/>
    <w:rsid w:val="009341D8"/>
    <w:rsid w:val="00934697"/>
    <w:rsid w:val="009346C6"/>
    <w:rsid w:val="009347D4"/>
    <w:rsid w:val="0093508E"/>
    <w:rsid w:val="0093552B"/>
    <w:rsid w:val="009358A9"/>
    <w:rsid w:val="00936053"/>
    <w:rsid w:val="0093645D"/>
    <w:rsid w:val="0093651D"/>
    <w:rsid w:val="00936F4A"/>
    <w:rsid w:val="0093786B"/>
    <w:rsid w:val="009378CD"/>
    <w:rsid w:val="009379CF"/>
    <w:rsid w:val="009401A4"/>
    <w:rsid w:val="00940676"/>
    <w:rsid w:val="0094067B"/>
    <w:rsid w:val="00940846"/>
    <w:rsid w:val="00940937"/>
    <w:rsid w:val="00940C04"/>
    <w:rsid w:val="00940E34"/>
    <w:rsid w:val="00940E9B"/>
    <w:rsid w:val="00941297"/>
    <w:rsid w:val="00941417"/>
    <w:rsid w:val="00941605"/>
    <w:rsid w:val="00941BA3"/>
    <w:rsid w:val="00941D4F"/>
    <w:rsid w:val="009427B9"/>
    <w:rsid w:val="00942C45"/>
    <w:rsid w:val="00942DB0"/>
    <w:rsid w:val="0094305F"/>
    <w:rsid w:val="009433FC"/>
    <w:rsid w:val="009436EA"/>
    <w:rsid w:val="009438A2"/>
    <w:rsid w:val="009438A4"/>
    <w:rsid w:val="009438E3"/>
    <w:rsid w:val="0094411A"/>
    <w:rsid w:val="009444C2"/>
    <w:rsid w:val="009445D8"/>
    <w:rsid w:val="009449C9"/>
    <w:rsid w:val="00944AE7"/>
    <w:rsid w:val="00944B5A"/>
    <w:rsid w:val="0094555F"/>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2B7"/>
    <w:rsid w:val="009536E6"/>
    <w:rsid w:val="00953886"/>
    <w:rsid w:val="0095388C"/>
    <w:rsid w:val="00953A8E"/>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180"/>
    <w:rsid w:val="00960A50"/>
    <w:rsid w:val="00960B83"/>
    <w:rsid w:val="0096103A"/>
    <w:rsid w:val="0096118E"/>
    <w:rsid w:val="00961291"/>
    <w:rsid w:val="009614F7"/>
    <w:rsid w:val="00961A4B"/>
    <w:rsid w:val="00962651"/>
    <w:rsid w:val="00963ACA"/>
    <w:rsid w:val="00963D17"/>
    <w:rsid w:val="00963FCF"/>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9E3"/>
    <w:rsid w:val="00975A47"/>
    <w:rsid w:val="00975C97"/>
    <w:rsid w:val="00975DA0"/>
    <w:rsid w:val="00975E26"/>
    <w:rsid w:val="00976086"/>
    <w:rsid w:val="0097630B"/>
    <w:rsid w:val="00976695"/>
    <w:rsid w:val="0097674D"/>
    <w:rsid w:val="00976DE8"/>
    <w:rsid w:val="00976ECC"/>
    <w:rsid w:val="00977123"/>
    <w:rsid w:val="00977A07"/>
    <w:rsid w:val="00977E4D"/>
    <w:rsid w:val="00980088"/>
    <w:rsid w:val="009802BE"/>
    <w:rsid w:val="0098056F"/>
    <w:rsid w:val="0098061A"/>
    <w:rsid w:val="009806D0"/>
    <w:rsid w:val="00980797"/>
    <w:rsid w:val="00980A1D"/>
    <w:rsid w:val="00980BA4"/>
    <w:rsid w:val="00981022"/>
    <w:rsid w:val="009811B6"/>
    <w:rsid w:val="009812A4"/>
    <w:rsid w:val="00981674"/>
    <w:rsid w:val="00981BC6"/>
    <w:rsid w:val="00981D7F"/>
    <w:rsid w:val="00981F92"/>
    <w:rsid w:val="0098227B"/>
    <w:rsid w:val="00982413"/>
    <w:rsid w:val="009826E4"/>
    <w:rsid w:val="00983300"/>
    <w:rsid w:val="009834C6"/>
    <w:rsid w:val="0098358B"/>
    <w:rsid w:val="00983722"/>
    <w:rsid w:val="009837CE"/>
    <w:rsid w:val="0098382E"/>
    <w:rsid w:val="009838B0"/>
    <w:rsid w:val="00983BB5"/>
    <w:rsid w:val="009844E3"/>
    <w:rsid w:val="00984774"/>
    <w:rsid w:val="009849B1"/>
    <w:rsid w:val="00984D06"/>
    <w:rsid w:val="00984DAA"/>
    <w:rsid w:val="00984F2F"/>
    <w:rsid w:val="00985131"/>
    <w:rsid w:val="00985477"/>
    <w:rsid w:val="009854D3"/>
    <w:rsid w:val="00985B7F"/>
    <w:rsid w:val="00985BFA"/>
    <w:rsid w:val="00985C85"/>
    <w:rsid w:val="00986050"/>
    <w:rsid w:val="00986202"/>
    <w:rsid w:val="009865AD"/>
    <w:rsid w:val="009867A0"/>
    <w:rsid w:val="0098699F"/>
    <w:rsid w:val="0098791E"/>
    <w:rsid w:val="00987C10"/>
    <w:rsid w:val="00987DC9"/>
    <w:rsid w:val="009901E7"/>
    <w:rsid w:val="00990290"/>
    <w:rsid w:val="0099071D"/>
    <w:rsid w:val="00991E59"/>
    <w:rsid w:val="0099210B"/>
    <w:rsid w:val="009924F0"/>
    <w:rsid w:val="00992F00"/>
    <w:rsid w:val="009937D3"/>
    <w:rsid w:val="00993984"/>
    <w:rsid w:val="00994057"/>
    <w:rsid w:val="00994286"/>
    <w:rsid w:val="009943B0"/>
    <w:rsid w:val="009943CB"/>
    <w:rsid w:val="00994411"/>
    <w:rsid w:val="009945AF"/>
    <w:rsid w:val="0099470F"/>
    <w:rsid w:val="00994BAE"/>
    <w:rsid w:val="00994F46"/>
    <w:rsid w:val="00995077"/>
    <w:rsid w:val="0099534F"/>
    <w:rsid w:val="0099537E"/>
    <w:rsid w:val="00995EAA"/>
    <w:rsid w:val="00995FF5"/>
    <w:rsid w:val="00996319"/>
    <w:rsid w:val="009964E2"/>
    <w:rsid w:val="0099673D"/>
    <w:rsid w:val="00996B27"/>
    <w:rsid w:val="00996D56"/>
    <w:rsid w:val="00997CBE"/>
    <w:rsid w:val="009A0037"/>
    <w:rsid w:val="009A08FE"/>
    <w:rsid w:val="009A0CB4"/>
    <w:rsid w:val="009A0DC1"/>
    <w:rsid w:val="009A17FB"/>
    <w:rsid w:val="009A18C3"/>
    <w:rsid w:val="009A191D"/>
    <w:rsid w:val="009A19FA"/>
    <w:rsid w:val="009A1E12"/>
    <w:rsid w:val="009A311B"/>
    <w:rsid w:val="009A32C9"/>
    <w:rsid w:val="009A3BEB"/>
    <w:rsid w:val="009A3C7B"/>
    <w:rsid w:val="009A4150"/>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1E81"/>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621E"/>
    <w:rsid w:val="009B6B1C"/>
    <w:rsid w:val="009B6CA0"/>
    <w:rsid w:val="009B6EAA"/>
    <w:rsid w:val="009B6FF9"/>
    <w:rsid w:val="009B70CF"/>
    <w:rsid w:val="009B71F5"/>
    <w:rsid w:val="009B722F"/>
    <w:rsid w:val="009B72B0"/>
    <w:rsid w:val="009B72CE"/>
    <w:rsid w:val="009B7E11"/>
    <w:rsid w:val="009C0245"/>
    <w:rsid w:val="009C02EF"/>
    <w:rsid w:val="009C0AC2"/>
    <w:rsid w:val="009C0B73"/>
    <w:rsid w:val="009C0E59"/>
    <w:rsid w:val="009C15AC"/>
    <w:rsid w:val="009C1AD3"/>
    <w:rsid w:val="009C2410"/>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CAC"/>
    <w:rsid w:val="009C4FC1"/>
    <w:rsid w:val="009C55B3"/>
    <w:rsid w:val="009C5963"/>
    <w:rsid w:val="009C5F00"/>
    <w:rsid w:val="009C613A"/>
    <w:rsid w:val="009C6232"/>
    <w:rsid w:val="009C6966"/>
    <w:rsid w:val="009C6A0E"/>
    <w:rsid w:val="009C6A2C"/>
    <w:rsid w:val="009C6C76"/>
    <w:rsid w:val="009C6FF8"/>
    <w:rsid w:val="009C70DC"/>
    <w:rsid w:val="009C7187"/>
    <w:rsid w:val="009C7447"/>
    <w:rsid w:val="009C7A5C"/>
    <w:rsid w:val="009C7A61"/>
    <w:rsid w:val="009C7B7E"/>
    <w:rsid w:val="009C7C97"/>
    <w:rsid w:val="009C7ED1"/>
    <w:rsid w:val="009C7EF3"/>
    <w:rsid w:val="009D0A5C"/>
    <w:rsid w:val="009D0A99"/>
    <w:rsid w:val="009D0E73"/>
    <w:rsid w:val="009D19F9"/>
    <w:rsid w:val="009D1F57"/>
    <w:rsid w:val="009D21F3"/>
    <w:rsid w:val="009D2282"/>
    <w:rsid w:val="009D2551"/>
    <w:rsid w:val="009D26A5"/>
    <w:rsid w:val="009D2B3A"/>
    <w:rsid w:val="009D2C07"/>
    <w:rsid w:val="009D2C6F"/>
    <w:rsid w:val="009D3B21"/>
    <w:rsid w:val="009D3BDB"/>
    <w:rsid w:val="009D3E49"/>
    <w:rsid w:val="009D4556"/>
    <w:rsid w:val="009D457B"/>
    <w:rsid w:val="009D483E"/>
    <w:rsid w:val="009D4A70"/>
    <w:rsid w:val="009D4BF2"/>
    <w:rsid w:val="009D4CFD"/>
    <w:rsid w:val="009D5227"/>
    <w:rsid w:val="009D5387"/>
    <w:rsid w:val="009D5985"/>
    <w:rsid w:val="009D5BA1"/>
    <w:rsid w:val="009D5C76"/>
    <w:rsid w:val="009D5CD6"/>
    <w:rsid w:val="009D601F"/>
    <w:rsid w:val="009D6266"/>
    <w:rsid w:val="009D6820"/>
    <w:rsid w:val="009D6EEA"/>
    <w:rsid w:val="009D7261"/>
    <w:rsid w:val="009D72F9"/>
    <w:rsid w:val="009D7A63"/>
    <w:rsid w:val="009D7DE9"/>
    <w:rsid w:val="009D7FB6"/>
    <w:rsid w:val="009D7FD6"/>
    <w:rsid w:val="009E009B"/>
    <w:rsid w:val="009E014B"/>
    <w:rsid w:val="009E0BDC"/>
    <w:rsid w:val="009E134F"/>
    <w:rsid w:val="009E16A1"/>
    <w:rsid w:val="009E19F6"/>
    <w:rsid w:val="009E1C18"/>
    <w:rsid w:val="009E1C26"/>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86"/>
    <w:rsid w:val="009E48DA"/>
    <w:rsid w:val="009E48E5"/>
    <w:rsid w:val="009E48EB"/>
    <w:rsid w:val="009E496A"/>
    <w:rsid w:val="009E4AA8"/>
    <w:rsid w:val="009E4C6D"/>
    <w:rsid w:val="009E4D0E"/>
    <w:rsid w:val="009E5180"/>
    <w:rsid w:val="009E5280"/>
    <w:rsid w:val="009E5380"/>
    <w:rsid w:val="009E58BD"/>
    <w:rsid w:val="009E5AB0"/>
    <w:rsid w:val="009E5C2A"/>
    <w:rsid w:val="009E6017"/>
    <w:rsid w:val="009E65B9"/>
    <w:rsid w:val="009E66BC"/>
    <w:rsid w:val="009E677C"/>
    <w:rsid w:val="009E6ABC"/>
    <w:rsid w:val="009E708B"/>
    <w:rsid w:val="009E71AD"/>
    <w:rsid w:val="009E720E"/>
    <w:rsid w:val="009E72CC"/>
    <w:rsid w:val="009E75B9"/>
    <w:rsid w:val="009E7AF4"/>
    <w:rsid w:val="009E7CFF"/>
    <w:rsid w:val="009E7EAF"/>
    <w:rsid w:val="009E7EC6"/>
    <w:rsid w:val="009E7F33"/>
    <w:rsid w:val="009F0CDA"/>
    <w:rsid w:val="009F0FF8"/>
    <w:rsid w:val="009F1267"/>
    <w:rsid w:val="009F1418"/>
    <w:rsid w:val="009F179B"/>
    <w:rsid w:val="009F1A40"/>
    <w:rsid w:val="009F1CA4"/>
    <w:rsid w:val="009F229D"/>
    <w:rsid w:val="009F23EB"/>
    <w:rsid w:val="009F2510"/>
    <w:rsid w:val="009F2A71"/>
    <w:rsid w:val="009F2CEC"/>
    <w:rsid w:val="009F338D"/>
    <w:rsid w:val="009F3412"/>
    <w:rsid w:val="009F37B5"/>
    <w:rsid w:val="009F3D4E"/>
    <w:rsid w:val="009F4147"/>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89D"/>
    <w:rsid w:val="009F7915"/>
    <w:rsid w:val="009F7B27"/>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0BC"/>
    <w:rsid w:val="00A051A6"/>
    <w:rsid w:val="00A0544B"/>
    <w:rsid w:val="00A059B4"/>
    <w:rsid w:val="00A05D57"/>
    <w:rsid w:val="00A05FB8"/>
    <w:rsid w:val="00A066C9"/>
    <w:rsid w:val="00A06BED"/>
    <w:rsid w:val="00A07161"/>
    <w:rsid w:val="00A07717"/>
    <w:rsid w:val="00A07B83"/>
    <w:rsid w:val="00A07DDB"/>
    <w:rsid w:val="00A10286"/>
    <w:rsid w:val="00A105E8"/>
    <w:rsid w:val="00A10985"/>
    <w:rsid w:val="00A10AE5"/>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0DD"/>
    <w:rsid w:val="00A1462A"/>
    <w:rsid w:val="00A14737"/>
    <w:rsid w:val="00A1478E"/>
    <w:rsid w:val="00A1495C"/>
    <w:rsid w:val="00A149E6"/>
    <w:rsid w:val="00A14C95"/>
    <w:rsid w:val="00A14D96"/>
    <w:rsid w:val="00A14F77"/>
    <w:rsid w:val="00A14F8D"/>
    <w:rsid w:val="00A15090"/>
    <w:rsid w:val="00A1513E"/>
    <w:rsid w:val="00A155BB"/>
    <w:rsid w:val="00A15638"/>
    <w:rsid w:val="00A15C92"/>
    <w:rsid w:val="00A15F5E"/>
    <w:rsid w:val="00A15F91"/>
    <w:rsid w:val="00A15FBC"/>
    <w:rsid w:val="00A15FD9"/>
    <w:rsid w:val="00A160B8"/>
    <w:rsid w:val="00A16775"/>
    <w:rsid w:val="00A167F5"/>
    <w:rsid w:val="00A16954"/>
    <w:rsid w:val="00A16AE5"/>
    <w:rsid w:val="00A16DD1"/>
    <w:rsid w:val="00A17500"/>
    <w:rsid w:val="00A1785F"/>
    <w:rsid w:val="00A202ED"/>
    <w:rsid w:val="00A203F9"/>
    <w:rsid w:val="00A20AEA"/>
    <w:rsid w:val="00A20B3E"/>
    <w:rsid w:val="00A20B90"/>
    <w:rsid w:val="00A20BB9"/>
    <w:rsid w:val="00A20F52"/>
    <w:rsid w:val="00A210D8"/>
    <w:rsid w:val="00A21508"/>
    <w:rsid w:val="00A21BA3"/>
    <w:rsid w:val="00A21EC1"/>
    <w:rsid w:val="00A22495"/>
    <w:rsid w:val="00A224AE"/>
    <w:rsid w:val="00A2255C"/>
    <w:rsid w:val="00A2257B"/>
    <w:rsid w:val="00A225DC"/>
    <w:rsid w:val="00A228DC"/>
    <w:rsid w:val="00A22B95"/>
    <w:rsid w:val="00A22C40"/>
    <w:rsid w:val="00A230FA"/>
    <w:rsid w:val="00A2370E"/>
    <w:rsid w:val="00A23A2A"/>
    <w:rsid w:val="00A23DDA"/>
    <w:rsid w:val="00A23EEB"/>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C10"/>
    <w:rsid w:val="00A26D6D"/>
    <w:rsid w:val="00A27899"/>
    <w:rsid w:val="00A30449"/>
    <w:rsid w:val="00A305C7"/>
    <w:rsid w:val="00A3082E"/>
    <w:rsid w:val="00A308F5"/>
    <w:rsid w:val="00A309C0"/>
    <w:rsid w:val="00A30CE6"/>
    <w:rsid w:val="00A30F5E"/>
    <w:rsid w:val="00A31196"/>
    <w:rsid w:val="00A3119C"/>
    <w:rsid w:val="00A311AD"/>
    <w:rsid w:val="00A317E2"/>
    <w:rsid w:val="00A318E5"/>
    <w:rsid w:val="00A319B6"/>
    <w:rsid w:val="00A319BC"/>
    <w:rsid w:val="00A31A4A"/>
    <w:rsid w:val="00A31C0A"/>
    <w:rsid w:val="00A31C4C"/>
    <w:rsid w:val="00A31F25"/>
    <w:rsid w:val="00A32332"/>
    <w:rsid w:val="00A32582"/>
    <w:rsid w:val="00A32C2C"/>
    <w:rsid w:val="00A32D11"/>
    <w:rsid w:val="00A32EF3"/>
    <w:rsid w:val="00A338DA"/>
    <w:rsid w:val="00A33D39"/>
    <w:rsid w:val="00A33E06"/>
    <w:rsid w:val="00A34035"/>
    <w:rsid w:val="00A3404D"/>
    <w:rsid w:val="00A343BC"/>
    <w:rsid w:val="00A348CD"/>
    <w:rsid w:val="00A3507F"/>
    <w:rsid w:val="00A354C7"/>
    <w:rsid w:val="00A354C9"/>
    <w:rsid w:val="00A356FA"/>
    <w:rsid w:val="00A357E2"/>
    <w:rsid w:val="00A35807"/>
    <w:rsid w:val="00A359E5"/>
    <w:rsid w:val="00A35EE4"/>
    <w:rsid w:val="00A363E2"/>
    <w:rsid w:val="00A3649C"/>
    <w:rsid w:val="00A3678C"/>
    <w:rsid w:val="00A368E7"/>
    <w:rsid w:val="00A3690E"/>
    <w:rsid w:val="00A36A2D"/>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4FF2"/>
    <w:rsid w:val="00A4513F"/>
    <w:rsid w:val="00A45344"/>
    <w:rsid w:val="00A45397"/>
    <w:rsid w:val="00A453F3"/>
    <w:rsid w:val="00A455C5"/>
    <w:rsid w:val="00A457CD"/>
    <w:rsid w:val="00A45B28"/>
    <w:rsid w:val="00A46091"/>
    <w:rsid w:val="00A46391"/>
    <w:rsid w:val="00A46CF9"/>
    <w:rsid w:val="00A46D3E"/>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0F7"/>
    <w:rsid w:val="00A53144"/>
    <w:rsid w:val="00A53819"/>
    <w:rsid w:val="00A53984"/>
    <w:rsid w:val="00A539D6"/>
    <w:rsid w:val="00A53CB5"/>
    <w:rsid w:val="00A53D29"/>
    <w:rsid w:val="00A53E58"/>
    <w:rsid w:val="00A544FE"/>
    <w:rsid w:val="00A54B33"/>
    <w:rsid w:val="00A54B3A"/>
    <w:rsid w:val="00A54B42"/>
    <w:rsid w:val="00A54D20"/>
    <w:rsid w:val="00A552D2"/>
    <w:rsid w:val="00A55981"/>
    <w:rsid w:val="00A55D6D"/>
    <w:rsid w:val="00A55FAF"/>
    <w:rsid w:val="00A55FD3"/>
    <w:rsid w:val="00A562B5"/>
    <w:rsid w:val="00A56340"/>
    <w:rsid w:val="00A564E8"/>
    <w:rsid w:val="00A568E9"/>
    <w:rsid w:val="00A56EBD"/>
    <w:rsid w:val="00A574EB"/>
    <w:rsid w:val="00A5756B"/>
    <w:rsid w:val="00A57588"/>
    <w:rsid w:val="00A5765C"/>
    <w:rsid w:val="00A57EE0"/>
    <w:rsid w:val="00A6003F"/>
    <w:rsid w:val="00A601D3"/>
    <w:rsid w:val="00A6056F"/>
    <w:rsid w:val="00A60644"/>
    <w:rsid w:val="00A609E3"/>
    <w:rsid w:val="00A60C96"/>
    <w:rsid w:val="00A60D11"/>
    <w:rsid w:val="00A60F2C"/>
    <w:rsid w:val="00A60F90"/>
    <w:rsid w:val="00A613B1"/>
    <w:rsid w:val="00A62188"/>
    <w:rsid w:val="00A625ED"/>
    <w:rsid w:val="00A62731"/>
    <w:rsid w:val="00A62C5D"/>
    <w:rsid w:val="00A62CCC"/>
    <w:rsid w:val="00A63858"/>
    <w:rsid w:val="00A6386C"/>
    <w:rsid w:val="00A638B5"/>
    <w:rsid w:val="00A63CA1"/>
    <w:rsid w:val="00A63D0B"/>
    <w:rsid w:val="00A63DF9"/>
    <w:rsid w:val="00A640FC"/>
    <w:rsid w:val="00A6425E"/>
    <w:rsid w:val="00A64546"/>
    <w:rsid w:val="00A64F1C"/>
    <w:rsid w:val="00A64FFD"/>
    <w:rsid w:val="00A6520F"/>
    <w:rsid w:val="00A652B6"/>
    <w:rsid w:val="00A65CBE"/>
    <w:rsid w:val="00A65D72"/>
    <w:rsid w:val="00A66663"/>
    <w:rsid w:val="00A669B8"/>
    <w:rsid w:val="00A66D78"/>
    <w:rsid w:val="00A6706E"/>
    <w:rsid w:val="00A671B2"/>
    <w:rsid w:val="00A671F3"/>
    <w:rsid w:val="00A6733E"/>
    <w:rsid w:val="00A673E5"/>
    <w:rsid w:val="00A674D4"/>
    <w:rsid w:val="00A67D06"/>
    <w:rsid w:val="00A67D4D"/>
    <w:rsid w:val="00A70B34"/>
    <w:rsid w:val="00A70BF9"/>
    <w:rsid w:val="00A711BE"/>
    <w:rsid w:val="00A71583"/>
    <w:rsid w:val="00A71E6A"/>
    <w:rsid w:val="00A71FCA"/>
    <w:rsid w:val="00A71FEF"/>
    <w:rsid w:val="00A722C7"/>
    <w:rsid w:val="00A724D9"/>
    <w:rsid w:val="00A72F92"/>
    <w:rsid w:val="00A73232"/>
    <w:rsid w:val="00A733D7"/>
    <w:rsid w:val="00A73689"/>
    <w:rsid w:val="00A73B3F"/>
    <w:rsid w:val="00A73B69"/>
    <w:rsid w:val="00A73ECE"/>
    <w:rsid w:val="00A740A3"/>
    <w:rsid w:val="00A740B0"/>
    <w:rsid w:val="00A74B08"/>
    <w:rsid w:val="00A74C31"/>
    <w:rsid w:val="00A74C41"/>
    <w:rsid w:val="00A74E6C"/>
    <w:rsid w:val="00A74F2B"/>
    <w:rsid w:val="00A752D4"/>
    <w:rsid w:val="00A7535E"/>
    <w:rsid w:val="00A7544B"/>
    <w:rsid w:val="00A7561F"/>
    <w:rsid w:val="00A75996"/>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65"/>
    <w:rsid w:val="00A815A3"/>
    <w:rsid w:val="00A815C3"/>
    <w:rsid w:val="00A81848"/>
    <w:rsid w:val="00A8199D"/>
    <w:rsid w:val="00A81B38"/>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66"/>
    <w:rsid w:val="00A85CDC"/>
    <w:rsid w:val="00A8612B"/>
    <w:rsid w:val="00A862BF"/>
    <w:rsid w:val="00A862F6"/>
    <w:rsid w:val="00A863B6"/>
    <w:rsid w:val="00A863E0"/>
    <w:rsid w:val="00A8644D"/>
    <w:rsid w:val="00A86682"/>
    <w:rsid w:val="00A86880"/>
    <w:rsid w:val="00A86B40"/>
    <w:rsid w:val="00A86E9A"/>
    <w:rsid w:val="00A86FBA"/>
    <w:rsid w:val="00A87508"/>
    <w:rsid w:val="00A87910"/>
    <w:rsid w:val="00A87B77"/>
    <w:rsid w:val="00A900AC"/>
    <w:rsid w:val="00A904AC"/>
    <w:rsid w:val="00A9060A"/>
    <w:rsid w:val="00A90783"/>
    <w:rsid w:val="00A90A42"/>
    <w:rsid w:val="00A90F00"/>
    <w:rsid w:val="00A9113C"/>
    <w:rsid w:val="00A9146B"/>
    <w:rsid w:val="00A9196A"/>
    <w:rsid w:val="00A92012"/>
    <w:rsid w:val="00A92E54"/>
    <w:rsid w:val="00A92E7C"/>
    <w:rsid w:val="00A93119"/>
    <w:rsid w:val="00A9316B"/>
    <w:rsid w:val="00A93C10"/>
    <w:rsid w:val="00A93C32"/>
    <w:rsid w:val="00A93ED0"/>
    <w:rsid w:val="00A93F68"/>
    <w:rsid w:val="00A93FDF"/>
    <w:rsid w:val="00A941C5"/>
    <w:rsid w:val="00A943ED"/>
    <w:rsid w:val="00A9478B"/>
    <w:rsid w:val="00A949DB"/>
    <w:rsid w:val="00A95004"/>
    <w:rsid w:val="00A953CC"/>
    <w:rsid w:val="00A95929"/>
    <w:rsid w:val="00A95A2A"/>
    <w:rsid w:val="00A95A5A"/>
    <w:rsid w:val="00A95A83"/>
    <w:rsid w:val="00A95B32"/>
    <w:rsid w:val="00A95DF0"/>
    <w:rsid w:val="00A96164"/>
    <w:rsid w:val="00A962A4"/>
    <w:rsid w:val="00A96424"/>
    <w:rsid w:val="00A96456"/>
    <w:rsid w:val="00A969BF"/>
    <w:rsid w:val="00A96A9D"/>
    <w:rsid w:val="00A974BB"/>
    <w:rsid w:val="00A97508"/>
    <w:rsid w:val="00A97961"/>
    <w:rsid w:val="00A97B5F"/>
    <w:rsid w:val="00AA0121"/>
    <w:rsid w:val="00AA0268"/>
    <w:rsid w:val="00AA08E3"/>
    <w:rsid w:val="00AA094A"/>
    <w:rsid w:val="00AA0ACC"/>
    <w:rsid w:val="00AA0E2B"/>
    <w:rsid w:val="00AA0EB9"/>
    <w:rsid w:val="00AA1075"/>
    <w:rsid w:val="00AA1809"/>
    <w:rsid w:val="00AA194B"/>
    <w:rsid w:val="00AA199C"/>
    <w:rsid w:val="00AA1AAB"/>
    <w:rsid w:val="00AA217C"/>
    <w:rsid w:val="00AA225E"/>
    <w:rsid w:val="00AA2382"/>
    <w:rsid w:val="00AA26AE"/>
    <w:rsid w:val="00AA26CC"/>
    <w:rsid w:val="00AA2E6A"/>
    <w:rsid w:val="00AA2F5A"/>
    <w:rsid w:val="00AA3704"/>
    <w:rsid w:val="00AA390E"/>
    <w:rsid w:val="00AA3E01"/>
    <w:rsid w:val="00AA3F38"/>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3BF"/>
    <w:rsid w:val="00AB152A"/>
    <w:rsid w:val="00AB157E"/>
    <w:rsid w:val="00AB18C2"/>
    <w:rsid w:val="00AB1F27"/>
    <w:rsid w:val="00AB1FFB"/>
    <w:rsid w:val="00AB2031"/>
    <w:rsid w:val="00AB23F4"/>
    <w:rsid w:val="00AB2A29"/>
    <w:rsid w:val="00AB2B11"/>
    <w:rsid w:val="00AB2C83"/>
    <w:rsid w:val="00AB309F"/>
    <w:rsid w:val="00AB33B6"/>
    <w:rsid w:val="00AB3598"/>
    <w:rsid w:val="00AB37BB"/>
    <w:rsid w:val="00AB3B26"/>
    <w:rsid w:val="00AB3E57"/>
    <w:rsid w:val="00AB403C"/>
    <w:rsid w:val="00AB40DD"/>
    <w:rsid w:val="00AB4656"/>
    <w:rsid w:val="00AB482D"/>
    <w:rsid w:val="00AB48E1"/>
    <w:rsid w:val="00AB4B3A"/>
    <w:rsid w:val="00AB4BE9"/>
    <w:rsid w:val="00AB4DB4"/>
    <w:rsid w:val="00AB4DF7"/>
    <w:rsid w:val="00AB5066"/>
    <w:rsid w:val="00AB5809"/>
    <w:rsid w:val="00AB5895"/>
    <w:rsid w:val="00AB5FC2"/>
    <w:rsid w:val="00AB620A"/>
    <w:rsid w:val="00AB641A"/>
    <w:rsid w:val="00AB6DEA"/>
    <w:rsid w:val="00AB7378"/>
    <w:rsid w:val="00AB743B"/>
    <w:rsid w:val="00AB78CD"/>
    <w:rsid w:val="00AB792A"/>
    <w:rsid w:val="00AB797A"/>
    <w:rsid w:val="00AB7BDD"/>
    <w:rsid w:val="00AB7E72"/>
    <w:rsid w:val="00AC0202"/>
    <w:rsid w:val="00AC0218"/>
    <w:rsid w:val="00AC021D"/>
    <w:rsid w:val="00AC0DF3"/>
    <w:rsid w:val="00AC116D"/>
    <w:rsid w:val="00AC15C7"/>
    <w:rsid w:val="00AC15D5"/>
    <w:rsid w:val="00AC1AF7"/>
    <w:rsid w:val="00AC2804"/>
    <w:rsid w:val="00AC29F8"/>
    <w:rsid w:val="00AC2C64"/>
    <w:rsid w:val="00AC34BD"/>
    <w:rsid w:val="00AC34F4"/>
    <w:rsid w:val="00AC3E8A"/>
    <w:rsid w:val="00AC403A"/>
    <w:rsid w:val="00AC45AF"/>
    <w:rsid w:val="00AC4921"/>
    <w:rsid w:val="00AC4C0B"/>
    <w:rsid w:val="00AC4E36"/>
    <w:rsid w:val="00AC59C2"/>
    <w:rsid w:val="00AC5A23"/>
    <w:rsid w:val="00AC5BB8"/>
    <w:rsid w:val="00AC60E9"/>
    <w:rsid w:val="00AC6671"/>
    <w:rsid w:val="00AC70C6"/>
    <w:rsid w:val="00AC75A7"/>
    <w:rsid w:val="00AC7B02"/>
    <w:rsid w:val="00AC7C16"/>
    <w:rsid w:val="00AC7E3A"/>
    <w:rsid w:val="00AD00E6"/>
    <w:rsid w:val="00AD02AF"/>
    <w:rsid w:val="00AD03CF"/>
    <w:rsid w:val="00AD0493"/>
    <w:rsid w:val="00AD0530"/>
    <w:rsid w:val="00AD055C"/>
    <w:rsid w:val="00AD056B"/>
    <w:rsid w:val="00AD06C3"/>
    <w:rsid w:val="00AD0911"/>
    <w:rsid w:val="00AD0B9A"/>
    <w:rsid w:val="00AD1023"/>
    <w:rsid w:val="00AD11D4"/>
    <w:rsid w:val="00AD11FA"/>
    <w:rsid w:val="00AD1204"/>
    <w:rsid w:val="00AD139A"/>
    <w:rsid w:val="00AD14AF"/>
    <w:rsid w:val="00AD14C6"/>
    <w:rsid w:val="00AD15EE"/>
    <w:rsid w:val="00AD173A"/>
    <w:rsid w:val="00AD1801"/>
    <w:rsid w:val="00AD1E90"/>
    <w:rsid w:val="00AD1F8F"/>
    <w:rsid w:val="00AD204F"/>
    <w:rsid w:val="00AD2118"/>
    <w:rsid w:val="00AD23B5"/>
    <w:rsid w:val="00AD283C"/>
    <w:rsid w:val="00AD2873"/>
    <w:rsid w:val="00AD29D9"/>
    <w:rsid w:val="00AD2AB0"/>
    <w:rsid w:val="00AD2AFB"/>
    <w:rsid w:val="00AD2C41"/>
    <w:rsid w:val="00AD2FF3"/>
    <w:rsid w:val="00AD3371"/>
    <w:rsid w:val="00AD347E"/>
    <w:rsid w:val="00AD4629"/>
    <w:rsid w:val="00AD4DD7"/>
    <w:rsid w:val="00AD507F"/>
    <w:rsid w:val="00AD51FD"/>
    <w:rsid w:val="00AD550E"/>
    <w:rsid w:val="00AD59B0"/>
    <w:rsid w:val="00AD5F2F"/>
    <w:rsid w:val="00AD62AB"/>
    <w:rsid w:val="00AD658E"/>
    <w:rsid w:val="00AD6E7C"/>
    <w:rsid w:val="00AD6FF2"/>
    <w:rsid w:val="00AD752B"/>
    <w:rsid w:val="00AE05E2"/>
    <w:rsid w:val="00AE0A60"/>
    <w:rsid w:val="00AE0FC2"/>
    <w:rsid w:val="00AE1710"/>
    <w:rsid w:val="00AE1A9F"/>
    <w:rsid w:val="00AE1B44"/>
    <w:rsid w:val="00AE1D35"/>
    <w:rsid w:val="00AE1FB1"/>
    <w:rsid w:val="00AE27DE"/>
    <w:rsid w:val="00AE2A20"/>
    <w:rsid w:val="00AE2AEE"/>
    <w:rsid w:val="00AE2FB0"/>
    <w:rsid w:val="00AE30C8"/>
    <w:rsid w:val="00AE428C"/>
    <w:rsid w:val="00AE44C3"/>
    <w:rsid w:val="00AE4B21"/>
    <w:rsid w:val="00AE4F58"/>
    <w:rsid w:val="00AE5C10"/>
    <w:rsid w:val="00AE5D9C"/>
    <w:rsid w:val="00AE5EBB"/>
    <w:rsid w:val="00AE6012"/>
    <w:rsid w:val="00AE6095"/>
    <w:rsid w:val="00AE636B"/>
    <w:rsid w:val="00AE68E2"/>
    <w:rsid w:val="00AE6ADF"/>
    <w:rsid w:val="00AE703D"/>
    <w:rsid w:val="00AE7075"/>
    <w:rsid w:val="00AE7203"/>
    <w:rsid w:val="00AE7480"/>
    <w:rsid w:val="00AF005D"/>
    <w:rsid w:val="00AF041E"/>
    <w:rsid w:val="00AF047A"/>
    <w:rsid w:val="00AF04ED"/>
    <w:rsid w:val="00AF0690"/>
    <w:rsid w:val="00AF0787"/>
    <w:rsid w:val="00AF0AAE"/>
    <w:rsid w:val="00AF0B3E"/>
    <w:rsid w:val="00AF0B46"/>
    <w:rsid w:val="00AF1145"/>
    <w:rsid w:val="00AF1C33"/>
    <w:rsid w:val="00AF1E90"/>
    <w:rsid w:val="00AF1F00"/>
    <w:rsid w:val="00AF1F2C"/>
    <w:rsid w:val="00AF215B"/>
    <w:rsid w:val="00AF21E9"/>
    <w:rsid w:val="00AF2397"/>
    <w:rsid w:val="00AF26FB"/>
    <w:rsid w:val="00AF2C8F"/>
    <w:rsid w:val="00AF2D3C"/>
    <w:rsid w:val="00AF3309"/>
    <w:rsid w:val="00AF3761"/>
    <w:rsid w:val="00AF379D"/>
    <w:rsid w:val="00AF37E8"/>
    <w:rsid w:val="00AF3810"/>
    <w:rsid w:val="00AF39CE"/>
    <w:rsid w:val="00AF3E81"/>
    <w:rsid w:val="00AF43D5"/>
    <w:rsid w:val="00AF4654"/>
    <w:rsid w:val="00AF4661"/>
    <w:rsid w:val="00AF47E7"/>
    <w:rsid w:val="00AF491E"/>
    <w:rsid w:val="00AF4A5F"/>
    <w:rsid w:val="00AF4C40"/>
    <w:rsid w:val="00AF4E7A"/>
    <w:rsid w:val="00AF4F56"/>
    <w:rsid w:val="00AF50DA"/>
    <w:rsid w:val="00AF554E"/>
    <w:rsid w:val="00AF5A12"/>
    <w:rsid w:val="00AF5CAA"/>
    <w:rsid w:val="00AF5DB7"/>
    <w:rsid w:val="00AF5F65"/>
    <w:rsid w:val="00AF6D72"/>
    <w:rsid w:val="00AF6F55"/>
    <w:rsid w:val="00AF6F57"/>
    <w:rsid w:val="00AF7468"/>
    <w:rsid w:val="00AF7A9D"/>
    <w:rsid w:val="00B0065B"/>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1C"/>
    <w:rsid w:val="00B03F6E"/>
    <w:rsid w:val="00B0409E"/>
    <w:rsid w:val="00B04BAD"/>
    <w:rsid w:val="00B054EA"/>
    <w:rsid w:val="00B05722"/>
    <w:rsid w:val="00B05852"/>
    <w:rsid w:val="00B05C41"/>
    <w:rsid w:val="00B05ED5"/>
    <w:rsid w:val="00B06713"/>
    <w:rsid w:val="00B06C72"/>
    <w:rsid w:val="00B0735F"/>
    <w:rsid w:val="00B0746F"/>
    <w:rsid w:val="00B07D7C"/>
    <w:rsid w:val="00B108C5"/>
    <w:rsid w:val="00B10AF0"/>
    <w:rsid w:val="00B10BCE"/>
    <w:rsid w:val="00B10C85"/>
    <w:rsid w:val="00B117C6"/>
    <w:rsid w:val="00B1193F"/>
    <w:rsid w:val="00B11D5D"/>
    <w:rsid w:val="00B11E41"/>
    <w:rsid w:val="00B11E4E"/>
    <w:rsid w:val="00B12100"/>
    <w:rsid w:val="00B12889"/>
    <w:rsid w:val="00B12891"/>
    <w:rsid w:val="00B12AAA"/>
    <w:rsid w:val="00B12BBB"/>
    <w:rsid w:val="00B12E85"/>
    <w:rsid w:val="00B13141"/>
    <w:rsid w:val="00B131F5"/>
    <w:rsid w:val="00B13276"/>
    <w:rsid w:val="00B13331"/>
    <w:rsid w:val="00B13B7E"/>
    <w:rsid w:val="00B13E4A"/>
    <w:rsid w:val="00B13E87"/>
    <w:rsid w:val="00B141B3"/>
    <w:rsid w:val="00B1424B"/>
    <w:rsid w:val="00B143DF"/>
    <w:rsid w:val="00B14BBB"/>
    <w:rsid w:val="00B14BCA"/>
    <w:rsid w:val="00B14BD2"/>
    <w:rsid w:val="00B15036"/>
    <w:rsid w:val="00B15321"/>
    <w:rsid w:val="00B15452"/>
    <w:rsid w:val="00B1593E"/>
    <w:rsid w:val="00B15ABC"/>
    <w:rsid w:val="00B15C2F"/>
    <w:rsid w:val="00B15EAF"/>
    <w:rsid w:val="00B15F5A"/>
    <w:rsid w:val="00B15F9E"/>
    <w:rsid w:val="00B167F5"/>
    <w:rsid w:val="00B16912"/>
    <w:rsid w:val="00B16A40"/>
    <w:rsid w:val="00B16C0C"/>
    <w:rsid w:val="00B1729B"/>
    <w:rsid w:val="00B17440"/>
    <w:rsid w:val="00B175B5"/>
    <w:rsid w:val="00B17A42"/>
    <w:rsid w:val="00B17AA5"/>
    <w:rsid w:val="00B17C02"/>
    <w:rsid w:val="00B17D52"/>
    <w:rsid w:val="00B20340"/>
    <w:rsid w:val="00B2040C"/>
    <w:rsid w:val="00B2063E"/>
    <w:rsid w:val="00B20F73"/>
    <w:rsid w:val="00B20FAA"/>
    <w:rsid w:val="00B21AA3"/>
    <w:rsid w:val="00B21BB8"/>
    <w:rsid w:val="00B2219C"/>
    <w:rsid w:val="00B2248F"/>
    <w:rsid w:val="00B22578"/>
    <w:rsid w:val="00B22594"/>
    <w:rsid w:val="00B22644"/>
    <w:rsid w:val="00B22D32"/>
    <w:rsid w:val="00B22D9C"/>
    <w:rsid w:val="00B22E0A"/>
    <w:rsid w:val="00B22E59"/>
    <w:rsid w:val="00B23038"/>
    <w:rsid w:val="00B23143"/>
    <w:rsid w:val="00B23337"/>
    <w:rsid w:val="00B23502"/>
    <w:rsid w:val="00B2450C"/>
    <w:rsid w:val="00B2467D"/>
    <w:rsid w:val="00B24E89"/>
    <w:rsid w:val="00B24FC9"/>
    <w:rsid w:val="00B25556"/>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C88"/>
    <w:rsid w:val="00B35E34"/>
    <w:rsid w:val="00B3642C"/>
    <w:rsid w:val="00B3655A"/>
    <w:rsid w:val="00B36703"/>
    <w:rsid w:val="00B3677B"/>
    <w:rsid w:val="00B367D3"/>
    <w:rsid w:val="00B368FE"/>
    <w:rsid w:val="00B36AE3"/>
    <w:rsid w:val="00B3745E"/>
    <w:rsid w:val="00B375CF"/>
    <w:rsid w:val="00B37873"/>
    <w:rsid w:val="00B379CF"/>
    <w:rsid w:val="00B37A2E"/>
    <w:rsid w:val="00B37FEC"/>
    <w:rsid w:val="00B40176"/>
    <w:rsid w:val="00B406C9"/>
    <w:rsid w:val="00B409A0"/>
    <w:rsid w:val="00B411AC"/>
    <w:rsid w:val="00B414E5"/>
    <w:rsid w:val="00B416AC"/>
    <w:rsid w:val="00B41B43"/>
    <w:rsid w:val="00B41B5A"/>
    <w:rsid w:val="00B41DD2"/>
    <w:rsid w:val="00B42BC5"/>
    <w:rsid w:val="00B42BFD"/>
    <w:rsid w:val="00B42D26"/>
    <w:rsid w:val="00B42F6B"/>
    <w:rsid w:val="00B431BD"/>
    <w:rsid w:val="00B4325E"/>
    <w:rsid w:val="00B43FEC"/>
    <w:rsid w:val="00B441F3"/>
    <w:rsid w:val="00B44886"/>
    <w:rsid w:val="00B4553B"/>
    <w:rsid w:val="00B4554E"/>
    <w:rsid w:val="00B4559F"/>
    <w:rsid w:val="00B45904"/>
    <w:rsid w:val="00B45A02"/>
    <w:rsid w:val="00B45C67"/>
    <w:rsid w:val="00B45CF8"/>
    <w:rsid w:val="00B45F1D"/>
    <w:rsid w:val="00B45F54"/>
    <w:rsid w:val="00B46006"/>
    <w:rsid w:val="00B4615D"/>
    <w:rsid w:val="00B4680C"/>
    <w:rsid w:val="00B46B13"/>
    <w:rsid w:val="00B46C25"/>
    <w:rsid w:val="00B46C86"/>
    <w:rsid w:val="00B47047"/>
    <w:rsid w:val="00B47827"/>
    <w:rsid w:val="00B47AAB"/>
    <w:rsid w:val="00B5007C"/>
    <w:rsid w:val="00B5045C"/>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4C0"/>
    <w:rsid w:val="00B5677E"/>
    <w:rsid w:val="00B56A4D"/>
    <w:rsid w:val="00B56F6D"/>
    <w:rsid w:val="00B570EE"/>
    <w:rsid w:val="00B57391"/>
    <w:rsid w:val="00B57791"/>
    <w:rsid w:val="00B57840"/>
    <w:rsid w:val="00B57E69"/>
    <w:rsid w:val="00B6055E"/>
    <w:rsid w:val="00B60677"/>
    <w:rsid w:val="00B609A0"/>
    <w:rsid w:val="00B60C31"/>
    <w:rsid w:val="00B61319"/>
    <w:rsid w:val="00B617B7"/>
    <w:rsid w:val="00B61E74"/>
    <w:rsid w:val="00B622A9"/>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801"/>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49C"/>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A77"/>
    <w:rsid w:val="00B76B5B"/>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38B"/>
    <w:rsid w:val="00B837F1"/>
    <w:rsid w:val="00B83C1E"/>
    <w:rsid w:val="00B83FF0"/>
    <w:rsid w:val="00B84198"/>
    <w:rsid w:val="00B848C2"/>
    <w:rsid w:val="00B85392"/>
    <w:rsid w:val="00B8569B"/>
    <w:rsid w:val="00B85A66"/>
    <w:rsid w:val="00B85CED"/>
    <w:rsid w:val="00B85D1D"/>
    <w:rsid w:val="00B85D54"/>
    <w:rsid w:val="00B86096"/>
    <w:rsid w:val="00B864B6"/>
    <w:rsid w:val="00B864F6"/>
    <w:rsid w:val="00B86585"/>
    <w:rsid w:val="00B86699"/>
    <w:rsid w:val="00B86BAC"/>
    <w:rsid w:val="00B87699"/>
    <w:rsid w:val="00B879C3"/>
    <w:rsid w:val="00B87B03"/>
    <w:rsid w:val="00B87F32"/>
    <w:rsid w:val="00B87F6D"/>
    <w:rsid w:val="00B90146"/>
    <w:rsid w:val="00B908BC"/>
    <w:rsid w:val="00B909E2"/>
    <w:rsid w:val="00B90A53"/>
    <w:rsid w:val="00B90E8B"/>
    <w:rsid w:val="00B91187"/>
    <w:rsid w:val="00B916B1"/>
    <w:rsid w:val="00B91FA7"/>
    <w:rsid w:val="00B921E4"/>
    <w:rsid w:val="00B92206"/>
    <w:rsid w:val="00B9230F"/>
    <w:rsid w:val="00B92320"/>
    <w:rsid w:val="00B923D8"/>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BA2"/>
    <w:rsid w:val="00B94FA7"/>
    <w:rsid w:val="00B9507A"/>
    <w:rsid w:val="00B950A8"/>
    <w:rsid w:val="00B956BA"/>
    <w:rsid w:val="00B95A41"/>
    <w:rsid w:val="00B95B1E"/>
    <w:rsid w:val="00B95BD2"/>
    <w:rsid w:val="00B95FB5"/>
    <w:rsid w:val="00B96269"/>
    <w:rsid w:val="00B962D3"/>
    <w:rsid w:val="00B96407"/>
    <w:rsid w:val="00B96468"/>
    <w:rsid w:val="00B96C87"/>
    <w:rsid w:val="00B96D4E"/>
    <w:rsid w:val="00B96FB0"/>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C95"/>
    <w:rsid w:val="00BA4F09"/>
    <w:rsid w:val="00BA5077"/>
    <w:rsid w:val="00BA508C"/>
    <w:rsid w:val="00BA5302"/>
    <w:rsid w:val="00BA531B"/>
    <w:rsid w:val="00BA543E"/>
    <w:rsid w:val="00BA5453"/>
    <w:rsid w:val="00BA5B05"/>
    <w:rsid w:val="00BA5C32"/>
    <w:rsid w:val="00BA5C56"/>
    <w:rsid w:val="00BA5D2E"/>
    <w:rsid w:val="00BA5E98"/>
    <w:rsid w:val="00BA6429"/>
    <w:rsid w:val="00BA64A2"/>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7CD"/>
    <w:rsid w:val="00BB58F3"/>
    <w:rsid w:val="00BB5A7C"/>
    <w:rsid w:val="00BB5CE6"/>
    <w:rsid w:val="00BB5DDF"/>
    <w:rsid w:val="00BB6393"/>
    <w:rsid w:val="00BB71AE"/>
    <w:rsid w:val="00BB73FD"/>
    <w:rsid w:val="00BB747A"/>
    <w:rsid w:val="00BB7629"/>
    <w:rsid w:val="00BB763A"/>
    <w:rsid w:val="00BB77B1"/>
    <w:rsid w:val="00BB7F68"/>
    <w:rsid w:val="00BC002B"/>
    <w:rsid w:val="00BC03BA"/>
    <w:rsid w:val="00BC07E6"/>
    <w:rsid w:val="00BC0849"/>
    <w:rsid w:val="00BC10F4"/>
    <w:rsid w:val="00BC1B87"/>
    <w:rsid w:val="00BC1BA9"/>
    <w:rsid w:val="00BC1CB9"/>
    <w:rsid w:val="00BC1DEC"/>
    <w:rsid w:val="00BC1F03"/>
    <w:rsid w:val="00BC279E"/>
    <w:rsid w:val="00BC2892"/>
    <w:rsid w:val="00BC2935"/>
    <w:rsid w:val="00BC2CE4"/>
    <w:rsid w:val="00BC2D25"/>
    <w:rsid w:val="00BC2F64"/>
    <w:rsid w:val="00BC30C7"/>
    <w:rsid w:val="00BC3486"/>
    <w:rsid w:val="00BC3724"/>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5EAE"/>
    <w:rsid w:val="00BC629F"/>
    <w:rsid w:val="00BC650D"/>
    <w:rsid w:val="00BC6709"/>
    <w:rsid w:val="00BC6776"/>
    <w:rsid w:val="00BC6906"/>
    <w:rsid w:val="00BC699E"/>
    <w:rsid w:val="00BC6CF3"/>
    <w:rsid w:val="00BC7050"/>
    <w:rsid w:val="00BC707F"/>
    <w:rsid w:val="00BC71B2"/>
    <w:rsid w:val="00BC71D2"/>
    <w:rsid w:val="00BC726F"/>
    <w:rsid w:val="00BC7D31"/>
    <w:rsid w:val="00BC7E36"/>
    <w:rsid w:val="00BD006A"/>
    <w:rsid w:val="00BD0933"/>
    <w:rsid w:val="00BD0A17"/>
    <w:rsid w:val="00BD118F"/>
    <w:rsid w:val="00BD1827"/>
    <w:rsid w:val="00BD18F1"/>
    <w:rsid w:val="00BD1B09"/>
    <w:rsid w:val="00BD1BAA"/>
    <w:rsid w:val="00BD1BB7"/>
    <w:rsid w:val="00BD1F8B"/>
    <w:rsid w:val="00BD202B"/>
    <w:rsid w:val="00BD26ED"/>
    <w:rsid w:val="00BD2A0B"/>
    <w:rsid w:val="00BD2A49"/>
    <w:rsid w:val="00BD2CE9"/>
    <w:rsid w:val="00BD2ED8"/>
    <w:rsid w:val="00BD3289"/>
    <w:rsid w:val="00BD3338"/>
    <w:rsid w:val="00BD34BC"/>
    <w:rsid w:val="00BD3DF5"/>
    <w:rsid w:val="00BD3FD1"/>
    <w:rsid w:val="00BD40BF"/>
    <w:rsid w:val="00BD46F3"/>
    <w:rsid w:val="00BD4931"/>
    <w:rsid w:val="00BD4A71"/>
    <w:rsid w:val="00BD4BCC"/>
    <w:rsid w:val="00BD4C54"/>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1E9"/>
    <w:rsid w:val="00BE064C"/>
    <w:rsid w:val="00BE0882"/>
    <w:rsid w:val="00BE0906"/>
    <w:rsid w:val="00BE0BFF"/>
    <w:rsid w:val="00BE0E0F"/>
    <w:rsid w:val="00BE0F4C"/>
    <w:rsid w:val="00BE1054"/>
    <w:rsid w:val="00BE120F"/>
    <w:rsid w:val="00BE1212"/>
    <w:rsid w:val="00BE14D1"/>
    <w:rsid w:val="00BE1801"/>
    <w:rsid w:val="00BE180F"/>
    <w:rsid w:val="00BE1AE2"/>
    <w:rsid w:val="00BE1B91"/>
    <w:rsid w:val="00BE21A4"/>
    <w:rsid w:val="00BE21E7"/>
    <w:rsid w:val="00BE223F"/>
    <w:rsid w:val="00BE2354"/>
    <w:rsid w:val="00BE2357"/>
    <w:rsid w:val="00BE23EF"/>
    <w:rsid w:val="00BE2565"/>
    <w:rsid w:val="00BE25F2"/>
    <w:rsid w:val="00BE2EEF"/>
    <w:rsid w:val="00BE3041"/>
    <w:rsid w:val="00BE3124"/>
    <w:rsid w:val="00BE343E"/>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69C"/>
    <w:rsid w:val="00BE67D3"/>
    <w:rsid w:val="00BE6836"/>
    <w:rsid w:val="00BE6C44"/>
    <w:rsid w:val="00BE6E8C"/>
    <w:rsid w:val="00BE706D"/>
    <w:rsid w:val="00BE7161"/>
    <w:rsid w:val="00BE7550"/>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0EC"/>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36B"/>
    <w:rsid w:val="00BF4654"/>
    <w:rsid w:val="00BF47D6"/>
    <w:rsid w:val="00BF4816"/>
    <w:rsid w:val="00BF4E96"/>
    <w:rsid w:val="00BF4FF6"/>
    <w:rsid w:val="00BF519C"/>
    <w:rsid w:val="00BF5528"/>
    <w:rsid w:val="00BF5569"/>
    <w:rsid w:val="00BF5845"/>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76E"/>
    <w:rsid w:val="00C017BE"/>
    <w:rsid w:val="00C01F38"/>
    <w:rsid w:val="00C02147"/>
    <w:rsid w:val="00C0216B"/>
    <w:rsid w:val="00C021AE"/>
    <w:rsid w:val="00C0255B"/>
    <w:rsid w:val="00C028E8"/>
    <w:rsid w:val="00C029F2"/>
    <w:rsid w:val="00C03291"/>
    <w:rsid w:val="00C03731"/>
    <w:rsid w:val="00C04363"/>
    <w:rsid w:val="00C043C9"/>
    <w:rsid w:val="00C04416"/>
    <w:rsid w:val="00C0468A"/>
    <w:rsid w:val="00C04927"/>
    <w:rsid w:val="00C0535A"/>
    <w:rsid w:val="00C05818"/>
    <w:rsid w:val="00C05AAA"/>
    <w:rsid w:val="00C06247"/>
    <w:rsid w:val="00C0669C"/>
    <w:rsid w:val="00C066CA"/>
    <w:rsid w:val="00C06951"/>
    <w:rsid w:val="00C06BE2"/>
    <w:rsid w:val="00C07342"/>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E27"/>
    <w:rsid w:val="00C15FB8"/>
    <w:rsid w:val="00C15FBE"/>
    <w:rsid w:val="00C16252"/>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421"/>
    <w:rsid w:val="00C205F5"/>
    <w:rsid w:val="00C20CBA"/>
    <w:rsid w:val="00C20DAE"/>
    <w:rsid w:val="00C210C2"/>
    <w:rsid w:val="00C210C9"/>
    <w:rsid w:val="00C21146"/>
    <w:rsid w:val="00C2156C"/>
    <w:rsid w:val="00C21A0A"/>
    <w:rsid w:val="00C21E30"/>
    <w:rsid w:val="00C22278"/>
    <w:rsid w:val="00C2245D"/>
    <w:rsid w:val="00C22EEC"/>
    <w:rsid w:val="00C23006"/>
    <w:rsid w:val="00C2300D"/>
    <w:rsid w:val="00C23090"/>
    <w:rsid w:val="00C233FD"/>
    <w:rsid w:val="00C234F1"/>
    <w:rsid w:val="00C23713"/>
    <w:rsid w:val="00C237EE"/>
    <w:rsid w:val="00C23B06"/>
    <w:rsid w:val="00C23BF7"/>
    <w:rsid w:val="00C23CEB"/>
    <w:rsid w:val="00C23E99"/>
    <w:rsid w:val="00C2404A"/>
    <w:rsid w:val="00C24160"/>
    <w:rsid w:val="00C244D8"/>
    <w:rsid w:val="00C246D6"/>
    <w:rsid w:val="00C24FF5"/>
    <w:rsid w:val="00C2569B"/>
    <w:rsid w:val="00C25783"/>
    <w:rsid w:val="00C25922"/>
    <w:rsid w:val="00C25A37"/>
    <w:rsid w:val="00C25A71"/>
    <w:rsid w:val="00C25A9D"/>
    <w:rsid w:val="00C25C0D"/>
    <w:rsid w:val="00C25D61"/>
    <w:rsid w:val="00C25F3D"/>
    <w:rsid w:val="00C25F7F"/>
    <w:rsid w:val="00C26929"/>
    <w:rsid w:val="00C269F2"/>
    <w:rsid w:val="00C26BB6"/>
    <w:rsid w:val="00C27466"/>
    <w:rsid w:val="00C27C9F"/>
    <w:rsid w:val="00C30025"/>
    <w:rsid w:val="00C3040A"/>
    <w:rsid w:val="00C305B8"/>
    <w:rsid w:val="00C307FE"/>
    <w:rsid w:val="00C30A93"/>
    <w:rsid w:val="00C30ABC"/>
    <w:rsid w:val="00C30B7F"/>
    <w:rsid w:val="00C30C0A"/>
    <w:rsid w:val="00C313D4"/>
    <w:rsid w:val="00C318F3"/>
    <w:rsid w:val="00C31A6D"/>
    <w:rsid w:val="00C31EE5"/>
    <w:rsid w:val="00C322C9"/>
    <w:rsid w:val="00C322E5"/>
    <w:rsid w:val="00C32E68"/>
    <w:rsid w:val="00C32EDD"/>
    <w:rsid w:val="00C32F02"/>
    <w:rsid w:val="00C3312E"/>
    <w:rsid w:val="00C33749"/>
    <w:rsid w:val="00C33797"/>
    <w:rsid w:val="00C339DE"/>
    <w:rsid w:val="00C33B9A"/>
    <w:rsid w:val="00C33C97"/>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7C6"/>
    <w:rsid w:val="00C3685E"/>
    <w:rsid w:val="00C36F1C"/>
    <w:rsid w:val="00C370E9"/>
    <w:rsid w:val="00C37A99"/>
    <w:rsid w:val="00C37F12"/>
    <w:rsid w:val="00C37F2D"/>
    <w:rsid w:val="00C37FC1"/>
    <w:rsid w:val="00C40091"/>
    <w:rsid w:val="00C400D0"/>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C"/>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47FE2"/>
    <w:rsid w:val="00C5004F"/>
    <w:rsid w:val="00C50262"/>
    <w:rsid w:val="00C50312"/>
    <w:rsid w:val="00C503FC"/>
    <w:rsid w:val="00C508C5"/>
    <w:rsid w:val="00C508C6"/>
    <w:rsid w:val="00C50AB2"/>
    <w:rsid w:val="00C50C30"/>
    <w:rsid w:val="00C510A7"/>
    <w:rsid w:val="00C513A8"/>
    <w:rsid w:val="00C514DD"/>
    <w:rsid w:val="00C5172F"/>
    <w:rsid w:val="00C51B4B"/>
    <w:rsid w:val="00C51DB6"/>
    <w:rsid w:val="00C51FDE"/>
    <w:rsid w:val="00C51FE0"/>
    <w:rsid w:val="00C52079"/>
    <w:rsid w:val="00C52676"/>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98C"/>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31D"/>
    <w:rsid w:val="00C62A23"/>
    <w:rsid w:val="00C62D85"/>
    <w:rsid w:val="00C63094"/>
    <w:rsid w:val="00C63380"/>
    <w:rsid w:val="00C635F3"/>
    <w:rsid w:val="00C6362A"/>
    <w:rsid w:val="00C6376A"/>
    <w:rsid w:val="00C63F92"/>
    <w:rsid w:val="00C646DB"/>
    <w:rsid w:val="00C647F9"/>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03"/>
    <w:rsid w:val="00C67146"/>
    <w:rsid w:val="00C671CC"/>
    <w:rsid w:val="00C67501"/>
    <w:rsid w:val="00C67758"/>
    <w:rsid w:val="00C67AAB"/>
    <w:rsid w:val="00C67AE4"/>
    <w:rsid w:val="00C70082"/>
    <w:rsid w:val="00C70250"/>
    <w:rsid w:val="00C707EA"/>
    <w:rsid w:val="00C70A5C"/>
    <w:rsid w:val="00C70BC8"/>
    <w:rsid w:val="00C70BFA"/>
    <w:rsid w:val="00C71975"/>
    <w:rsid w:val="00C7199D"/>
    <w:rsid w:val="00C71CC7"/>
    <w:rsid w:val="00C71D5D"/>
    <w:rsid w:val="00C72141"/>
    <w:rsid w:val="00C72554"/>
    <w:rsid w:val="00C72AC5"/>
    <w:rsid w:val="00C72B46"/>
    <w:rsid w:val="00C72C64"/>
    <w:rsid w:val="00C7325E"/>
    <w:rsid w:val="00C735B9"/>
    <w:rsid w:val="00C7452A"/>
    <w:rsid w:val="00C749C9"/>
    <w:rsid w:val="00C74C11"/>
    <w:rsid w:val="00C74C29"/>
    <w:rsid w:val="00C75284"/>
    <w:rsid w:val="00C75367"/>
    <w:rsid w:val="00C75518"/>
    <w:rsid w:val="00C75896"/>
    <w:rsid w:val="00C75A36"/>
    <w:rsid w:val="00C76132"/>
    <w:rsid w:val="00C76C8D"/>
    <w:rsid w:val="00C76C9E"/>
    <w:rsid w:val="00C76EAE"/>
    <w:rsid w:val="00C7714F"/>
    <w:rsid w:val="00C77152"/>
    <w:rsid w:val="00C77366"/>
    <w:rsid w:val="00C77563"/>
    <w:rsid w:val="00C77A33"/>
    <w:rsid w:val="00C77B1D"/>
    <w:rsid w:val="00C77DEF"/>
    <w:rsid w:val="00C800AF"/>
    <w:rsid w:val="00C8041C"/>
    <w:rsid w:val="00C80561"/>
    <w:rsid w:val="00C80588"/>
    <w:rsid w:val="00C80717"/>
    <w:rsid w:val="00C8078B"/>
    <w:rsid w:val="00C80DFA"/>
    <w:rsid w:val="00C8106E"/>
    <w:rsid w:val="00C81B61"/>
    <w:rsid w:val="00C8234F"/>
    <w:rsid w:val="00C826BE"/>
    <w:rsid w:val="00C827B4"/>
    <w:rsid w:val="00C827CB"/>
    <w:rsid w:val="00C82AB7"/>
    <w:rsid w:val="00C82D1F"/>
    <w:rsid w:val="00C82D95"/>
    <w:rsid w:val="00C82E46"/>
    <w:rsid w:val="00C833D1"/>
    <w:rsid w:val="00C834F0"/>
    <w:rsid w:val="00C83644"/>
    <w:rsid w:val="00C8390E"/>
    <w:rsid w:val="00C8396A"/>
    <w:rsid w:val="00C83990"/>
    <w:rsid w:val="00C83A9B"/>
    <w:rsid w:val="00C83AF2"/>
    <w:rsid w:val="00C83B15"/>
    <w:rsid w:val="00C84247"/>
    <w:rsid w:val="00C84696"/>
    <w:rsid w:val="00C8496A"/>
    <w:rsid w:val="00C84E1D"/>
    <w:rsid w:val="00C8501B"/>
    <w:rsid w:val="00C85638"/>
    <w:rsid w:val="00C85A2E"/>
    <w:rsid w:val="00C85DC3"/>
    <w:rsid w:val="00C861A6"/>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798"/>
    <w:rsid w:val="00C979C5"/>
    <w:rsid w:val="00C97D2D"/>
    <w:rsid w:val="00C97F8D"/>
    <w:rsid w:val="00CA00D8"/>
    <w:rsid w:val="00CA03FB"/>
    <w:rsid w:val="00CA04B9"/>
    <w:rsid w:val="00CA05B3"/>
    <w:rsid w:val="00CA06E1"/>
    <w:rsid w:val="00CA0830"/>
    <w:rsid w:val="00CA0DB9"/>
    <w:rsid w:val="00CA1DD8"/>
    <w:rsid w:val="00CA22B3"/>
    <w:rsid w:val="00CA2AE1"/>
    <w:rsid w:val="00CA2AE8"/>
    <w:rsid w:val="00CA2AFC"/>
    <w:rsid w:val="00CA2C80"/>
    <w:rsid w:val="00CA2DCD"/>
    <w:rsid w:val="00CA2F8A"/>
    <w:rsid w:val="00CA30BC"/>
    <w:rsid w:val="00CA36D1"/>
    <w:rsid w:val="00CA3B5A"/>
    <w:rsid w:val="00CA3F97"/>
    <w:rsid w:val="00CA3FF1"/>
    <w:rsid w:val="00CA467D"/>
    <w:rsid w:val="00CA46B9"/>
    <w:rsid w:val="00CA47C7"/>
    <w:rsid w:val="00CA48A3"/>
    <w:rsid w:val="00CA4D54"/>
    <w:rsid w:val="00CA4D76"/>
    <w:rsid w:val="00CA4F92"/>
    <w:rsid w:val="00CA4FD1"/>
    <w:rsid w:val="00CA53A5"/>
    <w:rsid w:val="00CA5486"/>
    <w:rsid w:val="00CA5666"/>
    <w:rsid w:val="00CA62ED"/>
    <w:rsid w:val="00CA690C"/>
    <w:rsid w:val="00CA6943"/>
    <w:rsid w:val="00CA6952"/>
    <w:rsid w:val="00CA6BC9"/>
    <w:rsid w:val="00CA70AE"/>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5C8"/>
    <w:rsid w:val="00CB4A37"/>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B1B"/>
    <w:rsid w:val="00CB6DC2"/>
    <w:rsid w:val="00CB7087"/>
    <w:rsid w:val="00CB718B"/>
    <w:rsid w:val="00CB71EB"/>
    <w:rsid w:val="00CB72D1"/>
    <w:rsid w:val="00CB750F"/>
    <w:rsid w:val="00CB7D73"/>
    <w:rsid w:val="00CB7E15"/>
    <w:rsid w:val="00CC028B"/>
    <w:rsid w:val="00CC0706"/>
    <w:rsid w:val="00CC0B03"/>
    <w:rsid w:val="00CC0DDA"/>
    <w:rsid w:val="00CC10F9"/>
    <w:rsid w:val="00CC11DD"/>
    <w:rsid w:val="00CC12A1"/>
    <w:rsid w:val="00CC1672"/>
    <w:rsid w:val="00CC16D1"/>
    <w:rsid w:val="00CC1C24"/>
    <w:rsid w:val="00CC2112"/>
    <w:rsid w:val="00CC296B"/>
    <w:rsid w:val="00CC2BAF"/>
    <w:rsid w:val="00CC2CC9"/>
    <w:rsid w:val="00CC2E9D"/>
    <w:rsid w:val="00CC326A"/>
    <w:rsid w:val="00CC32F9"/>
    <w:rsid w:val="00CC342D"/>
    <w:rsid w:val="00CC369B"/>
    <w:rsid w:val="00CC3BDB"/>
    <w:rsid w:val="00CC40EB"/>
    <w:rsid w:val="00CC41DD"/>
    <w:rsid w:val="00CC44B0"/>
    <w:rsid w:val="00CC45E0"/>
    <w:rsid w:val="00CC466F"/>
    <w:rsid w:val="00CC469E"/>
    <w:rsid w:val="00CC46AA"/>
    <w:rsid w:val="00CC4D5B"/>
    <w:rsid w:val="00CC50EA"/>
    <w:rsid w:val="00CC52E4"/>
    <w:rsid w:val="00CC542B"/>
    <w:rsid w:val="00CC5665"/>
    <w:rsid w:val="00CC5A69"/>
    <w:rsid w:val="00CC66D7"/>
    <w:rsid w:val="00CC6C7B"/>
    <w:rsid w:val="00CC6D8A"/>
    <w:rsid w:val="00CC71AB"/>
    <w:rsid w:val="00CC7638"/>
    <w:rsid w:val="00CC7C47"/>
    <w:rsid w:val="00CD0031"/>
    <w:rsid w:val="00CD0059"/>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842"/>
    <w:rsid w:val="00CD7B57"/>
    <w:rsid w:val="00CD7BC0"/>
    <w:rsid w:val="00CD7CB1"/>
    <w:rsid w:val="00CE09C2"/>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773"/>
    <w:rsid w:val="00CE4780"/>
    <w:rsid w:val="00CE4910"/>
    <w:rsid w:val="00CE5087"/>
    <w:rsid w:val="00CE5210"/>
    <w:rsid w:val="00CE524E"/>
    <w:rsid w:val="00CE5BC9"/>
    <w:rsid w:val="00CE5D96"/>
    <w:rsid w:val="00CE67EF"/>
    <w:rsid w:val="00CE6922"/>
    <w:rsid w:val="00CE7038"/>
    <w:rsid w:val="00CE720B"/>
    <w:rsid w:val="00CE7505"/>
    <w:rsid w:val="00CE7642"/>
    <w:rsid w:val="00CE7679"/>
    <w:rsid w:val="00CE7927"/>
    <w:rsid w:val="00CE79F3"/>
    <w:rsid w:val="00CE7DBA"/>
    <w:rsid w:val="00CF0427"/>
    <w:rsid w:val="00CF05D5"/>
    <w:rsid w:val="00CF08F8"/>
    <w:rsid w:val="00CF0E55"/>
    <w:rsid w:val="00CF0EC2"/>
    <w:rsid w:val="00CF0FBD"/>
    <w:rsid w:val="00CF18D2"/>
    <w:rsid w:val="00CF1941"/>
    <w:rsid w:val="00CF1AEE"/>
    <w:rsid w:val="00CF255F"/>
    <w:rsid w:val="00CF2602"/>
    <w:rsid w:val="00CF294E"/>
    <w:rsid w:val="00CF29B6"/>
    <w:rsid w:val="00CF2A1A"/>
    <w:rsid w:val="00CF2C34"/>
    <w:rsid w:val="00CF2E2E"/>
    <w:rsid w:val="00CF3019"/>
    <w:rsid w:val="00CF3446"/>
    <w:rsid w:val="00CF3507"/>
    <w:rsid w:val="00CF3511"/>
    <w:rsid w:val="00CF3526"/>
    <w:rsid w:val="00CF3C61"/>
    <w:rsid w:val="00CF3E93"/>
    <w:rsid w:val="00CF44B8"/>
    <w:rsid w:val="00CF4665"/>
    <w:rsid w:val="00CF4957"/>
    <w:rsid w:val="00CF4AC7"/>
    <w:rsid w:val="00CF4C48"/>
    <w:rsid w:val="00CF4D2F"/>
    <w:rsid w:val="00CF5000"/>
    <w:rsid w:val="00CF5012"/>
    <w:rsid w:val="00CF5AA9"/>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555"/>
    <w:rsid w:val="00D0163B"/>
    <w:rsid w:val="00D02619"/>
    <w:rsid w:val="00D02945"/>
    <w:rsid w:val="00D02B57"/>
    <w:rsid w:val="00D02CE3"/>
    <w:rsid w:val="00D02FB0"/>
    <w:rsid w:val="00D030C4"/>
    <w:rsid w:val="00D030CC"/>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696D"/>
    <w:rsid w:val="00D06F7F"/>
    <w:rsid w:val="00D07037"/>
    <w:rsid w:val="00D076BB"/>
    <w:rsid w:val="00D077F3"/>
    <w:rsid w:val="00D10061"/>
    <w:rsid w:val="00D10142"/>
    <w:rsid w:val="00D101FA"/>
    <w:rsid w:val="00D104DD"/>
    <w:rsid w:val="00D104E3"/>
    <w:rsid w:val="00D10A4D"/>
    <w:rsid w:val="00D10C04"/>
    <w:rsid w:val="00D111EA"/>
    <w:rsid w:val="00D11784"/>
    <w:rsid w:val="00D11C2D"/>
    <w:rsid w:val="00D120DA"/>
    <w:rsid w:val="00D121FA"/>
    <w:rsid w:val="00D1272F"/>
    <w:rsid w:val="00D1285A"/>
    <w:rsid w:val="00D12FC5"/>
    <w:rsid w:val="00D13021"/>
    <w:rsid w:val="00D13483"/>
    <w:rsid w:val="00D136D6"/>
    <w:rsid w:val="00D13B7E"/>
    <w:rsid w:val="00D13BD1"/>
    <w:rsid w:val="00D13C6F"/>
    <w:rsid w:val="00D13D91"/>
    <w:rsid w:val="00D13E64"/>
    <w:rsid w:val="00D13FFE"/>
    <w:rsid w:val="00D14314"/>
    <w:rsid w:val="00D143B8"/>
    <w:rsid w:val="00D146D3"/>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2F3"/>
    <w:rsid w:val="00D2234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ABE"/>
    <w:rsid w:val="00D24D8C"/>
    <w:rsid w:val="00D24FD0"/>
    <w:rsid w:val="00D2501F"/>
    <w:rsid w:val="00D251E6"/>
    <w:rsid w:val="00D25307"/>
    <w:rsid w:val="00D2539C"/>
    <w:rsid w:val="00D254E9"/>
    <w:rsid w:val="00D25520"/>
    <w:rsid w:val="00D255CF"/>
    <w:rsid w:val="00D255ED"/>
    <w:rsid w:val="00D25DC2"/>
    <w:rsid w:val="00D261DF"/>
    <w:rsid w:val="00D262B1"/>
    <w:rsid w:val="00D2678E"/>
    <w:rsid w:val="00D26863"/>
    <w:rsid w:val="00D2694C"/>
    <w:rsid w:val="00D26F57"/>
    <w:rsid w:val="00D271C9"/>
    <w:rsid w:val="00D272A2"/>
    <w:rsid w:val="00D2750B"/>
    <w:rsid w:val="00D276BB"/>
    <w:rsid w:val="00D27853"/>
    <w:rsid w:val="00D301A2"/>
    <w:rsid w:val="00D304E0"/>
    <w:rsid w:val="00D308A3"/>
    <w:rsid w:val="00D30A13"/>
    <w:rsid w:val="00D30AE0"/>
    <w:rsid w:val="00D310AE"/>
    <w:rsid w:val="00D31270"/>
    <w:rsid w:val="00D31763"/>
    <w:rsid w:val="00D31FDF"/>
    <w:rsid w:val="00D32155"/>
    <w:rsid w:val="00D321B8"/>
    <w:rsid w:val="00D3239C"/>
    <w:rsid w:val="00D32442"/>
    <w:rsid w:val="00D3255F"/>
    <w:rsid w:val="00D3296E"/>
    <w:rsid w:val="00D32A77"/>
    <w:rsid w:val="00D32B2F"/>
    <w:rsid w:val="00D32C57"/>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402"/>
    <w:rsid w:val="00D358BB"/>
    <w:rsid w:val="00D3601B"/>
    <w:rsid w:val="00D36107"/>
    <w:rsid w:val="00D365AB"/>
    <w:rsid w:val="00D36A87"/>
    <w:rsid w:val="00D37058"/>
    <w:rsid w:val="00D376CF"/>
    <w:rsid w:val="00D37785"/>
    <w:rsid w:val="00D379A8"/>
    <w:rsid w:val="00D37BDE"/>
    <w:rsid w:val="00D37E14"/>
    <w:rsid w:val="00D37F37"/>
    <w:rsid w:val="00D400D0"/>
    <w:rsid w:val="00D40AC4"/>
    <w:rsid w:val="00D40B8D"/>
    <w:rsid w:val="00D40D1B"/>
    <w:rsid w:val="00D40F00"/>
    <w:rsid w:val="00D41040"/>
    <w:rsid w:val="00D411B3"/>
    <w:rsid w:val="00D413EC"/>
    <w:rsid w:val="00D41840"/>
    <w:rsid w:val="00D41A17"/>
    <w:rsid w:val="00D41BDF"/>
    <w:rsid w:val="00D41C99"/>
    <w:rsid w:val="00D41CE7"/>
    <w:rsid w:val="00D41D11"/>
    <w:rsid w:val="00D41E44"/>
    <w:rsid w:val="00D42201"/>
    <w:rsid w:val="00D42408"/>
    <w:rsid w:val="00D42591"/>
    <w:rsid w:val="00D42E6B"/>
    <w:rsid w:val="00D4312C"/>
    <w:rsid w:val="00D433C8"/>
    <w:rsid w:val="00D43EFC"/>
    <w:rsid w:val="00D43FEA"/>
    <w:rsid w:val="00D44172"/>
    <w:rsid w:val="00D4421B"/>
    <w:rsid w:val="00D4444E"/>
    <w:rsid w:val="00D445E6"/>
    <w:rsid w:val="00D447BF"/>
    <w:rsid w:val="00D449C1"/>
    <w:rsid w:val="00D44A16"/>
    <w:rsid w:val="00D45299"/>
    <w:rsid w:val="00D45A9E"/>
    <w:rsid w:val="00D45B10"/>
    <w:rsid w:val="00D45E05"/>
    <w:rsid w:val="00D45F34"/>
    <w:rsid w:val="00D4625D"/>
    <w:rsid w:val="00D462E4"/>
    <w:rsid w:val="00D467FA"/>
    <w:rsid w:val="00D4689B"/>
    <w:rsid w:val="00D4689C"/>
    <w:rsid w:val="00D46ABA"/>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222"/>
    <w:rsid w:val="00D542C1"/>
    <w:rsid w:val="00D54599"/>
    <w:rsid w:val="00D54A66"/>
    <w:rsid w:val="00D54CEC"/>
    <w:rsid w:val="00D54D41"/>
    <w:rsid w:val="00D54DED"/>
    <w:rsid w:val="00D551FD"/>
    <w:rsid w:val="00D5521B"/>
    <w:rsid w:val="00D55225"/>
    <w:rsid w:val="00D55561"/>
    <w:rsid w:val="00D55763"/>
    <w:rsid w:val="00D55CAA"/>
    <w:rsid w:val="00D55CED"/>
    <w:rsid w:val="00D55F8B"/>
    <w:rsid w:val="00D5612B"/>
    <w:rsid w:val="00D566C7"/>
    <w:rsid w:val="00D567E1"/>
    <w:rsid w:val="00D56A30"/>
    <w:rsid w:val="00D56CA6"/>
    <w:rsid w:val="00D57491"/>
    <w:rsid w:val="00D57A4B"/>
    <w:rsid w:val="00D57A61"/>
    <w:rsid w:val="00D57C03"/>
    <w:rsid w:val="00D57E7D"/>
    <w:rsid w:val="00D60077"/>
    <w:rsid w:val="00D601E6"/>
    <w:rsid w:val="00D60296"/>
    <w:rsid w:val="00D60743"/>
    <w:rsid w:val="00D608F9"/>
    <w:rsid w:val="00D60DE4"/>
    <w:rsid w:val="00D60E3E"/>
    <w:rsid w:val="00D6125B"/>
    <w:rsid w:val="00D61583"/>
    <w:rsid w:val="00D61F26"/>
    <w:rsid w:val="00D61F49"/>
    <w:rsid w:val="00D6224C"/>
    <w:rsid w:val="00D622F2"/>
    <w:rsid w:val="00D62623"/>
    <w:rsid w:val="00D62941"/>
    <w:rsid w:val="00D63300"/>
    <w:rsid w:val="00D634B7"/>
    <w:rsid w:val="00D635A7"/>
    <w:rsid w:val="00D63938"/>
    <w:rsid w:val="00D63D9C"/>
    <w:rsid w:val="00D63EEE"/>
    <w:rsid w:val="00D6438E"/>
    <w:rsid w:val="00D6441B"/>
    <w:rsid w:val="00D647A5"/>
    <w:rsid w:val="00D647B3"/>
    <w:rsid w:val="00D649B0"/>
    <w:rsid w:val="00D649DE"/>
    <w:rsid w:val="00D64D7A"/>
    <w:rsid w:val="00D64E6F"/>
    <w:rsid w:val="00D651D0"/>
    <w:rsid w:val="00D65430"/>
    <w:rsid w:val="00D65C6F"/>
    <w:rsid w:val="00D65EDD"/>
    <w:rsid w:val="00D66130"/>
    <w:rsid w:val="00D6616A"/>
    <w:rsid w:val="00D666E0"/>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1EBA"/>
    <w:rsid w:val="00D722F2"/>
    <w:rsid w:val="00D722FC"/>
    <w:rsid w:val="00D72331"/>
    <w:rsid w:val="00D72391"/>
    <w:rsid w:val="00D725ED"/>
    <w:rsid w:val="00D7279E"/>
    <w:rsid w:val="00D72902"/>
    <w:rsid w:val="00D72D42"/>
    <w:rsid w:val="00D72FE9"/>
    <w:rsid w:val="00D738D4"/>
    <w:rsid w:val="00D73AE7"/>
    <w:rsid w:val="00D73AF2"/>
    <w:rsid w:val="00D73B6D"/>
    <w:rsid w:val="00D741CE"/>
    <w:rsid w:val="00D74232"/>
    <w:rsid w:val="00D74352"/>
    <w:rsid w:val="00D74893"/>
    <w:rsid w:val="00D74913"/>
    <w:rsid w:val="00D755EE"/>
    <w:rsid w:val="00D758AB"/>
    <w:rsid w:val="00D75B73"/>
    <w:rsid w:val="00D75DC5"/>
    <w:rsid w:val="00D75DFA"/>
    <w:rsid w:val="00D76007"/>
    <w:rsid w:val="00D76032"/>
    <w:rsid w:val="00D764F2"/>
    <w:rsid w:val="00D766B5"/>
    <w:rsid w:val="00D76A39"/>
    <w:rsid w:val="00D76CEC"/>
    <w:rsid w:val="00D76FBD"/>
    <w:rsid w:val="00D7753D"/>
    <w:rsid w:val="00D77611"/>
    <w:rsid w:val="00D77BE7"/>
    <w:rsid w:val="00D77C95"/>
    <w:rsid w:val="00D801C7"/>
    <w:rsid w:val="00D80252"/>
    <w:rsid w:val="00D80359"/>
    <w:rsid w:val="00D806A7"/>
    <w:rsid w:val="00D80BB0"/>
    <w:rsid w:val="00D80CC9"/>
    <w:rsid w:val="00D80ECF"/>
    <w:rsid w:val="00D80FF9"/>
    <w:rsid w:val="00D8148B"/>
    <w:rsid w:val="00D8184C"/>
    <w:rsid w:val="00D81A71"/>
    <w:rsid w:val="00D81C3E"/>
    <w:rsid w:val="00D81CB2"/>
    <w:rsid w:val="00D82110"/>
    <w:rsid w:val="00D823E4"/>
    <w:rsid w:val="00D8240A"/>
    <w:rsid w:val="00D82472"/>
    <w:rsid w:val="00D82849"/>
    <w:rsid w:val="00D8285B"/>
    <w:rsid w:val="00D82E84"/>
    <w:rsid w:val="00D83081"/>
    <w:rsid w:val="00D83944"/>
    <w:rsid w:val="00D839E9"/>
    <w:rsid w:val="00D83A5E"/>
    <w:rsid w:val="00D83C91"/>
    <w:rsid w:val="00D8434E"/>
    <w:rsid w:val="00D84418"/>
    <w:rsid w:val="00D84527"/>
    <w:rsid w:val="00D84D13"/>
    <w:rsid w:val="00D84E86"/>
    <w:rsid w:val="00D8534F"/>
    <w:rsid w:val="00D8537C"/>
    <w:rsid w:val="00D8543E"/>
    <w:rsid w:val="00D85A3B"/>
    <w:rsid w:val="00D85D8D"/>
    <w:rsid w:val="00D86192"/>
    <w:rsid w:val="00D862A5"/>
    <w:rsid w:val="00D863CD"/>
    <w:rsid w:val="00D8705E"/>
    <w:rsid w:val="00D871A0"/>
    <w:rsid w:val="00D871A8"/>
    <w:rsid w:val="00D87F06"/>
    <w:rsid w:val="00D901B9"/>
    <w:rsid w:val="00D90256"/>
    <w:rsid w:val="00D90718"/>
    <w:rsid w:val="00D90961"/>
    <w:rsid w:val="00D90A7E"/>
    <w:rsid w:val="00D90D3F"/>
    <w:rsid w:val="00D90DAB"/>
    <w:rsid w:val="00D90E3F"/>
    <w:rsid w:val="00D90F4C"/>
    <w:rsid w:val="00D91135"/>
    <w:rsid w:val="00D911C5"/>
    <w:rsid w:val="00D912CC"/>
    <w:rsid w:val="00D915E4"/>
    <w:rsid w:val="00D915EC"/>
    <w:rsid w:val="00D9162B"/>
    <w:rsid w:val="00D917C7"/>
    <w:rsid w:val="00D918A3"/>
    <w:rsid w:val="00D91A56"/>
    <w:rsid w:val="00D91DAB"/>
    <w:rsid w:val="00D91EAA"/>
    <w:rsid w:val="00D92099"/>
    <w:rsid w:val="00D921F8"/>
    <w:rsid w:val="00D925B0"/>
    <w:rsid w:val="00D92AA1"/>
    <w:rsid w:val="00D92D45"/>
    <w:rsid w:val="00D92E04"/>
    <w:rsid w:val="00D93C62"/>
    <w:rsid w:val="00D94153"/>
    <w:rsid w:val="00D943A3"/>
    <w:rsid w:val="00D948E4"/>
    <w:rsid w:val="00D94B6D"/>
    <w:rsid w:val="00D94BE4"/>
    <w:rsid w:val="00D94E48"/>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274"/>
    <w:rsid w:val="00DA0352"/>
    <w:rsid w:val="00DA040B"/>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ED"/>
    <w:rsid w:val="00DA681E"/>
    <w:rsid w:val="00DA68C4"/>
    <w:rsid w:val="00DA6DB6"/>
    <w:rsid w:val="00DA6F1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864"/>
    <w:rsid w:val="00DB492C"/>
    <w:rsid w:val="00DB4A63"/>
    <w:rsid w:val="00DB4C27"/>
    <w:rsid w:val="00DB5A32"/>
    <w:rsid w:val="00DB5C18"/>
    <w:rsid w:val="00DB5C29"/>
    <w:rsid w:val="00DB5C7A"/>
    <w:rsid w:val="00DB5F08"/>
    <w:rsid w:val="00DB60D5"/>
    <w:rsid w:val="00DB6122"/>
    <w:rsid w:val="00DB627F"/>
    <w:rsid w:val="00DB6290"/>
    <w:rsid w:val="00DB6463"/>
    <w:rsid w:val="00DB66D5"/>
    <w:rsid w:val="00DB681F"/>
    <w:rsid w:val="00DB6A46"/>
    <w:rsid w:val="00DB7236"/>
    <w:rsid w:val="00DB7699"/>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2FCB"/>
    <w:rsid w:val="00DC3066"/>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D0308"/>
    <w:rsid w:val="00DD0368"/>
    <w:rsid w:val="00DD07C5"/>
    <w:rsid w:val="00DD0860"/>
    <w:rsid w:val="00DD0ECF"/>
    <w:rsid w:val="00DD0FCD"/>
    <w:rsid w:val="00DD10AF"/>
    <w:rsid w:val="00DD161F"/>
    <w:rsid w:val="00DD17BD"/>
    <w:rsid w:val="00DD1862"/>
    <w:rsid w:val="00DD1E35"/>
    <w:rsid w:val="00DD2111"/>
    <w:rsid w:val="00DD237E"/>
    <w:rsid w:val="00DD256F"/>
    <w:rsid w:val="00DD2761"/>
    <w:rsid w:val="00DD2A4B"/>
    <w:rsid w:val="00DD2C3B"/>
    <w:rsid w:val="00DD2D0E"/>
    <w:rsid w:val="00DD3FE9"/>
    <w:rsid w:val="00DD4173"/>
    <w:rsid w:val="00DD47C9"/>
    <w:rsid w:val="00DD4A14"/>
    <w:rsid w:val="00DD4AB7"/>
    <w:rsid w:val="00DD4E61"/>
    <w:rsid w:val="00DD50A9"/>
    <w:rsid w:val="00DD55C0"/>
    <w:rsid w:val="00DD5E51"/>
    <w:rsid w:val="00DD6027"/>
    <w:rsid w:val="00DD63C8"/>
    <w:rsid w:val="00DD65C7"/>
    <w:rsid w:val="00DD6A3C"/>
    <w:rsid w:val="00DD6BDF"/>
    <w:rsid w:val="00DD6CD6"/>
    <w:rsid w:val="00DD76EF"/>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67F"/>
    <w:rsid w:val="00DE375D"/>
    <w:rsid w:val="00DE3EE9"/>
    <w:rsid w:val="00DE4318"/>
    <w:rsid w:val="00DE48B3"/>
    <w:rsid w:val="00DE4ACE"/>
    <w:rsid w:val="00DE4D0C"/>
    <w:rsid w:val="00DE52B6"/>
    <w:rsid w:val="00DE534A"/>
    <w:rsid w:val="00DE6334"/>
    <w:rsid w:val="00DE6434"/>
    <w:rsid w:val="00DE64CA"/>
    <w:rsid w:val="00DE65F1"/>
    <w:rsid w:val="00DE6649"/>
    <w:rsid w:val="00DE6E04"/>
    <w:rsid w:val="00DE712C"/>
    <w:rsid w:val="00DE7190"/>
    <w:rsid w:val="00DE71C3"/>
    <w:rsid w:val="00DE726B"/>
    <w:rsid w:val="00DE74E7"/>
    <w:rsid w:val="00DE7770"/>
    <w:rsid w:val="00DE788D"/>
    <w:rsid w:val="00DE79BA"/>
    <w:rsid w:val="00DE7B7E"/>
    <w:rsid w:val="00DE7B93"/>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0B0"/>
    <w:rsid w:val="00DF35AC"/>
    <w:rsid w:val="00DF35B5"/>
    <w:rsid w:val="00DF384A"/>
    <w:rsid w:val="00DF39EC"/>
    <w:rsid w:val="00DF3CEC"/>
    <w:rsid w:val="00DF3E28"/>
    <w:rsid w:val="00DF3F7E"/>
    <w:rsid w:val="00DF41D0"/>
    <w:rsid w:val="00DF44F1"/>
    <w:rsid w:val="00DF4698"/>
    <w:rsid w:val="00DF47B0"/>
    <w:rsid w:val="00DF4808"/>
    <w:rsid w:val="00DF4B7F"/>
    <w:rsid w:val="00DF4E30"/>
    <w:rsid w:val="00DF54BA"/>
    <w:rsid w:val="00DF5666"/>
    <w:rsid w:val="00DF56C1"/>
    <w:rsid w:val="00DF583C"/>
    <w:rsid w:val="00DF596D"/>
    <w:rsid w:val="00DF5A38"/>
    <w:rsid w:val="00DF5A74"/>
    <w:rsid w:val="00DF5D0E"/>
    <w:rsid w:val="00DF5D66"/>
    <w:rsid w:val="00DF5D94"/>
    <w:rsid w:val="00DF5F9B"/>
    <w:rsid w:val="00DF60FF"/>
    <w:rsid w:val="00DF6160"/>
    <w:rsid w:val="00DF61AC"/>
    <w:rsid w:val="00DF6262"/>
    <w:rsid w:val="00DF62E4"/>
    <w:rsid w:val="00DF6603"/>
    <w:rsid w:val="00DF6660"/>
    <w:rsid w:val="00DF666E"/>
    <w:rsid w:val="00DF6BEB"/>
    <w:rsid w:val="00DF6E4C"/>
    <w:rsid w:val="00DF712C"/>
    <w:rsid w:val="00DF7305"/>
    <w:rsid w:val="00DF73E9"/>
    <w:rsid w:val="00E00733"/>
    <w:rsid w:val="00E00749"/>
    <w:rsid w:val="00E00863"/>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42A"/>
    <w:rsid w:val="00E0272B"/>
    <w:rsid w:val="00E027CF"/>
    <w:rsid w:val="00E02D55"/>
    <w:rsid w:val="00E02DDA"/>
    <w:rsid w:val="00E03C28"/>
    <w:rsid w:val="00E03CB6"/>
    <w:rsid w:val="00E03F54"/>
    <w:rsid w:val="00E04537"/>
    <w:rsid w:val="00E047AF"/>
    <w:rsid w:val="00E04A51"/>
    <w:rsid w:val="00E04C46"/>
    <w:rsid w:val="00E04F58"/>
    <w:rsid w:val="00E0561E"/>
    <w:rsid w:val="00E0574C"/>
    <w:rsid w:val="00E05880"/>
    <w:rsid w:val="00E06442"/>
    <w:rsid w:val="00E06615"/>
    <w:rsid w:val="00E066A4"/>
    <w:rsid w:val="00E07227"/>
    <w:rsid w:val="00E07449"/>
    <w:rsid w:val="00E07D2A"/>
    <w:rsid w:val="00E1005D"/>
    <w:rsid w:val="00E105D3"/>
    <w:rsid w:val="00E10711"/>
    <w:rsid w:val="00E10EAA"/>
    <w:rsid w:val="00E11264"/>
    <w:rsid w:val="00E116D2"/>
    <w:rsid w:val="00E118A2"/>
    <w:rsid w:val="00E11FC1"/>
    <w:rsid w:val="00E121A1"/>
    <w:rsid w:val="00E121BC"/>
    <w:rsid w:val="00E1246E"/>
    <w:rsid w:val="00E125D4"/>
    <w:rsid w:val="00E12714"/>
    <w:rsid w:val="00E128DA"/>
    <w:rsid w:val="00E128FD"/>
    <w:rsid w:val="00E12C60"/>
    <w:rsid w:val="00E12F98"/>
    <w:rsid w:val="00E1301E"/>
    <w:rsid w:val="00E13AEF"/>
    <w:rsid w:val="00E13EED"/>
    <w:rsid w:val="00E141A4"/>
    <w:rsid w:val="00E14302"/>
    <w:rsid w:val="00E14D8B"/>
    <w:rsid w:val="00E150B4"/>
    <w:rsid w:val="00E153A7"/>
    <w:rsid w:val="00E15851"/>
    <w:rsid w:val="00E15B6E"/>
    <w:rsid w:val="00E15FE1"/>
    <w:rsid w:val="00E16109"/>
    <w:rsid w:val="00E16427"/>
    <w:rsid w:val="00E1674B"/>
    <w:rsid w:val="00E170BD"/>
    <w:rsid w:val="00E17ED4"/>
    <w:rsid w:val="00E20280"/>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B7"/>
    <w:rsid w:val="00E23EC2"/>
    <w:rsid w:val="00E23FA5"/>
    <w:rsid w:val="00E2432B"/>
    <w:rsid w:val="00E243D5"/>
    <w:rsid w:val="00E24C4A"/>
    <w:rsid w:val="00E24C59"/>
    <w:rsid w:val="00E24F56"/>
    <w:rsid w:val="00E251E2"/>
    <w:rsid w:val="00E252C7"/>
    <w:rsid w:val="00E25371"/>
    <w:rsid w:val="00E25403"/>
    <w:rsid w:val="00E254E6"/>
    <w:rsid w:val="00E25758"/>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699"/>
    <w:rsid w:val="00E32B5D"/>
    <w:rsid w:val="00E33140"/>
    <w:rsid w:val="00E336F1"/>
    <w:rsid w:val="00E33BD8"/>
    <w:rsid w:val="00E33C8A"/>
    <w:rsid w:val="00E33F61"/>
    <w:rsid w:val="00E34174"/>
    <w:rsid w:val="00E342DB"/>
    <w:rsid w:val="00E3470A"/>
    <w:rsid w:val="00E34E25"/>
    <w:rsid w:val="00E35484"/>
    <w:rsid w:val="00E357B0"/>
    <w:rsid w:val="00E3587D"/>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4BB"/>
    <w:rsid w:val="00E446B0"/>
    <w:rsid w:val="00E44A7C"/>
    <w:rsid w:val="00E44C3E"/>
    <w:rsid w:val="00E44EE9"/>
    <w:rsid w:val="00E44F95"/>
    <w:rsid w:val="00E454EC"/>
    <w:rsid w:val="00E45719"/>
    <w:rsid w:val="00E45721"/>
    <w:rsid w:val="00E45B61"/>
    <w:rsid w:val="00E45B73"/>
    <w:rsid w:val="00E45BBC"/>
    <w:rsid w:val="00E45C71"/>
    <w:rsid w:val="00E45E04"/>
    <w:rsid w:val="00E4616C"/>
    <w:rsid w:val="00E46234"/>
    <w:rsid w:val="00E46574"/>
    <w:rsid w:val="00E465AD"/>
    <w:rsid w:val="00E46AC9"/>
    <w:rsid w:val="00E46B62"/>
    <w:rsid w:val="00E4705D"/>
    <w:rsid w:val="00E47CE8"/>
    <w:rsid w:val="00E47F52"/>
    <w:rsid w:val="00E50071"/>
    <w:rsid w:val="00E50651"/>
    <w:rsid w:val="00E50A0E"/>
    <w:rsid w:val="00E50AC2"/>
    <w:rsid w:val="00E50C35"/>
    <w:rsid w:val="00E50DB2"/>
    <w:rsid w:val="00E512FB"/>
    <w:rsid w:val="00E51DBC"/>
    <w:rsid w:val="00E51E53"/>
    <w:rsid w:val="00E522B2"/>
    <w:rsid w:val="00E522BC"/>
    <w:rsid w:val="00E529C3"/>
    <w:rsid w:val="00E52AF4"/>
    <w:rsid w:val="00E52B68"/>
    <w:rsid w:val="00E5340D"/>
    <w:rsid w:val="00E5363B"/>
    <w:rsid w:val="00E539DD"/>
    <w:rsid w:val="00E53DDA"/>
    <w:rsid w:val="00E53DF8"/>
    <w:rsid w:val="00E53F08"/>
    <w:rsid w:val="00E54033"/>
    <w:rsid w:val="00E543E0"/>
    <w:rsid w:val="00E544A3"/>
    <w:rsid w:val="00E545C6"/>
    <w:rsid w:val="00E54AAC"/>
    <w:rsid w:val="00E54D9C"/>
    <w:rsid w:val="00E54DB5"/>
    <w:rsid w:val="00E55486"/>
    <w:rsid w:val="00E55753"/>
    <w:rsid w:val="00E5576B"/>
    <w:rsid w:val="00E5595E"/>
    <w:rsid w:val="00E55AC9"/>
    <w:rsid w:val="00E55AF7"/>
    <w:rsid w:val="00E55DDD"/>
    <w:rsid w:val="00E55E38"/>
    <w:rsid w:val="00E55EDD"/>
    <w:rsid w:val="00E55F17"/>
    <w:rsid w:val="00E567CD"/>
    <w:rsid w:val="00E56EAE"/>
    <w:rsid w:val="00E56F18"/>
    <w:rsid w:val="00E56F6A"/>
    <w:rsid w:val="00E57056"/>
    <w:rsid w:val="00E57391"/>
    <w:rsid w:val="00E5764A"/>
    <w:rsid w:val="00E57777"/>
    <w:rsid w:val="00E5793B"/>
    <w:rsid w:val="00E57D64"/>
    <w:rsid w:val="00E57E87"/>
    <w:rsid w:val="00E57EAD"/>
    <w:rsid w:val="00E607F8"/>
    <w:rsid w:val="00E60CDD"/>
    <w:rsid w:val="00E60CF7"/>
    <w:rsid w:val="00E60D45"/>
    <w:rsid w:val="00E60DD6"/>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694"/>
    <w:rsid w:val="00E66F24"/>
    <w:rsid w:val="00E67342"/>
    <w:rsid w:val="00E67853"/>
    <w:rsid w:val="00E67ADA"/>
    <w:rsid w:val="00E67C62"/>
    <w:rsid w:val="00E67D64"/>
    <w:rsid w:val="00E67E1F"/>
    <w:rsid w:val="00E67EF0"/>
    <w:rsid w:val="00E70378"/>
    <w:rsid w:val="00E705CC"/>
    <w:rsid w:val="00E7099A"/>
    <w:rsid w:val="00E711F6"/>
    <w:rsid w:val="00E71220"/>
    <w:rsid w:val="00E712B7"/>
    <w:rsid w:val="00E71602"/>
    <w:rsid w:val="00E718C9"/>
    <w:rsid w:val="00E7244E"/>
    <w:rsid w:val="00E727D2"/>
    <w:rsid w:val="00E73258"/>
    <w:rsid w:val="00E73627"/>
    <w:rsid w:val="00E73667"/>
    <w:rsid w:val="00E73768"/>
    <w:rsid w:val="00E743D2"/>
    <w:rsid w:val="00E747AC"/>
    <w:rsid w:val="00E754E4"/>
    <w:rsid w:val="00E755B3"/>
    <w:rsid w:val="00E7580F"/>
    <w:rsid w:val="00E75C21"/>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B66"/>
    <w:rsid w:val="00E80CCD"/>
    <w:rsid w:val="00E80D20"/>
    <w:rsid w:val="00E811DB"/>
    <w:rsid w:val="00E8168D"/>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A57"/>
    <w:rsid w:val="00E83BFB"/>
    <w:rsid w:val="00E83CDA"/>
    <w:rsid w:val="00E83CFD"/>
    <w:rsid w:val="00E83E67"/>
    <w:rsid w:val="00E84598"/>
    <w:rsid w:val="00E845EB"/>
    <w:rsid w:val="00E846F2"/>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3CB"/>
    <w:rsid w:val="00E8766F"/>
    <w:rsid w:val="00E876C6"/>
    <w:rsid w:val="00E878F1"/>
    <w:rsid w:val="00E90089"/>
    <w:rsid w:val="00E9011C"/>
    <w:rsid w:val="00E90156"/>
    <w:rsid w:val="00E9035F"/>
    <w:rsid w:val="00E9112C"/>
    <w:rsid w:val="00E9146F"/>
    <w:rsid w:val="00E9149B"/>
    <w:rsid w:val="00E918B9"/>
    <w:rsid w:val="00E918DF"/>
    <w:rsid w:val="00E91B65"/>
    <w:rsid w:val="00E91DEC"/>
    <w:rsid w:val="00E91E40"/>
    <w:rsid w:val="00E92038"/>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CC7"/>
    <w:rsid w:val="00E94D73"/>
    <w:rsid w:val="00E94E51"/>
    <w:rsid w:val="00E9535E"/>
    <w:rsid w:val="00E95695"/>
    <w:rsid w:val="00E95A8F"/>
    <w:rsid w:val="00E95C7C"/>
    <w:rsid w:val="00E960C0"/>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A8B"/>
    <w:rsid w:val="00EA1DBB"/>
    <w:rsid w:val="00EA1E33"/>
    <w:rsid w:val="00EA25FF"/>
    <w:rsid w:val="00EA2AC3"/>
    <w:rsid w:val="00EA2AC6"/>
    <w:rsid w:val="00EA2E8D"/>
    <w:rsid w:val="00EA3353"/>
    <w:rsid w:val="00EA34C1"/>
    <w:rsid w:val="00EA35C4"/>
    <w:rsid w:val="00EA369E"/>
    <w:rsid w:val="00EA3A0E"/>
    <w:rsid w:val="00EA3A39"/>
    <w:rsid w:val="00EA3C36"/>
    <w:rsid w:val="00EA4424"/>
    <w:rsid w:val="00EA4475"/>
    <w:rsid w:val="00EA45B4"/>
    <w:rsid w:val="00EA4B34"/>
    <w:rsid w:val="00EA4C72"/>
    <w:rsid w:val="00EA5559"/>
    <w:rsid w:val="00EA5772"/>
    <w:rsid w:val="00EA5FD1"/>
    <w:rsid w:val="00EA619E"/>
    <w:rsid w:val="00EA681E"/>
    <w:rsid w:val="00EA69F1"/>
    <w:rsid w:val="00EA6BC3"/>
    <w:rsid w:val="00EA6BE0"/>
    <w:rsid w:val="00EA6BFD"/>
    <w:rsid w:val="00EA7284"/>
    <w:rsid w:val="00EA73E5"/>
    <w:rsid w:val="00EA7960"/>
    <w:rsid w:val="00EA7C4C"/>
    <w:rsid w:val="00EA7CA9"/>
    <w:rsid w:val="00EA7D4D"/>
    <w:rsid w:val="00EA7E1D"/>
    <w:rsid w:val="00EB00C5"/>
    <w:rsid w:val="00EB085F"/>
    <w:rsid w:val="00EB0CC9"/>
    <w:rsid w:val="00EB0D9A"/>
    <w:rsid w:val="00EB1098"/>
    <w:rsid w:val="00EB111E"/>
    <w:rsid w:val="00EB1482"/>
    <w:rsid w:val="00EB16EA"/>
    <w:rsid w:val="00EB1970"/>
    <w:rsid w:val="00EB1B98"/>
    <w:rsid w:val="00EB1CE6"/>
    <w:rsid w:val="00EB2001"/>
    <w:rsid w:val="00EB2188"/>
    <w:rsid w:val="00EB2380"/>
    <w:rsid w:val="00EB23AE"/>
    <w:rsid w:val="00EB2540"/>
    <w:rsid w:val="00EB3035"/>
    <w:rsid w:val="00EB3135"/>
    <w:rsid w:val="00EB349D"/>
    <w:rsid w:val="00EB409F"/>
    <w:rsid w:val="00EB427F"/>
    <w:rsid w:val="00EB44B2"/>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6DAD"/>
    <w:rsid w:val="00EB7572"/>
    <w:rsid w:val="00EB7CCD"/>
    <w:rsid w:val="00EB7F43"/>
    <w:rsid w:val="00EC0092"/>
    <w:rsid w:val="00EC03AF"/>
    <w:rsid w:val="00EC0A3B"/>
    <w:rsid w:val="00EC0A5C"/>
    <w:rsid w:val="00EC0C9F"/>
    <w:rsid w:val="00EC105F"/>
    <w:rsid w:val="00EC1675"/>
    <w:rsid w:val="00EC233F"/>
    <w:rsid w:val="00EC243C"/>
    <w:rsid w:val="00EC25D8"/>
    <w:rsid w:val="00EC29D3"/>
    <w:rsid w:val="00EC2A11"/>
    <w:rsid w:val="00EC2A27"/>
    <w:rsid w:val="00EC2B0C"/>
    <w:rsid w:val="00EC3185"/>
    <w:rsid w:val="00EC33FA"/>
    <w:rsid w:val="00EC349A"/>
    <w:rsid w:val="00EC351C"/>
    <w:rsid w:val="00EC3968"/>
    <w:rsid w:val="00EC3B8D"/>
    <w:rsid w:val="00EC3F4B"/>
    <w:rsid w:val="00EC3FA7"/>
    <w:rsid w:val="00EC3FF3"/>
    <w:rsid w:val="00EC4379"/>
    <w:rsid w:val="00EC442A"/>
    <w:rsid w:val="00EC4C93"/>
    <w:rsid w:val="00EC4D8B"/>
    <w:rsid w:val="00EC557D"/>
    <w:rsid w:val="00EC5988"/>
    <w:rsid w:val="00EC5C0B"/>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468"/>
    <w:rsid w:val="00EC77CC"/>
    <w:rsid w:val="00EC7C45"/>
    <w:rsid w:val="00ED0174"/>
    <w:rsid w:val="00ED0342"/>
    <w:rsid w:val="00ED0759"/>
    <w:rsid w:val="00ED0C08"/>
    <w:rsid w:val="00ED0D88"/>
    <w:rsid w:val="00ED0EAF"/>
    <w:rsid w:val="00ED0FB8"/>
    <w:rsid w:val="00ED10DF"/>
    <w:rsid w:val="00ED1239"/>
    <w:rsid w:val="00ED13B2"/>
    <w:rsid w:val="00ED1806"/>
    <w:rsid w:val="00ED2564"/>
    <w:rsid w:val="00ED2631"/>
    <w:rsid w:val="00ED2B08"/>
    <w:rsid w:val="00ED2EF1"/>
    <w:rsid w:val="00ED3125"/>
    <w:rsid w:val="00ED31E8"/>
    <w:rsid w:val="00ED3241"/>
    <w:rsid w:val="00ED372A"/>
    <w:rsid w:val="00ED383D"/>
    <w:rsid w:val="00ED398B"/>
    <w:rsid w:val="00ED39FE"/>
    <w:rsid w:val="00ED3A99"/>
    <w:rsid w:val="00ED44A3"/>
    <w:rsid w:val="00ED44F2"/>
    <w:rsid w:val="00ED4814"/>
    <w:rsid w:val="00ED53EB"/>
    <w:rsid w:val="00ED5456"/>
    <w:rsid w:val="00ED5637"/>
    <w:rsid w:val="00ED5B6A"/>
    <w:rsid w:val="00ED5C72"/>
    <w:rsid w:val="00ED5DFB"/>
    <w:rsid w:val="00ED5E01"/>
    <w:rsid w:val="00ED642D"/>
    <w:rsid w:val="00ED6773"/>
    <w:rsid w:val="00ED6D3A"/>
    <w:rsid w:val="00ED7106"/>
    <w:rsid w:val="00ED71F7"/>
    <w:rsid w:val="00ED7318"/>
    <w:rsid w:val="00ED74A5"/>
    <w:rsid w:val="00ED7570"/>
    <w:rsid w:val="00ED77FD"/>
    <w:rsid w:val="00EE01DB"/>
    <w:rsid w:val="00EE039E"/>
    <w:rsid w:val="00EE0619"/>
    <w:rsid w:val="00EE0990"/>
    <w:rsid w:val="00EE0A56"/>
    <w:rsid w:val="00EE0AD6"/>
    <w:rsid w:val="00EE0BAC"/>
    <w:rsid w:val="00EE0C27"/>
    <w:rsid w:val="00EE0C59"/>
    <w:rsid w:val="00EE0FB2"/>
    <w:rsid w:val="00EE14DF"/>
    <w:rsid w:val="00EE1B11"/>
    <w:rsid w:val="00EE1B32"/>
    <w:rsid w:val="00EE2B0B"/>
    <w:rsid w:val="00EE2C20"/>
    <w:rsid w:val="00EE2DDA"/>
    <w:rsid w:val="00EE2E1D"/>
    <w:rsid w:val="00EE300F"/>
    <w:rsid w:val="00EE3199"/>
    <w:rsid w:val="00EE3206"/>
    <w:rsid w:val="00EE3B57"/>
    <w:rsid w:val="00EE3D23"/>
    <w:rsid w:val="00EE4103"/>
    <w:rsid w:val="00EE4106"/>
    <w:rsid w:val="00EE42C3"/>
    <w:rsid w:val="00EE487A"/>
    <w:rsid w:val="00EE4C7C"/>
    <w:rsid w:val="00EE4DB1"/>
    <w:rsid w:val="00EE5642"/>
    <w:rsid w:val="00EE5AC7"/>
    <w:rsid w:val="00EE5AF9"/>
    <w:rsid w:val="00EE5F19"/>
    <w:rsid w:val="00EE60EF"/>
    <w:rsid w:val="00EE6137"/>
    <w:rsid w:val="00EE6428"/>
    <w:rsid w:val="00EE674B"/>
    <w:rsid w:val="00EE68D7"/>
    <w:rsid w:val="00EE6A8E"/>
    <w:rsid w:val="00EE71C8"/>
    <w:rsid w:val="00EE71D4"/>
    <w:rsid w:val="00EE737F"/>
    <w:rsid w:val="00EE767E"/>
    <w:rsid w:val="00EE76ED"/>
    <w:rsid w:val="00EE7B24"/>
    <w:rsid w:val="00EE7E1A"/>
    <w:rsid w:val="00EF0013"/>
    <w:rsid w:val="00EF00FE"/>
    <w:rsid w:val="00EF019B"/>
    <w:rsid w:val="00EF071D"/>
    <w:rsid w:val="00EF0775"/>
    <w:rsid w:val="00EF0BC9"/>
    <w:rsid w:val="00EF0DCD"/>
    <w:rsid w:val="00EF10B2"/>
    <w:rsid w:val="00EF11D4"/>
    <w:rsid w:val="00EF1526"/>
    <w:rsid w:val="00EF1720"/>
    <w:rsid w:val="00EF2092"/>
    <w:rsid w:val="00EF210F"/>
    <w:rsid w:val="00EF2335"/>
    <w:rsid w:val="00EF29FE"/>
    <w:rsid w:val="00EF2B39"/>
    <w:rsid w:val="00EF310B"/>
    <w:rsid w:val="00EF33BC"/>
    <w:rsid w:val="00EF3A75"/>
    <w:rsid w:val="00EF3C19"/>
    <w:rsid w:val="00EF3D0C"/>
    <w:rsid w:val="00EF3E9E"/>
    <w:rsid w:val="00EF4409"/>
    <w:rsid w:val="00EF44E9"/>
    <w:rsid w:val="00EF450D"/>
    <w:rsid w:val="00EF45D7"/>
    <w:rsid w:val="00EF4611"/>
    <w:rsid w:val="00EF47C3"/>
    <w:rsid w:val="00EF48BC"/>
    <w:rsid w:val="00EF4967"/>
    <w:rsid w:val="00EF4DFA"/>
    <w:rsid w:val="00EF5373"/>
    <w:rsid w:val="00EF541C"/>
    <w:rsid w:val="00EF5483"/>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A91"/>
    <w:rsid w:val="00EF7E81"/>
    <w:rsid w:val="00EF7F1C"/>
    <w:rsid w:val="00F00336"/>
    <w:rsid w:val="00F0039A"/>
    <w:rsid w:val="00F008B6"/>
    <w:rsid w:val="00F0093A"/>
    <w:rsid w:val="00F00B97"/>
    <w:rsid w:val="00F00BFA"/>
    <w:rsid w:val="00F00F0F"/>
    <w:rsid w:val="00F00F8C"/>
    <w:rsid w:val="00F01233"/>
    <w:rsid w:val="00F017DE"/>
    <w:rsid w:val="00F01C9D"/>
    <w:rsid w:val="00F01F50"/>
    <w:rsid w:val="00F0229E"/>
    <w:rsid w:val="00F02370"/>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C75"/>
    <w:rsid w:val="00F066D7"/>
    <w:rsid w:val="00F0681C"/>
    <w:rsid w:val="00F069B7"/>
    <w:rsid w:val="00F06B2C"/>
    <w:rsid w:val="00F06F01"/>
    <w:rsid w:val="00F06F97"/>
    <w:rsid w:val="00F06FB1"/>
    <w:rsid w:val="00F070F8"/>
    <w:rsid w:val="00F07174"/>
    <w:rsid w:val="00F0728D"/>
    <w:rsid w:val="00F075DF"/>
    <w:rsid w:val="00F0763C"/>
    <w:rsid w:val="00F07843"/>
    <w:rsid w:val="00F07DCF"/>
    <w:rsid w:val="00F07F57"/>
    <w:rsid w:val="00F1013C"/>
    <w:rsid w:val="00F106FE"/>
    <w:rsid w:val="00F107B8"/>
    <w:rsid w:val="00F10BFD"/>
    <w:rsid w:val="00F10C36"/>
    <w:rsid w:val="00F10CD3"/>
    <w:rsid w:val="00F10D66"/>
    <w:rsid w:val="00F112BC"/>
    <w:rsid w:val="00F1157C"/>
    <w:rsid w:val="00F11648"/>
    <w:rsid w:val="00F11EC8"/>
    <w:rsid w:val="00F12084"/>
    <w:rsid w:val="00F120DD"/>
    <w:rsid w:val="00F12702"/>
    <w:rsid w:val="00F12846"/>
    <w:rsid w:val="00F128CE"/>
    <w:rsid w:val="00F12BB8"/>
    <w:rsid w:val="00F12C6F"/>
    <w:rsid w:val="00F13DB6"/>
    <w:rsid w:val="00F1429A"/>
    <w:rsid w:val="00F14449"/>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17FEF"/>
    <w:rsid w:val="00F2003F"/>
    <w:rsid w:val="00F20241"/>
    <w:rsid w:val="00F207A7"/>
    <w:rsid w:val="00F20889"/>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4BF"/>
    <w:rsid w:val="00F2482F"/>
    <w:rsid w:val="00F24DC0"/>
    <w:rsid w:val="00F24E3C"/>
    <w:rsid w:val="00F25323"/>
    <w:rsid w:val="00F254A8"/>
    <w:rsid w:val="00F2554E"/>
    <w:rsid w:val="00F25BC2"/>
    <w:rsid w:val="00F2604A"/>
    <w:rsid w:val="00F2655C"/>
    <w:rsid w:val="00F265E6"/>
    <w:rsid w:val="00F26675"/>
    <w:rsid w:val="00F26678"/>
    <w:rsid w:val="00F269CB"/>
    <w:rsid w:val="00F26A2C"/>
    <w:rsid w:val="00F26BD6"/>
    <w:rsid w:val="00F26F7F"/>
    <w:rsid w:val="00F2709B"/>
    <w:rsid w:val="00F27238"/>
    <w:rsid w:val="00F27295"/>
    <w:rsid w:val="00F2765F"/>
    <w:rsid w:val="00F27875"/>
    <w:rsid w:val="00F27955"/>
    <w:rsid w:val="00F279CE"/>
    <w:rsid w:val="00F27ACD"/>
    <w:rsid w:val="00F27ED9"/>
    <w:rsid w:val="00F301ED"/>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B9A"/>
    <w:rsid w:val="00F35D62"/>
    <w:rsid w:val="00F36548"/>
    <w:rsid w:val="00F3664C"/>
    <w:rsid w:val="00F36826"/>
    <w:rsid w:val="00F36AF3"/>
    <w:rsid w:val="00F36E8F"/>
    <w:rsid w:val="00F37149"/>
    <w:rsid w:val="00F3748B"/>
    <w:rsid w:val="00F374D2"/>
    <w:rsid w:val="00F37B45"/>
    <w:rsid w:val="00F37E1C"/>
    <w:rsid w:val="00F400D4"/>
    <w:rsid w:val="00F40220"/>
    <w:rsid w:val="00F40245"/>
    <w:rsid w:val="00F40662"/>
    <w:rsid w:val="00F406F8"/>
    <w:rsid w:val="00F4077C"/>
    <w:rsid w:val="00F40D4A"/>
    <w:rsid w:val="00F40F3E"/>
    <w:rsid w:val="00F41319"/>
    <w:rsid w:val="00F41343"/>
    <w:rsid w:val="00F416A5"/>
    <w:rsid w:val="00F41DAC"/>
    <w:rsid w:val="00F41FAA"/>
    <w:rsid w:val="00F42366"/>
    <w:rsid w:val="00F42C90"/>
    <w:rsid w:val="00F43177"/>
    <w:rsid w:val="00F4347E"/>
    <w:rsid w:val="00F43679"/>
    <w:rsid w:val="00F436E2"/>
    <w:rsid w:val="00F43826"/>
    <w:rsid w:val="00F43833"/>
    <w:rsid w:val="00F438C6"/>
    <w:rsid w:val="00F43E2B"/>
    <w:rsid w:val="00F442B1"/>
    <w:rsid w:val="00F44467"/>
    <w:rsid w:val="00F44806"/>
    <w:rsid w:val="00F448C8"/>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3E6"/>
    <w:rsid w:val="00F529BF"/>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754"/>
    <w:rsid w:val="00F567C9"/>
    <w:rsid w:val="00F568D9"/>
    <w:rsid w:val="00F56AF3"/>
    <w:rsid w:val="00F56D12"/>
    <w:rsid w:val="00F56DD4"/>
    <w:rsid w:val="00F56DFE"/>
    <w:rsid w:val="00F571F2"/>
    <w:rsid w:val="00F574A1"/>
    <w:rsid w:val="00F57647"/>
    <w:rsid w:val="00F5789C"/>
    <w:rsid w:val="00F602AB"/>
    <w:rsid w:val="00F602BD"/>
    <w:rsid w:val="00F603CA"/>
    <w:rsid w:val="00F60A8B"/>
    <w:rsid w:val="00F60CEE"/>
    <w:rsid w:val="00F61B14"/>
    <w:rsid w:val="00F61B34"/>
    <w:rsid w:val="00F61EE4"/>
    <w:rsid w:val="00F61FDA"/>
    <w:rsid w:val="00F62252"/>
    <w:rsid w:val="00F62E59"/>
    <w:rsid w:val="00F63040"/>
    <w:rsid w:val="00F6318B"/>
    <w:rsid w:val="00F635A6"/>
    <w:rsid w:val="00F6377A"/>
    <w:rsid w:val="00F63B9D"/>
    <w:rsid w:val="00F63EB5"/>
    <w:rsid w:val="00F640EC"/>
    <w:rsid w:val="00F64137"/>
    <w:rsid w:val="00F642F0"/>
    <w:rsid w:val="00F64703"/>
    <w:rsid w:val="00F647A3"/>
    <w:rsid w:val="00F647C9"/>
    <w:rsid w:val="00F64B4C"/>
    <w:rsid w:val="00F64E64"/>
    <w:rsid w:val="00F656C3"/>
    <w:rsid w:val="00F65B34"/>
    <w:rsid w:val="00F65BEB"/>
    <w:rsid w:val="00F6615C"/>
    <w:rsid w:val="00F66436"/>
    <w:rsid w:val="00F668DF"/>
    <w:rsid w:val="00F66957"/>
    <w:rsid w:val="00F66B2E"/>
    <w:rsid w:val="00F66BB4"/>
    <w:rsid w:val="00F6706D"/>
    <w:rsid w:val="00F67579"/>
    <w:rsid w:val="00F67A7B"/>
    <w:rsid w:val="00F67EE7"/>
    <w:rsid w:val="00F700D7"/>
    <w:rsid w:val="00F70486"/>
    <w:rsid w:val="00F7080E"/>
    <w:rsid w:val="00F70B38"/>
    <w:rsid w:val="00F70D51"/>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8FD"/>
    <w:rsid w:val="00F74B88"/>
    <w:rsid w:val="00F74F5C"/>
    <w:rsid w:val="00F751CB"/>
    <w:rsid w:val="00F751FD"/>
    <w:rsid w:val="00F754EF"/>
    <w:rsid w:val="00F7606B"/>
    <w:rsid w:val="00F761FD"/>
    <w:rsid w:val="00F7637D"/>
    <w:rsid w:val="00F7638A"/>
    <w:rsid w:val="00F763F3"/>
    <w:rsid w:val="00F7691F"/>
    <w:rsid w:val="00F76991"/>
    <w:rsid w:val="00F76B15"/>
    <w:rsid w:val="00F76F6F"/>
    <w:rsid w:val="00F772D0"/>
    <w:rsid w:val="00F776C5"/>
    <w:rsid w:val="00F779BA"/>
    <w:rsid w:val="00F77A0C"/>
    <w:rsid w:val="00F77A1B"/>
    <w:rsid w:val="00F8020E"/>
    <w:rsid w:val="00F8071B"/>
    <w:rsid w:val="00F807C9"/>
    <w:rsid w:val="00F80B9E"/>
    <w:rsid w:val="00F80D73"/>
    <w:rsid w:val="00F80F70"/>
    <w:rsid w:val="00F813BA"/>
    <w:rsid w:val="00F81B69"/>
    <w:rsid w:val="00F81F59"/>
    <w:rsid w:val="00F821B2"/>
    <w:rsid w:val="00F823A4"/>
    <w:rsid w:val="00F828CA"/>
    <w:rsid w:val="00F829E8"/>
    <w:rsid w:val="00F82DA6"/>
    <w:rsid w:val="00F82FC2"/>
    <w:rsid w:val="00F836C6"/>
    <w:rsid w:val="00F83712"/>
    <w:rsid w:val="00F838EB"/>
    <w:rsid w:val="00F83A8A"/>
    <w:rsid w:val="00F83F45"/>
    <w:rsid w:val="00F83FBE"/>
    <w:rsid w:val="00F848EF"/>
    <w:rsid w:val="00F852BD"/>
    <w:rsid w:val="00F852F4"/>
    <w:rsid w:val="00F85662"/>
    <w:rsid w:val="00F856C4"/>
    <w:rsid w:val="00F85F3F"/>
    <w:rsid w:val="00F86526"/>
    <w:rsid w:val="00F866A0"/>
    <w:rsid w:val="00F866B1"/>
    <w:rsid w:val="00F86731"/>
    <w:rsid w:val="00F8690F"/>
    <w:rsid w:val="00F870E3"/>
    <w:rsid w:val="00F874A9"/>
    <w:rsid w:val="00F8770A"/>
    <w:rsid w:val="00F8793C"/>
    <w:rsid w:val="00F901B5"/>
    <w:rsid w:val="00F90860"/>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03A"/>
    <w:rsid w:val="00F93325"/>
    <w:rsid w:val="00F936CC"/>
    <w:rsid w:val="00F936EB"/>
    <w:rsid w:val="00F93D70"/>
    <w:rsid w:val="00F93E50"/>
    <w:rsid w:val="00F94883"/>
    <w:rsid w:val="00F94B6A"/>
    <w:rsid w:val="00F94B93"/>
    <w:rsid w:val="00F951D7"/>
    <w:rsid w:val="00F958E3"/>
    <w:rsid w:val="00F959DB"/>
    <w:rsid w:val="00F95A96"/>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22A"/>
    <w:rsid w:val="00FA178E"/>
    <w:rsid w:val="00FA1C96"/>
    <w:rsid w:val="00FA20B3"/>
    <w:rsid w:val="00FA20F1"/>
    <w:rsid w:val="00FA2148"/>
    <w:rsid w:val="00FA2344"/>
    <w:rsid w:val="00FA2603"/>
    <w:rsid w:val="00FA27BD"/>
    <w:rsid w:val="00FA2A61"/>
    <w:rsid w:val="00FA3226"/>
    <w:rsid w:val="00FA3E1D"/>
    <w:rsid w:val="00FA435C"/>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9F6"/>
    <w:rsid w:val="00FB2C86"/>
    <w:rsid w:val="00FB2E58"/>
    <w:rsid w:val="00FB2FD0"/>
    <w:rsid w:val="00FB3400"/>
    <w:rsid w:val="00FB342E"/>
    <w:rsid w:val="00FB3509"/>
    <w:rsid w:val="00FB36BD"/>
    <w:rsid w:val="00FB3831"/>
    <w:rsid w:val="00FB38B0"/>
    <w:rsid w:val="00FB3D15"/>
    <w:rsid w:val="00FB43F0"/>
    <w:rsid w:val="00FB44BE"/>
    <w:rsid w:val="00FB488B"/>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7B1"/>
    <w:rsid w:val="00FC18FD"/>
    <w:rsid w:val="00FC19B0"/>
    <w:rsid w:val="00FC1FEA"/>
    <w:rsid w:val="00FC23DD"/>
    <w:rsid w:val="00FC2489"/>
    <w:rsid w:val="00FC2950"/>
    <w:rsid w:val="00FC327F"/>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5C0B"/>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851"/>
    <w:rsid w:val="00FD0E93"/>
    <w:rsid w:val="00FD0EBA"/>
    <w:rsid w:val="00FD1B41"/>
    <w:rsid w:val="00FD1D87"/>
    <w:rsid w:val="00FD201A"/>
    <w:rsid w:val="00FD21EE"/>
    <w:rsid w:val="00FD2969"/>
    <w:rsid w:val="00FD2F0A"/>
    <w:rsid w:val="00FD312D"/>
    <w:rsid w:val="00FD33B5"/>
    <w:rsid w:val="00FD35CC"/>
    <w:rsid w:val="00FD36CA"/>
    <w:rsid w:val="00FD393E"/>
    <w:rsid w:val="00FD3B14"/>
    <w:rsid w:val="00FD3F5B"/>
    <w:rsid w:val="00FD4426"/>
    <w:rsid w:val="00FD4887"/>
    <w:rsid w:val="00FD49DE"/>
    <w:rsid w:val="00FD4E7C"/>
    <w:rsid w:val="00FD5010"/>
    <w:rsid w:val="00FD508A"/>
    <w:rsid w:val="00FD51A5"/>
    <w:rsid w:val="00FD51DE"/>
    <w:rsid w:val="00FD546D"/>
    <w:rsid w:val="00FD549B"/>
    <w:rsid w:val="00FD57C2"/>
    <w:rsid w:val="00FD5ADF"/>
    <w:rsid w:val="00FD5B0C"/>
    <w:rsid w:val="00FD5DBC"/>
    <w:rsid w:val="00FD6185"/>
    <w:rsid w:val="00FD6286"/>
    <w:rsid w:val="00FD6458"/>
    <w:rsid w:val="00FD645D"/>
    <w:rsid w:val="00FD65B6"/>
    <w:rsid w:val="00FD68DC"/>
    <w:rsid w:val="00FD6DF7"/>
    <w:rsid w:val="00FD76A0"/>
    <w:rsid w:val="00FD76C3"/>
    <w:rsid w:val="00FD7849"/>
    <w:rsid w:val="00FD7B72"/>
    <w:rsid w:val="00FD7EA2"/>
    <w:rsid w:val="00FE0679"/>
    <w:rsid w:val="00FE07ED"/>
    <w:rsid w:val="00FE0844"/>
    <w:rsid w:val="00FE088A"/>
    <w:rsid w:val="00FE0DF1"/>
    <w:rsid w:val="00FE0F1B"/>
    <w:rsid w:val="00FE133C"/>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2A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089"/>
    <w:rsid w:val="00FE7129"/>
    <w:rsid w:val="00FE7636"/>
    <w:rsid w:val="00FE767F"/>
    <w:rsid w:val="00FF00AB"/>
    <w:rsid w:val="00FF022D"/>
    <w:rsid w:val="00FF028A"/>
    <w:rsid w:val="00FF03F3"/>
    <w:rsid w:val="00FF063C"/>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EC"/>
    <w:rsid w:val="00FF31F9"/>
    <w:rsid w:val="00FF3365"/>
    <w:rsid w:val="00FF3774"/>
    <w:rsid w:val="00FF37A8"/>
    <w:rsid w:val="00FF3859"/>
    <w:rsid w:val="00FF3BA1"/>
    <w:rsid w:val="00FF433E"/>
    <w:rsid w:val="00FF4458"/>
    <w:rsid w:val="00FF4512"/>
    <w:rsid w:val="00FF4927"/>
    <w:rsid w:val="00FF4D52"/>
    <w:rsid w:val="00FF4F84"/>
    <w:rsid w:val="00FF5343"/>
    <w:rsid w:val="00FF55CD"/>
    <w:rsid w:val="00FF576E"/>
    <w:rsid w:val="00FF5F5B"/>
    <w:rsid w:val="00FF607F"/>
    <w:rsid w:val="00FF618D"/>
    <w:rsid w:val="00FF623A"/>
    <w:rsid w:val="00FF6388"/>
    <w:rsid w:val="00FF64BD"/>
    <w:rsid w:val="00FF66BF"/>
    <w:rsid w:val="00FF6869"/>
    <w:rsid w:val="00FF6951"/>
    <w:rsid w:val="00FF6C1C"/>
    <w:rsid w:val="00FF6C9E"/>
    <w:rsid w:val="00FF6CB1"/>
    <w:rsid w:val="00FF73C1"/>
    <w:rsid w:val="00FF7537"/>
    <w:rsid w:val="00FF75EC"/>
    <w:rsid w:val="00FF7982"/>
    <w:rsid w:val="0E3351CF"/>
    <w:rsid w:val="16CF66B7"/>
    <w:rsid w:val="1F00543E"/>
    <w:rsid w:val="235D3EC7"/>
    <w:rsid w:val="2DAA7D63"/>
    <w:rsid w:val="3EA73A0B"/>
    <w:rsid w:val="6B896B7E"/>
    <w:rsid w:val="6CF16C94"/>
    <w:rsid w:val="6D140FEE"/>
    <w:rsid w:val="7DFF4B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1"/>
      <w:szCs w:val="24"/>
      <w:lang w:val="en-US" w:eastAsia="zh-CN" w:bidi="ar-SA"/>
    </w:rPr>
  </w:style>
  <w:style w:type="paragraph" w:styleId="2">
    <w:name w:val="heading 1"/>
    <w:basedOn w:val="1"/>
    <w:next w:val="1"/>
    <w:link w:val="44"/>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styleId="3">
    <w:name w:val="heading 2"/>
    <w:basedOn w:val="1"/>
    <w:next w:val="1"/>
    <w:link w:val="45"/>
    <w:qFormat/>
    <w:uiPriority w:val="0"/>
    <w:pPr>
      <w:keepNext/>
      <w:keepLines/>
      <w:widowControl w:val="0"/>
      <w:spacing w:before="60" w:after="60"/>
      <w:jc w:val="both"/>
      <w:outlineLvl w:val="1"/>
    </w:pPr>
    <w:rPr>
      <w:rFonts w:ascii="Arial" w:hAnsi="Arial" w:cs="Times New Roman"/>
      <w:b/>
      <w:bCs/>
      <w:kern w:val="2"/>
      <w:szCs w:val="21"/>
    </w:rPr>
  </w:style>
  <w:style w:type="paragraph" w:styleId="4">
    <w:name w:val="heading 3"/>
    <w:basedOn w:val="1"/>
    <w:next w:val="1"/>
    <w:link w:val="46"/>
    <w:qFormat/>
    <w:uiPriority w:val="9"/>
    <w:pPr>
      <w:keepNext/>
      <w:keepLines/>
      <w:widowControl w:val="0"/>
      <w:spacing w:before="60" w:after="60"/>
      <w:jc w:val="both"/>
      <w:outlineLvl w:val="2"/>
    </w:pPr>
    <w:rPr>
      <w:rFonts w:ascii="Calibri" w:hAnsi="Calibri" w:cs="Times New Roman"/>
      <w:b/>
      <w:bCs/>
      <w:kern w:val="2"/>
      <w:szCs w:val="32"/>
    </w:rPr>
  </w:style>
  <w:style w:type="paragraph" w:styleId="5">
    <w:name w:val="heading 4"/>
    <w:basedOn w:val="1"/>
    <w:next w:val="1"/>
    <w:link w:val="47"/>
    <w:qFormat/>
    <w:uiPriority w:val="9"/>
    <w:pPr>
      <w:keepNext/>
      <w:keepLines/>
      <w:widowControl w:val="0"/>
      <w:spacing w:before="60" w:after="60"/>
      <w:jc w:val="both"/>
      <w:outlineLvl w:val="3"/>
    </w:pPr>
    <w:rPr>
      <w:rFonts w:cs="Times New Roman" w:asciiTheme="minorEastAsia" w:hAnsiTheme="minorEastAsia" w:eastAsiaTheme="minorEastAsia"/>
      <w:b/>
      <w:bCs/>
      <w:kern w:val="2"/>
      <w:szCs w:val="28"/>
    </w:rPr>
  </w:style>
  <w:style w:type="paragraph" w:styleId="6">
    <w:name w:val="heading 5"/>
    <w:basedOn w:val="1"/>
    <w:next w:val="1"/>
    <w:link w:val="48"/>
    <w:qFormat/>
    <w:uiPriority w:val="9"/>
    <w:pPr>
      <w:keepNext/>
      <w:keepLines/>
      <w:widowControl w:val="0"/>
      <w:spacing w:before="60" w:after="60"/>
      <w:jc w:val="both"/>
      <w:outlineLvl w:val="4"/>
    </w:pPr>
    <w:rPr>
      <w:rFonts w:ascii="Calibri" w:hAnsi="Calibri" w:cs="Times New Roman"/>
      <w:b/>
      <w:bCs/>
      <w:kern w:val="2"/>
      <w:szCs w:val="28"/>
    </w:rPr>
  </w:style>
  <w:style w:type="paragraph" w:styleId="7">
    <w:name w:val="heading 6"/>
    <w:basedOn w:val="1"/>
    <w:next w:val="1"/>
    <w:link w:val="73"/>
    <w:unhideWhenUsed/>
    <w:qFormat/>
    <w:uiPriority w:val="9"/>
    <w:pPr>
      <w:keepNext/>
      <w:keepLines/>
      <w:spacing w:before="60" w:after="60"/>
      <w:outlineLvl w:val="5"/>
    </w:pPr>
    <w:rPr>
      <w:rFonts w:asciiTheme="majorHAnsi" w:hAnsiTheme="majorHAnsi" w:cstheme="majorBidi"/>
      <w:b/>
      <w:bCs/>
    </w:rPr>
  </w:style>
  <w:style w:type="paragraph" w:styleId="8">
    <w:name w:val="heading 7"/>
    <w:basedOn w:val="1"/>
    <w:next w:val="1"/>
    <w:link w:val="79"/>
    <w:unhideWhenUsed/>
    <w:qFormat/>
    <w:uiPriority w:val="9"/>
    <w:pPr>
      <w:keepNext/>
      <w:keepLines/>
      <w:spacing w:before="240" w:after="64" w:line="320" w:lineRule="auto"/>
      <w:outlineLvl w:val="6"/>
    </w:pPr>
    <w:rPr>
      <w:b/>
      <w:bCs/>
      <w:sz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widowControl w:val="0"/>
      <w:ind w:left="2520" w:leftChars="1200"/>
      <w:jc w:val="both"/>
    </w:pPr>
    <w:rPr>
      <w:rFonts w:asciiTheme="minorHAnsi" w:hAnsiTheme="minorHAnsi" w:eastAsiaTheme="minorEastAsia" w:cstheme="minorBidi"/>
      <w:kern w:val="2"/>
      <w:szCs w:val="22"/>
    </w:rPr>
  </w:style>
  <w:style w:type="paragraph" w:styleId="10">
    <w:name w:val="Note Heading"/>
    <w:basedOn w:val="1"/>
    <w:next w:val="1"/>
    <w:link w:val="64"/>
    <w:qFormat/>
    <w:uiPriority w:val="99"/>
    <w:pPr>
      <w:widowControl w:val="0"/>
      <w:jc w:val="center"/>
    </w:pPr>
    <w:rPr>
      <w:rFonts w:ascii="Times New Roman" w:hAnsi="Times New Roman" w:cs="Times New Roman"/>
      <w:kern w:val="2"/>
      <w:szCs w:val="21"/>
    </w:rPr>
  </w:style>
  <w:style w:type="paragraph" w:styleId="11">
    <w:name w:val="Normal Indent"/>
    <w:basedOn w:val="1"/>
    <w:qFormat/>
    <w:uiPriority w:val="0"/>
    <w:pPr>
      <w:widowControl w:val="0"/>
      <w:ind w:firstLine="420" w:firstLineChars="200"/>
      <w:jc w:val="both"/>
    </w:pPr>
    <w:rPr>
      <w:rFonts w:ascii="Times New Roman" w:hAnsi="Times New Roman" w:cs="Times New Roman"/>
      <w:kern w:val="2"/>
      <w:szCs w:val="21"/>
    </w:rPr>
  </w:style>
  <w:style w:type="paragraph" w:styleId="12">
    <w:name w:val="Document Map"/>
    <w:basedOn w:val="1"/>
    <w:link w:val="69"/>
    <w:semiHidden/>
    <w:unhideWhenUsed/>
    <w:qFormat/>
    <w:uiPriority w:val="99"/>
    <w:pPr>
      <w:widowControl w:val="0"/>
      <w:jc w:val="both"/>
    </w:pPr>
    <w:rPr>
      <w:rFonts w:hAnsi="Calibri" w:cs="Times New Roman"/>
      <w:kern w:val="2"/>
      <w:sz w:val="18"/>
      <w:szCs w:val="18"/>
    </w:rPr>
  </w:style>
  <w:style w:type="paragraph" w:styleId="13">
    <w:name w:val="toa heading"/>
    <w:basedOn w:val="1"/>
    <w:next w:val="1"/>
    <w:semiHidden/>
    <w:qFormat/>
    <w:uiPriority w:val="0"/>
    <w:pPr>
      <w:widowControl w:val="0"/>
      <w:spacing w:before="120"/>
      <w:jc w:val="both"/>
    </w:pPr>
    <w:rPr>
      <w:rFonts w:ascii="Arial" w:hAnsi="Arial" w:cs="Times New Roman"/>
      <w:b/>
      <w:bCs/>
      <w:kern w:val="2"/>
      <w:szCs w:val="21"/>
    </w:rPr>
  </w:style>
  <w:style w:type="paragraph" w:styleId="14">
    <w:name w:val="annotation text"/>
    <w:basedOn w:val="1"/>
    <w:link w:val="50"/>
    <w:qFormat/>
    <w:uiPriority w:val="99"/>
    <w:pPr>
      <w:widowControl w:val="0"/>
    </w:pPr>
    <w:rPr>
      <w:rFonts w:ascii="Times New Roman" w:hAnsi="Times New Roman" w:cs="Times New Roman"/>
      <w:kern w:val="2"/>
      <w:szCs w:val="21"/>
    </w:rPr>
  </w:style>
  <w:style w:type="paragraph" w:styleId="15">
    <w:name w:val="Salutation"/>
    <w:basedOn w:val="1"/>
    <w:next w:val="1"/>
    <w:link w:val="52"/>
    <w:qFormat/>
    <w:uiPriority w:val="99"/>
    <w:pPr>
      <w:widowControl w:val="0"/>
      <w:jc w:val="both"/>
    </w:pPr>
    <w:rPr>
      <w:rFonts w:ascii="Times New Roman" w:hAnsi="Times New Roman" w:cs="Times New Roman"/>
      <w:kern w:val="2"/>
      <w:szCs w:val="21"/>
    </w:rPr>
  </w:style>
  <w:style w:type="paragraph" w:styleId="16">
    <w:name w:val="List Bullet 3"/>
    <w:basedOn w:val="1"/>
    <w:qFormat/>
    <w:uiPriority w:val="0"/>
    <w:pPr>
      <w:widowControl w:val="0"/>
      <w:tabs>
        <w:tab w:val="left" w:pos="1200"/>
      </w:tabs>
      <w:jc w:val="both"/>
    </w:pPr>
    <w:rPr>
      <w:rFonts w:ascii="Times New Roman" w:hAnsi="Times New Roman" w:cs="Times New Roman"/>
      <w:kern w:val="2"/>
      <w:szCs w:val="21"/>
    </w:rPr>
  </w:style>
  <w:style w:type="paragraph" w:styleId="17">
    <w:name w:val="Body Text"/>
    <w:basedOn w:val="1"/>
    <w:link w:val="61"/>
    <w:qFormat/>
    <w:uiPriority w:val="99"/>
    <w:pPr>
      <w:widowControl w:val="0"/>
      <w:spacing w:after="120"/>
      <w:jc w:val="both"/>
    </w:pPr>
    <w:rPr>
      <w:rFonts w:ascii="Times New Roman" w:hAnsi="Times New Roman" w:cs="Times New Roman"/>
      <w:kern w:val="2"/>
      <w:szCs w:val="21"/>
    </w:rPr>
  </w:style>
  <w:style w:type="paragraph" w:styleId="18">
    <w:name w:val="toc 5"/>
    <w:basedOn w:val="1"/>
    <w:next w:val="1"/>
    <w:unhideWhenUsed/>
    <w:qFormat/>
    <w:uiPriority w:val="39"/>
    <w:pPr>
      <w:widowControl w:val="0"/>
      <w:ind w:left="1680" w:leftChars="800"/>
      <w:jc w:val="both"/>
    </w:pPr>
    <w:rPr>
      <w:rFonts w:asciiTheme="minorHAnsi" w:hAnsiTheme="minorHAnsi" w:eastAsiaTheme="minorEastAsia" w:cstheme="minorBidi"/>
      <w:kern w:val="2"/>
      <w:szCs w:val="22"/>
    </w:rPr>
  </w:style>
  <w:style w:type="paragraph" w:styleId="19">
    <w:name w:val="toc 3"/>
    <w:basedOn w:val="1"/>
    <w:next w:val="1"/>
    <w:unhideWhenUsed/>
    <w:qFormat/>
    <w:uiPriority w:val="39"/>
    <w:pPr>
      <w:spacing w:after="100" w:line="276" w:lineRule="auto"/>
      <w:ind w:left="440"/>
    </w:pPr>
    <w:rPr>
      <w:rFonts w:ascii="Calibri" w:hAnsi="Calibri" w:cs="Times New Roman"/>
      <w:sz w:val="22"/>
      <w:szCs w:val="22"/>
    </w:rPr>
  </w:style>
  <w:style w:type="paragraph" w:styleId="20">
    <w:name w:val="Plain Text"/>
    <w:basedOn w:val="1"/>
    <w:link w:val="59"/>
    <w:qFormat/>
    <w:uiPriority w:val="0"/>
    <w:pPr>
      <w:widowControl w:val="0"/>
      <w:jc w:val="both"/>
    </w:pPr>
    <w:rPr>
      <w:rFonts w:hAnsi="Courier New" w:cs="Times New Roman"/>
      <w:kern w:val="2"/>
      <w:szCs w:val="20"/>
    </w:rPr>
  </w:style>
  <w:style w:type="paragraph" w:styleId="21">
    <w:name w:val="toc 8"/>
    <w:basedOn w:val="1"/>
    <w:next w:val="1"/>
    <w:unhideWhenUsed/>
    <w:qFormat/>
    <w:uiPriority w:val="39"/>
    <w:pPr>
      <w:widowControl w:val="0"/>
      <w:ind w:left="2940" w:leftChars="1400"/>
      <w:jc w:val="both"/>
    </w:pPr>
    <w:rPr>
      <w:rFonts w:asciiTheme="minorHAnsi" w:hAnsiTheme="minorHAnsi" w:eastAsiaTheme="minorEastAsia" w:cstheme="minorBidi"/>
      <w:kern w:val="2"/>
      <w:szCs w:val="22"/>
    </w:rPr>
  </w:style>
  <w:style w:type="paragraph" w:styleId="22">
    <w:name w:val="Date"/>
    <w:basedOn w:val="1"/>
    <w:next w:val="1"/>
    <w:link w:val="63"/>
    <w:qFormat/>
    <w:uiPriority w:val="99"/>
    <w:pPr>
      <w:widowControl w:val="0"/>
      <w:ind w:left="100" w:leftChars="2500"/>
      <w:jc w:val="both"/>
    </w:pPr>
    <w:rPr>
      <w:rFonts w:ascii="Times New Roman" w:hAnsi="Times New Roman" w:cs="Times New Roman"/>
      <w:kern w:val="2"/>
      <w:szCs w:val="21"/>
    </w:rPr>
  </w:style>
  <w:style w:type="paragraph" w:styleId="23">
    <w:name w:val="endnote text"/>
    <w:basedOn w:val="1"/>
    <w:link w:val="74"/>
    <w:semiHidden/>
    <w:unhideWhenUsed/>
    <w:qFormat/>
    <w:uiPriority w:val="99"/>
    <w:pPr>
      <w:snapToGrid w:val="0"/>
    </w:pPr>
  </w:style>
  <w:style w:type="paragraph" w:styleId="24">
    <w:name w:val="Balloon Text"/>
    <w:basedOn w:val="1"/>
    <w:link w:val="51"/>
    <w:unhideWhenUsed/>
    <w:qFormat/>
    <w:uiPriority w:val="99"/>
    <w:pPr>
      <w:widowControl w:val="0"/>
      <w:jc w:val="both"/>
    </w:pPr>
    <w:rPr>
      <w:rFonts w:ascii="Calibri" w:hAnsi="Calibri" w:cs="Times New Roman"/>
      <w:kern w:val="2"/>
      <w:sz w:val="18"/>
      <w:szCs w:val="18"/>
    </w:rPr>
  </w:style>
  <w:style w:type="paragraph" w:styleId="25">
    <w:name w:val="footer"/>
    <w:basedOn w:val="1"/>
    <w:link w:val="58"/>
    <w:unhideWhenUsed/>
    <w:qFormat/>
    <w:uiPriority w:val="99"/>
    <w:pPr>
      <w:widowControl w:val="0"/>
      <w:tabs>
        <w:tab w:val="center" w:pos="4153"/>
        <w:tab w:val="right" w:pos="8306"/>
      </w:tabs>
      <w:snapToGrid w:val="0"/>
    </w:pPr>
    <w:rPr>
      <w:rFonts w:ascii="Calibri" w:hAnsi="Calibri" w:cs="Times New Roman"/>
      <w:kern w:val="2"/>
      <w:sz w:val="18"/>
      <w:szCs w:val="18"/>
    </w:rPr>
  </w:style>
  <w:style w:type="paragraph" w:styleId="26">
    <w:name w:val="header"/>
    <w:basedOn w:val="1"/>
    <w:link w:val="57"/>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styleId="27">
    <w:name w:val="toc 1"/>
    <w:basedOn w:val="1"/>
    <w:next w:val="1"/>
    <w:qFormat/>
    <w:uiPriority w:val="39"/>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8">
    <w:name w:val="toc 4"/>
    <w:basedOn w:val="1"/>
    <w:next w:val="1"/>
    <w:unhideWhenUsed/>
    <w:qFormat/>
    <w:uiPriority w:val="39"/>
    <w:pPr>
      <w:widowControl w:val="0"/>
      <w:ind w:left="1260" w:leftChars="600"/>
      <w:jc w:val="both"/>
    </w:pPr>
    <w:rPr>
      <w:rFonts w:asciiTheme="minorHAnsi" w:hAnsiTheme="minorHAnsi" w:eastAsiaTheme="minorEastAsia" w:cstheme="minorBidi"/>
      <w:kern w:val="2"/>
      <w:szCs w:val="22"/>
    </w:rPr>
  </w:style>
  <w:style w:type="paragraph" w:styleId="29">
    <w:name w:val="footnote text"/>
    <w:basedOn w:val="1"/>
    <w:link w:val="104"/>
    <w:semiHidden/>
    <w:unhideWhenUsed/>
    <w:qFormat/>
    <w:uiPriority w:val="99"/>
    <w:pPr>
      <w:snapToGrid w:val="0"/>
    </w:pPr>
    <w:rPr>
      <w:sz w:val="18"/>
      <w:szCs w:val="18"/>
    </w:rPr>
  </w:style>
  <w:style w:type="paragraph" w:styleId="30">
    <w:name w:val="toc 6"/>
    <w:basedOn w:val="1"/>
    <w:next w:val="1"/>
    <w:unhideWhenUsed/>
    <w:qFormat/>
    <w:uiPriority w:val="39"/>
    <w:pPr>
      <w:widowControl w:val="0"/>
      <w:ind w:left="2100" w:leftChars="1000"/>
      <w:jc w:val="both"/>
    </w:pPr>
    <w:rPr>
      <w:rFonts w:asciiTheme="minorHAnsi" w:hAnsiTheme="minorHAnsi" w:eastAsiaTheme="minorEastAsia" w:cstheme="minorBidi"/>
      <w:kern w:val="2"/>
      <w:szCs w:val="22"/>
    </w:rPr>
  </w:style>
  <w:style w:type="paragraph" w:styleId="31">
    <w:name w:val="toc 2"/>
    <w:basedOn w:val="1"/>
    <w:next w:val="1"/>
    <w:qFormat/>
    <w:uiPriority w:val="39"/>
    <w:pPr>
      <w:widowControl w:val="0"/>
      <w:ind w:left="420" w:leftChars="200"/>
      <w:jc w:val="both"/>
    </w:pPr>
    <w:rPr>
      <w:rFonts w:ascii="Times New Roman" w:hAnsi="Times New Roman" w:cs="Times New Roman"/>
      <w:kern w:val="2"/>
      <w:szCs w:val="21"/>
    </w:rPr>
  </w:style>
  <w:style w:type="paragraph" w:styleId="32">
    <w:name w:val="toc 9"/>
    <w:basedOn w:val="1"/>
    <w:next w:val="1"/>
    <w:unhideWhenUsed/>
    <w:qFormat/>
    <w:uiPriority w:val="39"/>
    <w:pPr>
      <w:widowControl w:val="0"/>
      <w:ind w:left="3360" w:leftChars="1600"/>
      <w:jc w:val="both"/>
    </w:pPr>
    <w:rPr>
      <w:rFonts w:asciiTheme="minorHAnsi" w:hAnsiTheme="minorHAnsi" w:eastAsiaTheme="minorEastAsia" w:cstheme="minorBidi"/>
      <w:kern w:val="2"/>
      <w:szCs w:val="22"/>
    </w:rPr>
  </w:style>
  <w:style w:type="paragraph" w:styleId="33">
    <w:name w:val="Normal (Web)"/>
    <w:basedOn w:val="1"/>
    <w:qFormat/>
    <w:uiPriority w:val="99"/>
    <w:pPr>
      <w:spacing w:before="100" w:beforeAutospacing="1" w:after="100" w:afterAutospacing="1"/>
    </w:pPr>
    <w:rPr>
      <w:sz w:val="24"/>
    </w:rPr>
  </w:style>
  <w:style w:type="paragraph" w:styleId="34">
    <w:name w:val="index 1"/>
    <w:basedOn w:val="1"/>
    <w:next w:val="1"/>
    <w:semiHidden/>
    <w:qFormat/>
    <w:uiPriority w:val="0"/>
    <w:pPr>
      <w:ind w:firstLine="420" w:firstLineChars="200"/>
    </w:pPr>
    <w:rPr>
      <w:rFonts w:cs="Times New Roman"/>
      <w:color w:val="000000"/>
      <w:szCs w:val="21"/>
    </w:rPr>
  </w:style>
  <w:style w:type="paragraph" w:styleId="35">
    <w:name w:val="Title"/>
    <w:basedOn w:val="1"/>
    <w:next w:val="1"/>
    <w:link w:val="71"/>
    <w:qFormat/>
    <w:uiPriority w:val="10"/>
    <w:pPr>
      <w:widowControl w:val="0"/>
      <w:spacing w:before="240" w:after="60"/>
      <w:jc w:val="center"/>
      <w:outlineLvl w:val="0"/>
    </w:pPr>
    <w:rPr>
      <w:rFonts w:asciiTheme="majorHAnsi" w:hAnsiTheme="majorHAnsi" w:cstheme="majorBidi"/>
      <w:b/>
      <w:bCs/>
      <w:kern w:val="2"/>
      <w:sz w:val="32"/>
      <w:szCs w:val="32"/>
    </w:rPr>
  </w:style>
  <w:style w:type="paragraph" w:styleId="36">
    <w:name w:val="annotation subject"/>
    <w:basedOn w:val="14"/>
    <w:next w:val="14"/>
    <w:link w:val="56"/>
    <w:unhideWhenUsed/>
    <w:qFormat/>
    <w:uiPriority w:val="99"/>
    <w:rPr>
      <w:rFonts w:ascii="Calibri" w:hAnsi="Calibri"/>
      <w:b/>
      <w:bCs/>
      <w:szCs w:val="22"/>
    </w:rPr>
  </w:style>
  <w:style w:type="table" w:styleId="38">
    <w:name w:val="Table Grid"/>
    <w:basedOn w:val="37"/>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endnote reference"/>
    <w:basedOn w:val="39"/>
    <w:semiHidden/>
    <w:unhideWhenUsed/>
    <w:qFormat/>
    <w:uiPriority w:val="99"/>
    <w:rPr>
      <w:vertAlign w:val="superscript"/>
    </w:rPr>
  </w:style>
  <w:style w:type="character" w:styleId="41">
    <w:name w:val="Hyperlink"/>
    <w:basedOn w:val="39"/>
    <w:qFormat/>
    <w:uiPriority w:val="99"/>
    <w:rPr>
      <w:rFonts w:cs="Times New Roman"/>
      <w:color w:val="0000FF"/>
      <w:u w:val="single"/>
    </w:rPr>
  </w:style>
  <w:style w:type="character" w:styleId="42">
    <w:name w:val="annotation reference"/>
    <w:basedOn w:val="39"/>
    <w:qFormat/>
    <w:uiPriority w:val="99"/>
    <w:rPr>
      <w:rFonts w:eastAsia="宋体" w:cs="Times New Roman"/>
      <w:kern w:val="2"/>
      <w:sz w:val="21"/>
      <w:szCs w:val="21"/>
      <w:lang w:val="en-US" w:eastAsia="zh-CN" w:bidi="ar-SA"/>
    </w:rPr>
  </w:style>
  <w:style w:type="character" w:styleId="43">
    <w:name w:val="footnote reference"/>
    <w:basedOn w:val="39"/>
    <w:semiHidden/>
    <w:unhideWhenUsed/>
    <w:uiPriority w:val="99"/>
    <w:rPr>
      <w:vertAlign w:val="superscript"/>
    </w:rPr>
  </w:style>
  <w:style w:type="character" w:customStyle="1" w:styleId="44">
    <w:name w:val="标题 1 Char"/>
    <w:basedOn w:val="39"/>
    <w:link w:val="2"/>
    <w:qFormat/>
    <w:uiPriority w:val="99"/>
    <w:rPr>
      <w:rFonts w:eastAsia="黑体"/>
      <w:b/>
      <w:bCs/>
      <w:kern w:val="44"/>
      <w:sz w:val="28"/>
      <w:szCs w:val="44"/>
    </w:rPr>
  </w:style>
  <w:style w:type="character" w:customStyle="1" w:styleId="45">
    <w:name w:val="标题 2 Char2"/>
    <w:basedOn w:val="39"/>
    <w:link w:val="3"/>
    <w:qFormat/>
    <w:uiPriority w:val="0"/>
    <w:rPr>
      <w:rFonts w:ascii="Arial" w:hAnsi="Arial"/>
      <w:b/>
      <w:bCs/>
      <w:kern w:val="2"/>
      <w:sz w:val="21"/>
      <w:szCs w:val="21"/>
    </w:rPr>
  </w:style>
  <w:style w:type="character" w:customStyle="1" w:styleId="46">
    <w:name w:val="标题 3 Char3"/>
    <w:basedOn w:val="39"/>
    <w:link w:val="4"/>
    <w:qFormat/>
    <w:uiPriority w:val="9"/>
    <w:rPr>
      <w:b/>
      <w:bCs/>
      <w:kern w:val="2"/>
      <w:sz w:val="21"/>
      <w:szCs w:val="32"/>
    </w:rPr>
  </w:style>
  <w:style w:type="character" w:customStyle="1" w:styleId="47">
    <w:name w:val="标题 4 Char1"/>
    <w:basedOn w:val="39"/>
    <w:link w:val="5"/>
    <w:qFormat/>
    <w:uiPriority w:val="9"/>
    <w:rPr>
      <w:rFonts w:asciiTheme="minorEastAsia" w:hAnsiTheme="minorEastAsia" w:eastAsiaTheme="minorEastAsia"/>
      <w:b/>
      <w:bCs/>
      <w:kern w:val="2"/>
      <w:sz w:val="21"/>
      <w:szCs w:val="28"/>
    </w:rPr>
  </w:style>
  <w:style w:type="character" w:customStyle="1" w:styleId="48">
    <w:name w:val="标题 5 Char3"/>
    <w:basedOn w:val="39"/>
    <w:link w:val="6"/>
    <w:qFormat/>
    <w:uiPriority w:val="9"/>
    <w:rPr>
      <w:b/>
      <w:bCs/>
      <w:kern w:val="2"/>
      <w:sz w:val="21"/>
      <w:szCs w:val="28"/>
    </w:rPr>
  </w:style>
  <w:style w:type="paragraph" w:customStyle="1" w:styleId="49">
    <w:name w:val="TOC Heading"/>
    <w:basedOn w:val="2"/>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50">
    <w:name w:val="批注文字 Char3"/>
    <w:basedOn w:val="39"/>
    <w:link w:val="14"/>
    <w:qFormat/>
    <w:uiPriority w:val="99"/>
    <w:rPr>
      <w:rFonts w:ascii="Times New Roman" w:hAnsi="Times New Roman" w:eastAsia="宋体" w:cs="Times New Roman"/>
      <w:szCs w:val="21"/>
    </w:rPr>
  </w:style>
  <w:style w:type="character" w:customStyle="1" w:styleId="51">
    <w:name w:val="批注框文本 Char"/>
    <w:basedOn w:val="39"/>
    <w:link w:val="24"/>
    <w:qFormat/>
    <w:uiPriority w:val="99"/>
    <w:rPr>
      <w:rFonts w:ascii="Calibri" w:hAnsi="Calibri" w:eastAsia="宋体" w:cs="Times New Roman"/>
      <w:sz w:val="18"/>
      <w:szCs w:val="18"/>
    </w:rPr>
  </w:style>
  <w:style w:type="character" w:customStyle="1" w:styleId="52">
    <w:name w:val="称呼 Char1"/>
    <w:basedOn w:val="39"/>
    <w:link w:val="15"/>
    <w:qFormat/>
    <w:uiPriority w:val="99"/>
    <w:rPr>
      <w:rFonts w:ascii="Times New Roman" w:hAnsi="Times New Roman" w:eastAsia="宋体" w:cs="Times New Roman"/>
      <w:szCs w:val="21"/>
    </w:rPr>
  </w:style>
  <w:style w:type="character" w:customStyle="1" w:styleId="53">
    <w:name w:val="notnullcss1"/>
    <w:basedOn w:val="39"/>
    <w:qFormat/>
    <w:uiPriority w:val="99"/>
    <w:rPr>
      <w:rFonts w:eastAsia="宋体" w:cs="Times New Roman"/>
      <w:color w:val="FF0000"/>
      <w:kern w:val="2"/>
      <w:sz w:val="24"/>
      <w:szCs w:val="24"/>
      <w:lang w:val="en-US" w:eastAsia="zh-CN" w:bidi="ar-SA"/>
    </w:rPr>
  </w:style>
  <w:style w:type="paragraph" w:customStyle="1" w:styleId="54">
    <w:name w:val="xl61"/>
    <w:basedOn w:val="1"/>
    <w:qFormat/>
    <w:uiPriority w:val="99"/>
    <w:pPr>
      <w:spacing w:before="100" w:after="100"/>
      <w:jc w:val="right"/>
    </w:pPr>
    <w:rPr>
      <w:rFonts w:ascii="Arial Unicode MS" w:hAnsi="Times New Roman" w:eastAsia="Arial Unicode MS" w:cs="Times New Roman"/>
      <w:sz w:val="18"/>
      <w:szCs w:val="18"/>
    </w:rPr>
  </w:style>
  <w:style w:type="paragraph" w:styleId="55">
    <w:name w:val="List Paragraph"/>
    <w:basedOn w:val="1"/>
    <w:qFormat/>
    <w:uiPriority w:val="34"/>
    <w:pPr>
      <w:widowControl w:val="0"/>
      <w:ind w:firstLine="420" w:firstLineChars="200"/>
      <w:jc w:val="both"/>
    </w:pPr>
    <w:rPr>
      <w:rFonts w:ascii="Calibri" w:hAnsi="Calibri" w:cs="Times New Roman"/>
      <w:kern w:val="2"/>
      <w:szCs w:val="22"/>
    </w:rPr>
  </w:style>
  <w:style w:type="character" w:customStyle="1" w:styleId="56">
    <w:name w:val="批注主题 Char"/>
    <w:basedOn w:val="50"/>
    <w:link w:val="36"/>
    <w:qFormat/>
    <w:uiPriority w:val="99"/>
    <w:rPr>
      <w:rFonts w:ascii="Calibri" w:hAnsi="Calibri" w:eastAsia="宋体" w:cs="Times New Roman"/>
      <w:b/>
      <w:bCs/>
      <w:szCs w:val="21"/>
    </w:rPr>
  </w:style>
  <w:style w:type="character" w:customStyle="1" w:styleId="57">
    <w:name w:val="页眉 Char"/>
    <w:basedOn w:val="39"/>
    <w:link w:val="26"/>
    <w:qFormat/>
    <w:uiPriority w:val="99"/>
    <w:rPr>
      <w:rFonts w:ascii="Calibri" w:hAnsi="Calibri" w:eastAsia="宋体" w:cs="Times New Roman"/>
      <w:sz w:val="18"/>
      <w:szCs w:val="18"/>
    </w:rPr>
  </w:style>
  <w:style w:type="character" w:customStyle="1" w:styleId="58">
    <w:name w:val="页脚 Char"/>
    <w:basedOn w:val="39"/>
    <w:link w:val="25"/>
    <w:qFormat/>
    <w:uiPriority w:val="99"/>
    <w:rPr>
      <w:rFonts w:ascii="Calibri" w:hAnsi="Calibri" w:eastAsia="宋体" w:cs="Times New Roman"/>
      <w:sz w:val="18"/>
      <w:szCs w:val="18"/>
    </w:rPr>
  </w:style>
  <w:style w:type="character" w:customStyle="1" w:styleId="59">
    <w:name w:val="纯文本 Char"/>
    <w:basedOn w:val="39"/>
    <w:link w:val="20"/>
    <w:qFormat/>
    <w:uiPriority w:val="0"/>
    <w:rPr>
      <w:rFonts w:ascii="宋体" w:hAnsi="Courier New" w:eastAsia="宋体" w:cs="Times New Roman"/>
      <w:szCs w:val="20"/>
    </w:rPr>
  </w:style>
  <w:style w:type="character" w:customStyle="1" w:styleId="60">
    <w:name w:val="headline-content2"/>
    <w:basedOn w:val="39"/>
    <w:qFormat/>
    <w:uiPriority w:val="0"/>
    <w:rPr>
      <w:rFonts w:eastAsia="宋体" w:cs="Times New Roman"/>
      <w:kern w:val="2"/>
      <w:sz w:val="24"/>
      <w:szCs w:val="24"/>
      <w:lang w:val="en-US" w:eastAsia="zh-CN" w:bidi="ar-SA"/>
    </w:rPr>
  </w:style>
  <w:style w:type="character" w:customStyle="1" w:styleId="61">
    <w:name w:val="正文文本 Char"/>
    <w:basedOn w:val="39"/>
    <w:link w:val="17"/>
    <w:qFormat/>
    <w:uiPriority w:val="99"/>
    <w:rPr>
      <w:rFonts w:ascii="Times New Roman" w:hAnsi="Times New Roman" w:eastAsia="宋体" w:cs="Times New Roman"/>
      <w:szCs w:val="21"/>
    </w:rPr>
  </w:style>
  <w:style w:type="paragraph" w:customStyle="1" w:styleId="62">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63">
    <w:name w:val="日期 Char"/>
    <w:basedOn w:val="39"/>
    <w:link w:val="22"/>
    <w:qFormat/>
    <w:uiPriority w:val="99"/>
    <w:rPr>
      <w:rFonts w:ascii="Times New Roman" w:hAnsi="Times New Roman" w:eastAsia="宋体" w:cs="Times New Roman"/>
      <w:szCs w:val="21"/>
    </w:rPr>
  </w:style>
  <w:style w:type="character" w:customStyle="1" w:styleId="64">
    <w:name w:val="注释标题 Char"/>
    <w:basedOn w:val="39"/>
    <w:link w:val="10"/>
    <w:qFormat/>
    <w:uiPriority w:val="99"/>
    <w:rPr>
      <w:rFonts w:ascii="Times New Roman" w:hAnsi="Times New Roman" w:eastAsia="宋体" w:cs="Times New Roman"/>
      <w:szCs w:val="21"/>
    </w:rPr>
  </w:style>
  <w:style w:type="paragraph" w:customStyle="1" w:styleId="65">
    <w:name w:val="标题5"/>
    <w:basedOn w:val="1"/>
    <w:qFormat/>
    <w:uiPriority w:val="0"/>
    <w:pPr>
      <w:keepNext/>
      <w:keepLines/>
      <w:widowControl w:val="0"/>
      <w:spacing w:before="60" w:after="60"/>
      <w:ind w:hanging="420" w:hangingChars="200"/>
      <w:jc w:val="both"/>
      <w:outlineLvl w:val="4"/>
    </w:pPr>
    <w:rPr>
      <w:rFonts w:cs="Times New Roman"/>
      <w:b/>
      <w:bCs/>
      <w:kern w:val="2"/>
      <w:szCs w:val="21"/>
    </w:rPr>
  </w:style>
  <w:style w:type="paragraph" w:customStyle="1" w:styleId="66">
    <w:name w:val="Revision"/>
    <w:hidden/>
    <w:semiHidden/>
    <w:qFormat/>
    <w:uiPriority w:val="99"/>
    <w:rPr>
      <w:rFonts w:ascii="Calibri" w:hAnsi="Calibri" w:eastAsia="宋体" w:cs="Times New Roman"/>
      <w:kern w:val="2"/>
      <w:sz w:val="21"/>
      <w:szCs w:val="22"/>
      <w:lang w:val="en-US" w:eastAsia="zh-CN" w:bidi="ar-SA"/>
    </w:rPr>
  </w:style>
  <w:style w:type="character" w:customStyle="1" w:styleId="67">
    <w:name w:val="正文的样式 Char"/>
    <w:basedOn w:val="39"/>
    <w:link w:val="68"/>
    <w:qFormat/>
    <w:uiPriority w:val="0"/>
    <w:rPr>
      <w:kern w:val="2"/>
      <w:sz w:val="21"/>
      <w:szCs w:val="24"/>
    </w:rPr>
  </w:style>
  <w:style w:type="paragraph" w:customStyle="1" w:styleId="68">
    <w:name w:val="正文的样式"/>
    <w:basedOn w:val="1"/>
    <w:link w:val="67"/>
    <w:qFormat/>
    <w:uiPriority w:val="0"/>
    <w:pPr>
      <w:widowControl w:val="0"/>
      <w:spacing w:before="100" w:after="100"/>
      <w:jc w:val="both"/>
    </w:pPr>
    <w:rPr>
      <w:rFonts w:ascii="Calibri" w:hAnsi="Calibri" w:cs="Times New Roman"/>
      <w:kern w:val="2"/>
    </w:rPr>
  </w:style>
  <w:style w:type="character" w:customStyle="1" w:styleId="69">
    <w:name w:val="文档结构图 Char"/>
    <w:basedOn w:val="39"/>
    <w:link w:val="12"/>
    <w:semiHidden/>
    <w:qFormat/>
    <w:uiPriority w:val="99"/>
    <w:rPr>
      <w:rFonts w:ascii="宋体"/>
      <w:kern w:val="2"/>
      <w:sz w:val="18"/>
      <w:szCs w:val="18"/>
    </w:rPr>
  </w:style>
  <w:style w:type="character" w:styleId="70">
    <w:name w:val="Placeholder Text"/>
    <w:basedOn w:val="39"/>
    <w:semiHidden/>
    <w:qFormat/>
    <w:uiPriority w:val="99"/>
    <w:rPr>
      <w:color w:val="auto"/>
    </w:rPr>
  </w:style>
  <w:style w:type="character" w:customStyle="1" w:styleId="71">
    <w:name w:val="标题 Char"/>
    <w:basedOn w:val="39"/>
    <w:link w:val="35"/>
    <w:qFormat/>
    <w:uiPriority w:val="10"/>
    <w:rPr>
      <w:rFonts w:asciiTheme="majorHAnsi" w:hAnsiTheme="majorHAnsi" w:cstheme="majorBidi"/>
      <w:b/>
      <w:bCs/>
      <w:kern w:val="2"/>
      <w:sz w:val="32"/>
      <w:szCs w:val="32"/>
    </w:rPr>
  </w:style>
  <w:style w:type="paragraph" w:styleId="72">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73">
    <w:name w:val="标题 6 Char"/>
    <w:basedOn w:val="39"/>
    <w:link w:val="7"/>
    <w:qFormat/>
    <w:uiPriority w:val="9"/>
    <w:rPr>
      <w:rFonts w:asciiTheme="majorHAnsi" w:hAnsiTheme="majorHAnsi" w:cstheme="majorBidi"/>
      <w:b/>
      <w:bCs/>
      <w:sz w:val="21"/>
      <w:szCs w:val="24"/>
    </w:rPr>
  </w:style>
  <w:style w:type="character" w:customStyle="1" w:styleId="74">
    <w:name w:val="尾注文本 Char"/>
    <w:basedOn w:val="39"/>
    <w:link w:val="23"/>
    <w:semiHidden/>
    <w:qFormat/>
    <w:uiPriority w:val="99"/>
    <w:rPr>
      <w:rFonts w:ascii="宋体" w:hAnsi="宋体" w:cs="宋体"/>
      <w:sz w:val="21"/>
      <w:szCs w:val="24"/>
    </w:rPr>
  </w:style>
  <w:style w:type="character" w:customStyle="1" w:styleId="75">
    <w:name w:val="批注主题 Char1"/>
    <w:basedOn w:val="50"/>
    <w:semiHidden/>
    <w:qFormat/>
    <w:uiPriority w:val="99"/>
    <w:rPr>
      <w:rFonts w:ascii="Times New Roman" w:hAnsi="Times New Roman" w:eastAsia="宋体" w:cs="Times New Roman"/>
      <w:b/>
      <w:bCs/>
      <w:szCs w:val="21"/>
    </w:rPr>
  </w:style>
  <w:style w:type="character" w:customStyle="1" w:styleId="76">
    <w:name w:val="span_"/>
    <w:basedOn w:val="39"/>
    <w:qFormat/>
    <w:uiPriority w:val="0"/>
  </w:style>
  <w:style w:type="paragraph" w:customStyle="1" w:styleId="77">
    <w:name w:val="标题  3"/>
    <w:basedOn w:val="1"/>
    <w:next w:val="1"/>
    <w:link w:val="78"/>
    <w:qFormat/>
    <w:uiPriority w:val="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78">
    <w:name w:val="标题  3 Char"/>
    <w:basedOn w:val="39"/>
    <w:link w:val="77"/>
    <w:qFormat/>
    <w:uiPriority w:val="0"/>
    <w:rPr>
      <w:rFonts w:ascii="Times New Roman" w:hAnsi="Times New Roman"/>
      <w:b/>
      <w:kern w:val="2"/>
      <w:sz w:val="21"/>
      <w:szCs w:val="24"/>
    </w:rPr>
  </w:style>
  <w:style w:type="character" w:customStyle="1" w:styleId="79">
    <w:name w:val="标题 7 Char"/>
    <w:basedOn w:val="39"/>
    <w:link w:val="8"/>
    <w:qFormat/>
    <w:uiPriority w:val="9"/>
    <w:rPr>
      <w:rFonts w:ascii="宋体" w:hAnsi="宋体" w:cs="宋体"/>
      <w:b/>
      <w:bCs/>
      <w:sz w:val="24"/>
      <w:szCs w:val="24"/>
    </w:rPr>
  </w:style>
  <w:style w:type="character" w:customStyle="1" w:styleId="80">
    <w:name w:val="批注主题 字符1"/>
    <w:basedOn w:val="50"/>
    <w:semiHidden/>
    <w:qFormat/>
    <w:uiPriority w:val="99"/>
    <w:rPr>
      <w:rFonts w:ascii="Times New Roman" w:hAnsi="Times New Roman" w:eastAsia="宋体" w:cs="Times New Roman"/>
      <w:b/>
      <w:bCs/>
      <w:szCs w:val="21"/>
    </w:rPr>
  </w:style>
  <w:style w:type="character" w:customStyle="1" w:styleId="81">
    <w:name w:val="标题 4 Char"/>
    <w:qFormat/>
    <w:uiPriority w:val="9"/>
    <w:rPr>
      <w:rFonts w:ascii="Cambria" w:hAnsi="Cambria"/>
      <w:b/>
      <w:bCs/>
      <w:kern w:val="2"/>
      <w:sz w:val="21"/>
      <w:szCs w:val="28"/>
    </w:rPr>
  </w:style>
  <w:style w:type="paragraph" w:customStyle="1" w:styleId="82">
    <w:name w:val="4"/>
    <w:basedOn w:val="1"/>
    <w:next w:val="55"/>
    <w:qFormat/>
    <w:uiPriority w:val="34"/>
    <w:pPr>
      <w:widowControl w:val="0"/>
      <w:ind w:firstLine="420" w:firstLineChars="200"/>
      <w:jc w:val="both"/>
    </w:pPr>
    <w:rPr>
      <w:rFonts w:ascii="Calibri" w:hAnsi="Calibri" w:cs="Times New Roman"/>
      <w:kern w:val="2"/>
      <w:szCs w:val="22"/>
    </w:rPr>
  </w:style>
  <w:style w:type="paragraph" w:customStyle="1" w:styleId="83">
    <w:name w:val="3"/>
    <w:basedOn w:val="1"/>
    <w:next w:val="55"/>
    <w:qFormat/>
    <w:uiPriority w:val="34"/>
    <w:pPr>
      <w:widowControl w:val="0"/>
      <w:ind w:firstLine="420" w:firstLineChars="200"/>
      <w:jc w:val="both"/>
    </w:pPr>
    <w:rPr>
      <w:rFonts w:ascii="Calibri" w:hAnsi="Calibri" w:cs="Times New Roman"/>
      <w:kern w:val="2"/>
      <w:szCs w:val="22"/>
    </w:rPr>
  </w:style>
  <w:style w:type="character" w:customStyle="1" w:styleId="84">
    <w:name w:val="标题 3 Char"/>
    <w:qFormat/>
    <w:uiPriority w:val="9"/>
    <w:rPr>
      <w:b/>
      <w:bCs/>
      <w:kern w:val="2"/>
      <w:sz w:val="21"/>
      <w:szCs w:val="32"/>
    </w:rPr>
  </w:style>
  <w:style w:type="paragraph" w:customStyle="1" w:styleId="85">
    <w:name w:val="2"/>
    <w:basedOn w:val="1"/>
    <w:next w:val="55"/>
    <w:qFormat/>
    <w:uiPriority w:val="34"/>
    <w:pPr>
      <w:widowControl w:val="0"/>
      <w:ind w:firstLine="420" w:firstLineChars="200"/>
      <w:jc w:val="both"/>
    </w:pPr>
    <w:rPr>
      <w:rFonts w:ascii="Calibri" w:hAnsi="Calibri" w:cs="Times New Roman"/>
      <w:kern w:val="2"/>
      <w:szCs w:val="22"/>
    </w:rPr>
  </w:style>
  <w:style w:type="paragraph" w:customStyle="1" w:styleId="86">
    <w:name w:val="1"/>
    <w:basedOn w:val="1"/>
    <w:next w:val="55"/>
    <w:qFormat/>
    <w:uiPriority w:val="34"/>
    <w:pPr>
      <w:widowControl w:val="0"/>
      <w:ind w:firstLine="420" w:firstLineChars="200"/>
      <w:jc w:val="both"/>
    </w:pPr>
    <w:rPr>
      <w:rFonts w:ascii="Calibri" w:hAnsi="Calibri" w:cs="Times New Roman"/>
      <w:kern w:val="2"/>
      <w:szCs w:val="22"/>
    </w:rPr>
  </w:style>
  <w:style w:type="paragraph" w:customStyle="1" w:styleId="87">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88">
    <w:name w:val="批注文字 Char"/>
    <w:qFormat/>
    <w:uiPriority w:val="0"/>
    <w:rPr>
      <w:rFonts w:ascii="Times New Roman" w:hAnsi="Times New Roman"/>
      <w:kern w:val="2"/>
      <w:sz w:val="21"/>
      <w:szCs w:val="21"/>
    </w:rPr>
  </w:style>
  <w:style w:type="character" w:customStyle="1" w:styleId="89">
    <w:name w:val="标题 3 Char1"/>
    <w:qFormat/>
    <w:uiPriority w:val="9"/>
    <w:rPr>
      <w:b/>
      <w:bCs/>
      <w:kern w:val="2"/>
      <w:sz w:val="21"/>
      <w:szCs w:val="32"/>
    </w:rPr>
  </w:style>
  <w:style w:type="character" w:customStyle="1" w:styleId="90">
    <w:name w:val="标题 2 Char"/>
    <w:qFormat/>
    <w:uiPriority w:val="0"/>
    <w:rPr>
      <w:rFonts w:ascii="Arial" w:hAnsi="Arial"/>
      <w:b/>
      <w:bCs/>
      <w:kern w:val="2"/>
      <w:sz w:val="21"/>
      <w:szCs w:val="21"/>
    </w:rPr>
  </w:style>
  <w:style w:type="character" w:customStyle="1" w:styleId="91">
    <w:name w:val="标题 5 Char"/>
    <w:qFormat/>
    <w:uiPriority w:val="9"/>
    <w:rPr>
      <w:b/>
      <w:bCs/>
      <w:kern w:val="2"/>
      <w:sz w:val="21"/>
      <w:szCs w:val="28"/>
    </w:rPr>
  </w:style>
  <w:style w:type="paragraph" w:customStyle="1" w:styleId="92">
    <w:name w:val="7"/>
    <w:basedOn w:val="1"/>
    <w:next w:val="55"/>
    <w:qFormat/>
    <w:uiPriority w:val="34"/>
    <w:pPr>
      <w:widowControl w:val="0"/>
      <w:ind w:firstLine="420" w:firstLineChars="200"/>
      <w:jc w:val="both"/>
    </w:pPr>
    <w:rPr>
      <w:rFonts w:ascii="Calibri" w:hAnsi="Calibri" w:cs="Times New Roman"/>
      <w:kern w:val="2"/>
      <w:szCs w:val="22"/>
    </w:rPr>
  </w:style>
  <w:style w:type="character" w:customStyle="1" w:styleId="93">
    <w:name w:val="称呼 Char"/>
    <w:qFormat/>
    <w:uiPriority w:val="99"/>
    <w:rPr>
      <w:rFonts w:ascii="Times New Roman" w:hAnsi="Times New Roman"/>
      <w:kern w:val="2"/>
      <w:sz w:val="21"/>
      <w:szCs w:val="21"/>
    </w:rPr>
  </w:style>
  <w:style w:type="character" w:customStyle="1" w:styleId="94">
    <w:name w:val="fontstyle01"/>
    <w:qFormat/>
    <w:uiPriority w:val="0"/>
    <w:rPr>
      <w:rFonts w:hint="default" w:ascii="FZLTSK--GBK1-0" w:hAnsi="FZLTSK--GBK1-0"/>
      <w:color w:val="000000"/>
      <w:sz w:val="20"/>
      <w:szCs w:val="20"/>
    </w:rPr>
  </w:style>
  <w:style w:type="paragraph" w:customStyle="1" w:styleId="95">
    <w:name w:val="6"/>
    <w:basedOn w:val="1"/>
    <w:next w:val="55"/>
    <w:qFormat/>
    <w:uiPriority w:val="34"/>
    <w:pPr>
      <w:widowControl w:val="0"/>
      <w:ind w:firstLine="420" w:firstLineChars="200"/>
      <w:jc w:val="both"/>
    </w:pPr>
    <w:rPr>
      <w:rFonts w:ascii="Calibri" w:hAnsi="Calibri" w:cs="Times New Roman"/>
      <w:kern w:val="2"/>
      <w:szCs w:val="22"/>
    </w:rPr>
  </w:style>
  <w:style w:type="character" w:customStyle="1" w:styleId="96">
    <w:name w:val="批注文字 Char1"/>
    <w:qFormat/>
    <w:uiPriority w:val="99"/>
    <w:rPr>
      <w:rFonts w:ascii="Times New Roman" w:hAnsi="Times New Roman"/>
      <w:kern w:val="2"/>
      <w:sz w:val="21"/>
      <w:szCs w:val="21"/>
    </w:rPr>
  </w:style>
  <w:style w:type="character" w:customStyle="1" w:styleId="97">
    <w:name w:val="标题 5 Char1"/>
    <w:qFormat/>
    <w:uiPriority w:val="9"/>
    <w:rPr>
      <w:b/>
      <w:bCs/>
      <w:kern w:val="2"/>
      <w:sz w:val="21"/>
      <w:szCs w:val="28"/>
    </w:rPr>
  </w:style>
  <w:style w:type="character" w:customStyle="1" w:styleId="98">
    <w:name w:val="批注文字 字符1"/>
    <w:semiHidden/>
    <w:qFormat/>
    <w:locked/>
    <w:uiPriority w:val="99"/>
    <w:rPr>
      <w:rFonts w:ascii="Times New Roman" w:hAnsi="Times New Roman"/>
      <w:kern w:val="2"/>
      <w:sz w:val="21"/>
      <w:szCs w:val="21"/>
    </w:rPr>
  </w:style>
  <w:style w:type="character" w:customStyle="1" w:styleId="99">
    <w:name w:val="标题 2 Char1"/>
    <w:qFormat/>
    <w:uiPriority w:val="0"/>
    <w:rPr>
      <w:rFonts w:ascii="Arial" w:hAnsi="Arial"/>
      <w:b/>
      <w:bCs/>
      <w:kern w:val="2"/>
      <w:sz w:val="21"/>
      <w:szCs w:val="21"/>
    </w:rPr>
  </w:style>
  <w:style w:type="character" w:customStyle="1" w:styleId="100">
    <w:name w:val="批注文字 Char2"/>
    <w:qFormat/>
    <w:uiPriority w:val="99"/>
    <w:rPr>
      <w:rFonts w:ascii="Times New Roman" w:hAnsi="Times New Roman"/>
      <w:kern w:val="2"/>
      <w:sz w:val="21"/>
      <w:szCs w:val="21"/>
    </w:rPr>
  </w:style>
  <w:style w:type="character" w:customStyle="1" w:styleId="101">
    <w:name w:val="标题 5 Char2"/>
    <w:qFormat/>
    <w:uiPriority w:val="9"/>
    <w:rPr>
      <w:b/>
      <w:bCs/>
      <w:kern w:val="2"/>
      <w:sz w:val="21"/>
      <w:szCs w:val="28"/>
    </w:rPr>
  </w:style>
  <w:style w:type="paragraph" w:customStyle="1" w:styleId="102">
    <w:name w:val="5"/>
    <w:basedOn w:val="1"/>
    <w:next w:val="55"/>
    <w:qFormat/>
    <w:uiPriority w:val="34"/>
    <w:pPr>
      <w:widowControl w:val="0"/>
      <w:ind w:firstLine="420" w:firstLineChars="200"/>
      <w:jc w:val="both"/>
    </w:pPr>
    <w:rPr>
      <w:rFonts w:ascii="Calibri" w:hAnsi="Calibri" w:cs="Times New Roman"/>
      <w:kern w:val="2"/>
      <w:szCs w:val="22"/>
    </w:rPr>
  </w:style>
  <w:style w:type="character" w:customStyle="1" w:styleId="103">
    <w:name w:val="标题 3 Char2"/>
    <w:qFormat/>
    <w:uiPriority w:val="9"/>
    <w:rPr>
      <w:b/>
      <w:bCs/>
      <w:kern w:val="2"/>
      <w:sz w:val="21"/>
      <w:szCs w:val="32"/>
    </w:rPr>
  </w:style>
  <w:style w:type="character" w:customStyle="1" w:styleId="104">
    <w:name w:val="脚注文本 Char"/>
    <w:basedOn w:val="39"/>
    <w:link w:val="29"/>
    <w:semiHidden/>
    <w:qFormat/>
    <w:uiPriority w:val="99"/>
    <w:rPr>
      <w:rFonts w:ascii="宋体" w:hAnsi="宋体" w:cs="宋体"/>
      <w:sz w:val="18"/>
      <w:szCs w:val="18"/>
    </w:rPr>
  </w:style>
  <w:style w:type="table" w:customStyle="1" w:styleId="105">
    <w:name w:val="g15"/>
    <w:semiHidden/>
    <w:unhideWhenUsed/>
    <w:qFormat/>
    <w:uiPriority w:val="99"/>
    <w:tblPr>
      <w:tblCellMar>
        <w:top w:w="0" w:type="dxa"/>
        <w:left w:w="108" w:type="dxa"/>
        <w:bottom w:w="0" w:type="dxa"/>
        <w:right w:w="108" w:type="dxa"/>
      </w:tblCellMar>
    </w:tblPr>
  </w:style>
  <w:style w:type="table" w:customStyle="1" w:styleId="106">
    <w:name w:val="g29"/>
    <w:semiHidden/>
    <w:unhideWhenUsed/>
    <w:qFormat/>
    <w:uiPriority w:val="99"/>
    <w:tblPr>
      <w:tblCellMar>
        <w:top w:w="0" w:type="dxa"/>
        <w:left w:w="108" w:type="dxa"/>
        <w:bottom w:w="0" w:type="dxa"/>
        <w:right w:w="108" w:type="dxa"/>
      </w:tblCellMar>
    </w:tblPr>
  </w:style>
  <w:style w:type="table" w:customStyle="1" w:styleId="107">
    <w:name w:val="g1"/>
    <w:semiHidden/>
    <w:unhideWhenUsed/>
    <w:qFormat/>
    <w:uiPriority w:val="99"/>
    <w:tblPr>
      <w:tblCellMar>
        <w:top w:w="0" w:type="dxa"/>
        <w:left w:w="108" w:type="dxa"/>
        <w:bottom w:w="0" w:type="dxa"/>
        <w:right w:w="108" w:type="dxa"/>
      </w:tblCellMar>
    </w:tblPr>
  </w:style>
  <w:style w:type="table" w:customStyle="1" w:styleId="108">
    <w:name w:val="g2"/>
    <w:basedOn w:val="37"/>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9">
    <w:name w:val="_Style 108"/>
    <w:basedOn w:val="1"/>
    <w:unhideWhenUsed/>
    <w:qFormat/>
    <w:uiPriority w:val="99"/>
    <w:pPr>
      <w:spacing w:after="120"/>
      <w:ind w:left="420" w:leftChars="200"/>
    </w:pPr>
  </w:style>
  <w:style w:type="character" w:customStyle="1" w:styleId="110">
    <w:name w:val="_Style 109"/>
    <w:basedOn w:val="39"/>
    <w:qFormat/>
    <w:uiPriority w:val="99"/>
    <w:rPr>
      <w:rFonts w:ascii="宋体" w:hAnsi="宋体" w:cs="宋体"/>
      <w:sz w:val="21"/>
      <w:szCs w:val="24"/>
    </w:rPr>
  </w:style>
  <w:style w:type="paragraph" w:customStyle="1" w:styleId="111">
    <w:name w:val="_Style 110"/>
    <w:basedOn w:val="109"/>
    <w:qFormat/>
    <w:uiPriority w:val="99"/>
    <w:pPr>
      <w:adjustRightInd w:val="0"/>
      <w:snapToGrid w:val="0"/>
      <w:spacing w:afterLines="50" w:line="360" w:lineRule="auto"/>
      <w:ind w:left="0" w:leftChars="0" w:firstLine="200" w:firstLineChars="200"/>
    </w:pPr>
    <w:rPr>
      <w:rFonts w:ascii="Times New Roman" w:hAnsi="Times New Roman" w:cs="Times New Roman"/>
      <w:kern w:val="2"/>
      <w:szCs w:val="20"/>
    </w:rPr>
  </w:style>
  <w:style w:type="paragraph" w:customStyle="1" w:styleId="112">
    <w:name w:val="_Style 111"/>
    <w:basedOn w:val="1"/>
    <w:qFormat/>
    <w:uiPriority w:val="0"/>
    <w:pPr>
      <w:adjustRightInd w:val="0"/>
      <w:snapToGrid w:val="0"/>
      <w:spacing w:line="400" w:lineRule="atLeast"/>
      <w:ind w:left="718" w:leftChars="342"/>
    </w:pPr>
    <w:rPr>
      <w:rFonts w:cs="Times New Roman"/>
      <w:kern w:val="2"/>
      <w:szCs w:val="21"/>
    </w:rPr>
  </w:style>
  <w:style w:type="paragraph" w:customStyle="1" w:styleId="113">
    <w:name w:val="_Style 112"/>
    <w:basedOn w:val="1"/>
    <w:qFormat/>
    <w:uiPriority w:val="0"/>
    <w:pPr>
      <w:tabs>
        <w:tab w:val="left" w:pos="630"/>
      </w:tabs>
      <w:adjustRightInd w:val="0"/>
      <w:snapToGrid w:val="0"/>
      <w:spacing w:line="400" w:lineRule="atLeast"/>
      <w:ind w:left="1260" w:leftChars="600"/>
    </w:pPr>
    <w:rPr>
      <w:rFonts w:cs="Times New Roman"/>
      <w:kern w:val="2"/>
      <w:szCs w:val="21"/>
    </w:rPr>
  </w:style>
  <w:style w:type="paragraph" w:customStyle="1" w:styleId="114">
    <w:name w:val="_Style 113"/>
    <w:basedOn w:val="1"/>
    <w:qFormat/>
    <w:uiPriority w:val="0"/>
    <w:pPr>
      <w:tabs>
        <w:tab w:val="left" w:pos="714"/>
      </w:tabs>
      <w:adjustRightInd w:val="0"/>
      <w:snapToGrid w:val="0"/>
      <w:spacing w:line="400" w:lineRule="atLeast"/>
      <w:ind w:left="756" w:hanging="770"/>
      <w:outlineLvl w:val="0"/>
    </w:pPr>
    <w:rPr>
      <w:rFonts w:cs="Times New Roman"/>
      <w:b/>
      <w:kern w:val="2"/>
      <w:szCs w:val="21"/>
    </w:rPr>
  </w:style>
  <w:style w:type="character" w:customStyle="1" w:styleId="115">
    <w:name w:val="_Style 114"/>
    <w:basedOn w:val="39"/>
    <w:qFormat/>
    <w:uiPriority w:val="0"/>
    <w:rPr>
      <w:rFonts w:hint="eastAsia" w:ascii="宋体" w:hAnsi="宋体" w:eastAsia="宋体" w:cs="宋体"/>
      <w:color w:val="000000"/>
      <w:sz w:val="20"/>
      <w:szCs w:val="20"/>
      <w:u w:val="none"/>
    </w:rPr>
  </w:style>
  <w:style w:type="paragraph" w:customStyle="1" w:styleId="116">
    <w:name w:val="附注二级"/>
    <w:basedOn w:val="1"/>
    <w:qFormat/>
    <w:uiPriority w:val="0"/>
    <w:pPr>
      <w:tabs>
        <w:tab w:val="left" w:pos="714"/>
      </w:tabs>
      <w:adjustRightInd w:val="0"/>
      <w:snapToGrid w:val="0"/>
      <w:spacing w:line="400" w:lineRule="atLeast"/>
      <w:ind w:left="756" w:hanging="770"/>
      <w:outlineLvl w:val="0"/>
    </w:pPr>
    <w:rPr>
      <w:rFonts w:cs="Times New Roman"/>
      <w:b/>
      <w:kern w:val="2"/>
      <w:szCs w:val="21"/>
    </w:rPr>
  </w:style>
  <w:style w:type="paragraph" w:customStyle="1" w:styleId="117">
    <w:name w:val="列出段落1"/>
    <w:basedOn w:val="1"/>
    <w:qFormat/>
    <w:uiPriority w:val="34"/>
    <w:pPr>
      <w:ind w:firstLine="420" w:firstLineChars="200"/>
    </w:pPr>
    <w:rPr>
      <w:rFonts w:ascii="Calibri" w:hAnsi="Calibri" w:cs="Times New Roman"/>
      <w:kern w:val="2"/>
      <w:szCs w:val="22"/>
    </w:rPr>
  </w:style>
  <w:style w:type="character" w:customStyle="1" w:styleId="118">
    <w:name w:val="纯文本 Char1"/>
    <w:qFormat/>
    <w:uiPriority w:val="0"/>
    <w:rPr>
      <w:rFonts w:ascii="宋体" w:hAnsi="Courier New" w:eastAsia="宋体" w:cs="宋体"/>
      <w:kern w:val="2"/>
      <w:sz w:val="21"/>
      <w:szCs w:val="21"/>
    </w:rPr>
  </w:style>
  <w:style w:type="paragraph" w:customStyle="1" w:styleId="119">
    <w:name w:val="­¶­º"/>
    <w:basedOn w:val="1"/>
    <w:qFormat/>
    <w:uiPriority w:val="0"/>
    <w:pPr>
      <w:widowControl w:val="0"/>
      <w:tabs>
        <w:tab w:val="center" w:pos="4147"/>
        <w:tab w:val="right" w:pos="8309"/>
      </w:tabs>
      <w:overflowPunct w:val="0"/>
      <w:autoSpaceDE w:val="0"/>
      <w:autoSpaceDN w:val="0"/>
      <w:adjustRightInd w:val="0"/>
      <w:jc w:val="both"/>
    </w:pPr>
    <w:rPr>
      <w:rFonts w:ascii="MingLiU" w:hAnsi="Times New Roman" w:eastAsia="MingLiU" w:cs="Times New Roman"/>
      <w:sz w:val="20"/>
      <w:szCs w:val="20"/>
    </w:rPr>
  </w:style>
  <w:style w:type="table" w:customStyle="1" w:styleId="120">
    <w:name w:val="无格式表格 21"/>
    <w:basedOn w:val="37"/>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glossaryDocument" Target="glossary/document.xml"/><Relationship Id="rId15" Type="http://schemas.openxmlformats.org/officeDocument/2006/relationships/fontTable" Target="fontTable.xml"/><Relationship Id="rId14" Type="http://schemas.openxmlformats.org/officeDocument/2006/relationships/customXml" Target="../customXml/item5.xml"/><Relationship Id="rId13" Type="http://schemas.openxmlformats.org/officeDocument/2006/relationships/customXml" Target="../customXml/item4.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05\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11111111111111111111111111111"/>
        <w:style w:val=""/>
        <w:category>
          <w:name w:val="常规"/>
          <w:gallery w:val="placeholder"/>
        </w:category>
        <w:types>
          <w:type w:val="bbPlcHdr"/>
        </w:types>
        <w:behaviors>
          <w:behavior w:val="content"/>
        </w:behaviors>
        <w:description w:val=""/>
        <w:guid w:val="{B960C2E6-8E28-4930-AAD5-AA36AFD6E523}"/>
      </w:docPartPr>
      <w:docPartBody>
        <w:p>
          <w:r>
            <w:rPr>
              <w:rStyle w:val="4"/>
              <w:rFonts w:hint="eastAsia"/>
            </w:rPr>
            <w:t>　</w:t>
          </w:r>
        </w:p>
      </w:docPartBody>
    </w:docPart>
    <w:docPart>
      <w:docPartPr>
        <w:name w:val="GBC22222222222222222222222222222"/>
        <w:style w:val=""/>
        <w:category>
          <w:name w:val="常规"/>
          <w:gallery w:val="placeholder"/>
        </w:category>
        <w:types>
          <w:type w:val="bbPlcHdr"/>
        </w:types>
        <w:behaviors>
          <w:behavior w:val="content"/>
        </w:behaviors>
        <w:description w:val=""/>
        <w:guid w:val="{1AFD19D4-34B8-46E3-93FF-EA31FC2A2A2D}"/>
      </w:docPartPr>
      <w:docPartBody>
        <w:p>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ACF"/>
    <w:rsid w:val="00007CFD"/>
    <w:rsid w:val="00010370"/>
    <w:rsid w:val="00010558"/>
    <w:rsid w:val="00011E75"/>
    <w:rsid w:val="00012653"/>
    <w:rsid w:val="0001297A"/>
    <w:rsid w:val="00012C61"/>
    <w:rsid w:val="00013B71"/>
    <w:rsid w:val="00020357"/>
    <w:rsid w:val="000211F7"/>
    <w:rsid w:val="0002197F"/>
    <w:rsid w:val="00021BC4"/>
    <w:rsid w:val="00021D68"/>
    <w:rsid w:val="000234EA"/>
    <w:rsid w:val="0002361B"/>
    <w:rsid w:val="000236A0"/>
    <w:rsid w:val="0002605F"/>
    <w:rsid w:val="00030406"/>
    <w:rsid w:val="00032504"/>
    <w:rsid w:val="00032ECB"/>
    <w:rsid w:val="0003417E"/>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B0E"/>
    <w:rsid w:val="00092CBB"/>
    <w:rsid w:val="00093BE5"/>
    <w:rsid w:val="00093C40"/>
    <w:rsid w:val="000958C3"/>
    <w:rsid w:val="000A1ED8"/>
    <w:rsid w:val="000A632D"/>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E37AA"/>
    <w:rsid w:val="000E6959"/>
    <w:rsid w:val="000E7B4D"/>
    <w:rsid w:val="000F147D"/>
    <w:rsid w:val="000F3B57"/>
    <w:rsid w:val="000F409D"/>
    <w:rsid w:val="000F41A3"/>
    <w:rsid w:val="000F440D"/>
    <w:rsid w:val="000F5144"/>
    <w:rsid w:val="000F527F"/>
    <w:rsid w:val="000F70C0"/>
    <w:rsid w:val="000F7B0F"/>
    <w:rsid w:val="0010077E"/>
    <w:rsid w:val="001029A8"/>
    <w:rsid w:val="00103415"/>
    <w:rsid w:val="00103D62"/>
    <w:rsid w:val="00103FA8"/>
    <w:rsid w:val="00104879"/>
    <w:rsid w:val="00105328"/>
    <w:rsid w:val="00105693"/>
    <w:rsid w:val="001061D4"/>
    <w:rsid w:val="001076C7"/>
    <w:rsid w:val="00107EAF"/>
    <w:rsid w:val="00110AE1"/>
    <w:rsid w:val="001124AB"/>
    <w:rsid w:val="001127EE"/>
    <w:rsid w:val="00114109"/>
    <w:rsid w:val="001160EB"/>
    <w:rsid w:val="00117118"/>
    <w:rsid w:val="00120BE3"/>
    <w:rsid w:val="00122BB8"/>
    <w:rsid w:val="00123C52"/>
    <w:rsid w:val="00123D71"/>
    <w:rsid w:val="0012740D"/>
    <w:rsid w:val="001279CA"/>
    <w:rsid w:val="00131D2F"/>
    <w:rsid w:val="00132E0F"/>
    <w:rsid w:val="00133739"/>
    <w:rsid w:val="00140824"/>
    <w:rsid w:val="0014233D"/>
    <w:rsid w:val="00142460"/>
    <w:rsid w:val="00142487"/>
    <w:rsid w:val="00142BBE"/>
    <w:rsid w:val="00142C80"/>
    <w:rsid w:val="0014577A"/>
    <w:rsid w:val="001516EC"/>
    <w:rsid w:val="00151EE9"/>
    <w:rsid w:val="00155B0D"/>
    <w:rsid w:val="00155B88"/>
    <w:rsid w:val="00156761"/>
    <w:rsid w:val="00157128"/>
    <w:rsid w:val="00157EC8"/>
    <w:rsid w:val="00160520"/>
    <w:rsid w:val="00164372"/>
    <w:rsid w:val="00171C01"/>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ECA"/>
    <w:rsid w:val="001A79B6"/>
    <w:rsid w:val="001A7EBE"/>
    <w:rsid w:val="001B0779"/>
    <w:rsid w:val="001B1217"/>
    <w:rsid w:val="001B17E0"/>
    <w:rsid w:val="001B28C6"/>
    <w:rsid w:val="001B2FBB"/>
    <w:rsid w:val="001B3DB4"/>
    <w:rsid w:val="001B64A1"/>
    <w:rsid w:val="001C0932"/>
    <w:rsid w:val="001C18E2"/>
    <w:rsid w:val="001C2062"/>
    <w:rsid w:val="001C2312"/>
    <w:rsid w:val="001C319A"/>
    <w:rsid w:val="001C3593"/>
    <w:rsid w:val="001C5881"/>
    <w:rsid w:val="001C5BFB"/>
    <w:rsid w:val="001D3DF5"/>
    <w:rsid w:val="001E0886"/>
    <w:rsid w:val="001E2A87"/>
    <w:rsid w:val="001E41DB"/>
    <w:rsid w:val="001E4A2E"/>
    <w:rsid w:val="001E4F09"/>
    <w:rsid w:val="001E659F"/>
    <w:rsid w:val="001E7AC2"/>
    <w:rsid w:val="001F3623"/>
    <w:rsid w:val="001F4AA3"/>
    <w:rsid w:val="001F5095"/>
    <w:rsid w:val="001F64DA"/>
    <w:rsid w:val="001F792E"/>
    <w:rsid w:val="001F7AEB"/>
    <w:rsid w:val="00201E15"/>
    <w:rsid w:val="00202BF5"/>
    <w:rsid w:val="00203591"/>
    <w:rsid w:val="00206328"/>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73A4"/>
    <w:rsid w:val="00277FB1"/>
    <w:rsid w:val="002806A5"/>
    <w:rsid w:val="00282709"/>
    <w:rsid w:val="00282807"/>
    <w:rsid w:val="00282F7E"/>
    <w:rsid w:val="00283C4E"/>
    <w:rsid w:val="0028759F"/>
    <w:rsid w:val="002910AB"/>
    <w:rsid w:val="00291691"/>
    <w:rsid w:val="0029327C"/>
    <w:rsid w:val="002939B4"/>
    <w:rsid w:val="00293FEC"/>
    <w:rsid w:val="00294CBD"/>
    <w:rsid w:val="00295B2D"/>
    <w:rsid w:val="002964AA"/>
    <w:rsid w:val="00296AA3"/>
    <w:rsid w:val="002A133C"/>
    <w:rsid w:val="002A1B3D"/>
    <w:rsid w:val="002A3115"/>
    <w:rsid w:val="002A3D43"/>
    <w:rsid w:val="002B0A2C"/>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5050"/>
    <w:rsid w:val="002E52A1"/>
    <w:rsid w:val="002F0D46"/>
    <w:rsid w:val="002F2CFA"/>
    <w:rsid w:val="002F5423"/>
    <w:rsid w:val="002F77BF"/>
    <w:rsid w:val="00300265"/>
    <w:rsid w:val="00300AC7"/>
    <w:rsid w:val="0030275E"/>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1432"/>
    <w:rsid w:val="00331507"/>
    <w:rsid w:val="003333AF"/>
    <w:rsid w:val="003348B5"/>
    <w:rsid w:val="00334A8D"/>
    <w:rsid w:val="003352A9"/>
    <w:rsid w:val="00335DE6"/>
    <w:rsid w:val="003400EA"/>
    <w:rsid w:val="003411FF"/>
    <w:rsid w:val="00342071"/>
    <w:rsid w:val="00342477"/>
    <w:rsid w:val="003428DF"/>
    <w:rsid w:val="003435A6"/>
    <w:rsid w:val="00343949"/>
    <w:rsid w:val="00343E54"/>
    <w:rsid w:val="0034491A"/>
    <w:rsid w:val="00344D91"/>
    <w:rsid w:val="00345D7B"/>
    <w:rsid w:val="0034636A"/>
    <w:rsid w:val="00350C5B"/>
    <w:rsid w:val="00350EFF"/>
    <w:rsid w:val="00353AE0"/>
    <w:rsid w:val="003564AF"/>
    <w:rsid w:val="00356A92"/>
    <w:rsid w:val="00357296"/>
    <w:rsid w:val="0036203B"/>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0FFF"/>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1536"/>
    <w:rsid w:val="0040287B"/>
    <w:rsid w:val="00404A42"/>
    <w:rsid w:val="0040661C"/>
    <w:rsid w:val="004073B3"/>
    <w:rsid w:val="00410006"/>
    <w:rsid w:val="00412A83"/>
    <w:rsid w:val="004135B4"/>
    <w:rsid w:val="004140D9"/>
    <w:rsid w:val="00414CEC"/>
    <w:rsid w:val="00415A60"/>
    <w:rsid w:val="004211CC"/>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4133"/>
    <w:rsid w:val="004506BE"/>
    <w:rsid w:val="004506FF"/>
    <w:rsid w:val="0045153E"/>
    <w:rsid w:val="004533D1"/>
    <w:rsid w:val="00455B73"/>
    <w:rsid w:val="00457596"/>
    <w:rsid w:val="00457C94"/>
    <w:rsid w:val="00462366"/>
    <w:rsid w:val="004629D5"/>
    <w:rsid w:val="00463534"/>
    <w:rsid w:val="00464159"/>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60B4"/>
    <w:rsid w:val="0049694C"/>
    <w:rsid w:val="004972B2"/>
    <w:rsid w:val="004A1A8E"/>
    <w:rsid w:val="004A62DF"/>
    <w:rsid w:val="004A75BE"/>
    <w:rsid w:val="004B3120"/>
    <w:rsid w:val="004B3148"/>
    <w:rsid w:val="004B4CFF"/>
    <w:rsid w:val="004B54E9"/>
    <w:rsid w:val="004B565E"/>
    <w:rsid w:val="004B6A92"/>
    <w:rsid w:val="004B6F9C"/>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802"/>
    <w:rsid w:val="004F009B"/>
    <w:rsid w:val="004F059C"/>
    <w:rsid w:val="004F1B57"/>
    <w:rsid w:val="004F207A"/>
    <w:rsid w:val="004F2401"/>
    <w:rsid w:val="004F3A1D"/>
    <w:rsid w:val="005027B4"/>
    <w:rsid w:val="00504773"/>
    <w:rsid w:val="00504A79"/>
    <w:rsid w:val="005068BC"/>
    <w:rsid w:val="00507161"/>
    <w:rsid w:val="00507773"/>
    <w:rsid w:val="00513606"/>
    <w:rsid w:val="0051385A"/>
    <w:rsid w:val="00513BDD"/>
    <w:rsid w:val="00516D73"/>
    <w:rsid w:val="00517819"/>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2B7D"/>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37D0"/>
    <w:rsid w:val="005A4D3F"/>
    <w:rsid w:val="005A6D6C"/>
    <w:rsid w:val="005A6DB6"/>
    <w:rsid w:val="005A6ED8"/>
    <w:rsid w:val="005B2A61"/>
    <w:rsid w:val="005B3CB6"/>
    <w:rsid w:val="005B5439"/>
    <w:rsid w:val="005B6AAF"/>
    <w:rsid w:val="005B78D2"/>
    <w:rsid w:val="005C028E"/>
    <w:rsid w:val="005C2D90"/>
    <w:rsid w:val="005C3EB9"/>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5F7068"/>
    <w:rsid w:val="006007A2"/>
    <w:rsid w:val="00600840"/>
    <w:rsid w:val="0060301F"/>
    <w:rsid w:val="006041ED"/>
    <w:rsid w:val="00605435"/>
    <w:rsid w:val="006109C1"/>
    <w:rsid w:val="006116F4"/>
    <w:rsid w:val="006144EC"/>
    <w:rsid w:val="00614965"/>
    <w:rsid w:val="00614ADC"/>
    <w:rsid w:val="00616877"/>
    <w:rsid w:val="00617EEA"/>
    <w:rsid w:val="006216E7"/>
    <w:rsid w:val="0062250B"/>
    <w:rsid w:val="00622A95"/>
    <w:rsid w:val="00623ABC"/>
    <w:rsid w:val="0062477F"/>
    <w:rsid w:val="00624EE3"/>
    <w:rsid w:val="00625224"/>
    <w:rsid w:val="00626F2D"/>
    <w:rsid w:val="00627316"/>
    <w:rsid w:val="006316CF"/>
    <w:rsid w:val="006359D1"/>
    <w:rsid w:val="00637D61"/>
    <w:rsid w:val="00640DE1"/>
    <w:rsid w:val="0064157C"/>
    <w:rsid w:val="00642566"/>
    <w:rsid w:val="006433EC"/>
    <w:rsid w:val="0064473F"/>
    <w:rsid w:val="0064745E"/>
    <w:rsid w:val="00650116"/>
    <w:rsid w:val="00650ADB"/>
    <w:rsid w:val="006512CB"/>
    <w:rsid w:val="00653904"/>
    <w:rsid w:val="006539B9"/>
    <w:rsid w:val="00655C16"/>
    <w:rsid w:val="00656049"/>
    <w:rsid w:val="0065606C"/>
    <w:rsid w:val="00657714"/>
    <w:rsid w:val="00657EA3"/>
    <w:rsid w:val="00662179"/>
    <w:rsid w:val="00663AEA"/>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D0B"/>
    <w:rsid w:val="006A20D1"/>
    <w:rsid w:val="006A3BBC"/>
    <w:rsid w:val="006A7AA4"/>
    <w:rsid w:val="006A7E2E"/>
    <w:rsid w:val="006B06A3"/>
    <w:rsid w:val="006B08D7"/>
    <w:rsid w:val="006B1B86"/>
    <w:rsid w:val="006B25FE"/>
    <w:rsid w:val="006B2F1C"/>
    <w:rsid w:val="006B428F"/>
    <w:rsid w:val="006B52B0"/>
    <w:rsid w:val="006B5B2D"/>
    <w:rsid w:val="006B5E23"/>
    <w:rsid w:val="006B6DE4"/>
    <w:rsid w:val="006C1C90"/>
    <w:rsid w:val="006C425B"/>
    <w:rsid w:val="006C4D85"/>
    <w:rsid w:val="006C4D8A"/>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0733A"/>
    <w:rsid w:val="00710304"/>
    <w:rsid w:val="0071097C"/>
    <w:rsid w:val="007109BB"/>
    <w:rsid w:val="00710A14"/>
    <w:rsid w:val="00710DF6"/>
    <w:rsid w:val="00711502"/>
    <w:rsid w:val="0071327A"/>
    <w:rsid w:val="00714F7A"/>
    <w:rsid w:val="007156A6"/>
    <w:rsid w:val="00720472"/>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29B9"/>
    <w:rsid w:val="00762FF5"/>
    <w:rsid w:val="00763E92"/>
    <w:rsid w:val="007646FE"/>
    <w:rsid w:val="00764A07"/>
    <w:rsid w:val="00765FF6"/>
    <w:rsid w:val="007660C4"/>
    <w:rsid w:val="007737FB"/>
    <w:rsid w:val="00774941"/>
    <w:rsid w:val="00775421"/>
    <w:rsid w:val="00776D56"/>
    <w:rsid w:val="00777CDC"/>
    <w:rsid w:val="00780475"/>
    <w:rsid w:val="007804E6"/>
    <w:rsid w:val="00780C31"/>
    <w:rsid w:val="0078284E"/>
    <w:rsid w:val="00782C46"/>
    <w:rsid w:val="007833B9"/>
    <w:rsid w:val="00784D7A"/>
    <w:rsid w:val="00785F79"/>
    <w:rsid w:val="00790D3F"/>
    <w:rsid w:val="00792A72"/>
    <w:rsid w:val="00793111"/>
    <w:rsid w:val="00793726"/>
    <w:rsid w:val="007945B6"/>
    <w:rsid w:val="007959FA"/>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E783B"/>
    <w:rsid w:val="007F0584"/>
    <w:rsid w:val="007F093A"/>
    <w:rsid w:val="007F11B8"/>
    <w:rsid w:val="007F3EEA"/>
    <w:rsid w:val="007F65C7"/>
    <w:rsid w:val="008023FD"/>
    <w:rsid w:val="00802845"/>
    <w:rsid w:val="00802AFB"/>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337F"/>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71C"/>
    <w:rsid w:val="00881AFF"/>
    <w:rsid w:val="00882301"/>
    <w:rsid w:val="00885DAD"/>
    <w:rsid w:val="00886903"/>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30B5"/>
    <w:rsid w:val="008B4BFE"/>
    <w:rsid w:val="008B7A72"/>
    <w:rsid w:val="008B7D97"/>
    <w:rsid w:val="008C255E"/>
    <w:rsid w:val="008C7062"/>
    <w:rsid w:val="008D1E50"/>
    <w:rsid w:val="008D51B8"/>
    <w:rsid w:val="008E0178"/>
    <w:rsid w:val="008E0B6D"/>
    <w:rsid w:val="008E1F7D"/>
    <w:rsid w:val="008E42E3"/>
    <w:rsid w:val="008E6C46"/>
    <w:rsid w:val="008F1662"/>
    <w:rsid w:val="008F3574"/>
    <w:rsid w:val="008F4657"/>
    <w:rsid w:val="0090042E"/>
    <w:rsid w:val="00901597"/>
    <w:rsid w:val="00904A3E"/>
    <w:rsid w:val="0090687A"/>
    <w:rsid w:val="00907144"/>
    <w:rsid w:val="009078EE"/>
    <w:rsid w:val="00907A65"/>
    <w:rsid w:val="00910DEE"/>
    <w:rsid w:val="00913362"/>
    <w:rsid w:val="00913FFC"/>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5041C"/>
    <w:rsid w:val="00953A46"/>
    <w:rsid w:val="009548A5"/>
    <w:rsid w:val="009550FD"/>
    <w:rsid w:val="00955DFC"/>
    <w:rsid w:val="0096111A"/>
    <w:rsid w:val="009611A2"/>
    <w:rsid w:val="009642B6"/>
    <w:rsid w:val="0097078C"/>
    <w:rsid w:val="00972799"/>
    <w:rsid w:val="00974A56"/>
    <w:rsid w:val="00976D34"/>
    <w:rsid w:val="00977E8D"/>
    <w:rsid w:val="0098078B"/>
    <w:rsid w:val="0098479D"/>
    <w:rsid w:val="00985E9C"/>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4F91"/>
    <w:rsid w:val="009E5DAB"/>
    <w:rsid w:val="009E7E12"/>
    <w:rsid w:val="009F0978"/>
    <w:rsid w:val="009F163B"/>
    <w:rsid w:val="009F1D76"/>
    <w:rsid w:val="009F5450"/>
    <w:rsid w:val="009F7580"/>
    <w:rsid w:val="00A00B13"/>
    <w:rsid w:val="00A01D8D"/>
    <w:rsid w:val="00A02ED9"/>
    <w:rsid w:val="00A044B5"/>
    <w:rsid w:val="00A04892"/>
    <w:rsid w:val="00A05E96"/>
    <w:rsid w:val="00A061FC"/>
    <w:rsid w:val="00A0725F"/>
    <w:rsid w:val="00A07341"/>
    <w:rsid w:val="00A07390"/>
    <w:rsid w:val="00A0798E"/>
    <w:rsid w:val="00A13335"/>
    <w:rsid w:val="00A15BB3"/>
    <w:rsid w:val="00A16CF2"/>
    <w:rsid w:val="00A219CD"/>
    <w:rsid w:val="00A24A10"/>
    <w:rsid w:val="00A24FE8"/>
    <w:rsid w:val="00A253B3"/>
    <w:rsid w:val="00A2552D"/>
    <w:rsid w:val="00A26AB4"/>
    <w:rsid w:val="00A270B9"/>
    <w:rsid w:val="00A30A00"/>
    <w:rsid w:val="00A344EF"/>
    <w:rsid w:val="00A368B5"/>
    <w:rsid w:val="00A40ACE"/>
    <w:rsid w:val="00A41AB8"/>
    <w:rsid w:val="00A423C8"/>
    <w:rsid w:val="00A42B52"/>
    <w:rsid w:val="00A452C1"/>
    <w:rsid w:val="00A45DA3"/>
    <w:rsid w:val="00A52B82"/>
    <w:rsid w:val="00A52BC4"/>
    <w:rsid w:val="00A5314E"/>
    <w:rsid w:val="00A57EEF"/>
    <w:rsid w:val="00A57FB9"/>
    <w:rsid w:val="00A653BB"/>
    <w:rsid w:val="00A65574"/>
    <w:rsid w:val="00A67011"/>
    <w:rsid w:val="00A677A4"/>
    <w:rsid w:val="00A71BD5"/>
    <w:rsid w:val="00A7220F"/>
    <w:rsid w:val="00A74CBD"/>
    <w:rsid w:val="00A75E22"/>
    <w:rsid w:val="00A76206"/>
    <w:rsid w:val="00A777BA"/>
    <w:rsid w:val="00A80344"/>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489D"/>
    <w:rsid w:val="00AA4A92"/>
    <w:rsid w:val="00AA4CAA"/>
    <w:rsid w:val="00AA52CC"/>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1C82"/>
    <w:rsid w:val="00AE4A24"/>
    <w:rsid w:val="00AF0D8C"/>
    <w:rsid w:val="00AF2026"/>
    <w:rsid w:val="00AF2AA7"/>
    <w:rsid w:val="00AF2F09"/>
    <w:rsid w:val="00AF4E8C"/>
    <w:rsid w:val="00B01BE5"/>
    <w:rsid w:val="00B01D33"/>
    <w:rsid w:val="00B02D4F"/>
    <w:rsid w:val="00B037C8"/>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802D2"/>
    <w:rsid w:val="00B80B2A"/>
    <w:rsid w:val="00B84645"/>
    <w:rsid w:val="00B84970"/>
    <w:rsid w:val="00B861F8"/>
    <w:rsid w:val="00B8792C"/>
    <w:rsid w:val="00B90EF9"/>
    <w:rsid w:val="00B9272A"/>
    <w:rsid w:val="00B93E0C"/>
    <w:rsid w:val="00B93E93"/>
    <w:rsid w:val="00B940C6"/>
    <w:rsid w:val="00B9536C"/>
    <w:rsid w:val="00BA1AA9"/>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CEF"/>
    <w:rsid w:val="00BF4EE7"/>
    <w:rsid w:val="00BF5D15"/>
    <w:rsid w:val="00BF6B43"/>
    <w:rsid w:val="00BF7208"/>
    <w:rsid w:val="00C03B2D"/>
    <w:rsid w:val="00C03C20"/>
    <w:rsid w:val="00C0413C"/>
    <w:rsid w:val="00C054C7"/>
    <w:rsid w:val="00C07059"/>
    <w:rsid w:val="00C128C6"/>
    <w:rsid w:val="00C12B5C"/>
    <w:rsid w:val="00C152E8"/>
    <w:rsid w:val="00C16784"/>
    <w:rsid w:val="00C222BF"/>
    <w:rsid w:val="00C23EC6"/>
    <w:rsid w:val="00C24F81"/>
    <w:rsid w:val="00C25332"/>
    <w:rsid w:val="00C2637F"/>
    <w:rsid w:val="00C26BD5"/>
    <w:rsid w:val="00C307D6"/>
    <w:rsid w:val="00C30B4B"/>
    <w:rsid w:val="00C3290A"/>
    <w:rsid w:val="00C3387C"/>
    <w:rsid w:val="00C34B0A"/>
    <w:rsid w:val="00C36EEA"/>
    <w:rsid w:val="00C371D5"/>
    <w:rsid w:val="00C402A6"/>
    <w:rsid w:val="00C40BB5"/>
    <w:rsid w:val="00C43F05"/>
    <w:rsid w:val="00C4655D"/>
    <w:rsid w:val="00C46A44"/>
    <w:rsid w:val="00C46AF8"/>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119D"/>
    <w:rsid w:val="00C919E7"/>
    <w:rsid w:val="00C91E20"/>
    <w:rsid w:val="00C953FB"/>
    <w:rsid w:val="00C9581C"/>
    <w:rsid w:val="00C96380"/>
    <w:rsid w:val="00CA08D7"/>
    <w:rsid w:val="00CA0E93"/>
    <w:rsid w:val="00CA2544"/>
    <w:rsid w:val="00CA2B37"/>
    <w:rsid w:val="00CA3008"/>
    <w:rsid w:val="00CA3FF7"/>
    <w:rsid w:val="00CB0F42"/>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04B"/>
    <w:rsid w:val="00CF52F4"/>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1E43"/>
    <w:rsid w:val="00D3306D"/>
    <w:rsid w:val="00D346A9"/>
    <w:rsid w:val="00D3690F"/>
    <w:rsid w:val="00D40381"/>
    <w:rsid w:val="00D411E6"/>
    <w:rsid w:val="00D41F03"/>
    <w:rsid w:val="00D42363"/>
    <w:rsid w:val="00D43E87"/>
    <w:rsid w:val="00D44153"/>
    <w:rsid w:val="00D443FF"/>
    <w:rsid w:val="00D50858"/>
    <w:rsid w:val="00D5115D"/>
    <w:rsid w:val="00D514A5"/>
    <w:rsid w:val="00D52BD5"/>
    <w:rsid w:val="00D57C08"/>
    <w:rsid w:val="00D57F45"/>
    <w:rsid w:val="00D6090F"/>
    <w:rsid w:val="00D6108F"/>
    <w:rsid w:val="00D64C79"/>
    <w:rsid w:val="00D65DDF"/>
    <w:rsid w:val="00D67118"/>
    <w:rsid w:val="00D70462"/>
    <w:rsid w:val="00D727F0"/>
    <w:rsid w:val="00D72CE3"/>
    <w:rsid w:val="00D75C3F"/>
    <w:rsid w:val="00D76320"/>
    <w:rsid w:val="00D766F7"/>
    <w:rsid w:val="00D8157D"/>
    <w:rsid w:val="00D8279D"/>
    <w:rsid w:val="00D82E7A"/>
    <w:rsid w:val="00D86054"/>
    <w:rsid w:val="00D866A6"/>
    <w:rsid w:val="00D86747"/>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8EC"/>
    <w:rsid w:val="00DC7D1C"/>
    <w:rsid w:val="00DD032D"/>
    <w:rsid w:val="00DD0A6A"/>
    <w:rsid w:val="00DD1C13"/>
    <w:rsid w:val="00DD4CDB"/>
    <w:rsid w:val="00DD5231"/>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39D2"/>
    <w:rsid w:val="00E1571C"/>
    <w:rsid w:val="00E15924"/>
    <w:rsid w:val="00E163DD"/>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0FA2"/>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3E95"/>
    <w:rsid w:val="00EC7F75"/>
    <w:rsid w:val="00ED27AA"/>
    <w:rsid w:val="00ED4CA9"/>
    <w:rsid w:val="00EE2D6F"/>
    <w:rsid w:val="00EE425E"/>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F6"/>
    <w:rsid w:val="00F1025B"/>
    <w:rsid w:val="00F104E1"/>
    <w:rsid w:val="00F11BD4"/>
    <w:rsid w:val="00F12194"/>
    <w:rsid w:val="00F12A14"/>
    <w:rsid w:val="00F135D0"/>
    <w:rsid w:val="00F202CE"/>
    <w:rsid w:val="00F20AC5"/>
    <w:rsid w:val="00F23055"/>
    <w:rsid w:val="00F24689"/>
    <w:rsid w:val="00F25976"/>
    <w:rsid w:val="00F26DBC"/>
    <w:rsid w:val="00F303F9"/>
    <w:rsid w:val="00F34694"/>
    <w:rsid w:val="00F371A1"/>
    <w:rsid w:val="00F37A07"/>
    <w:rsid w:val="00F4111F"/>
    <w:rsid w:val="00F45171"/>
    <w:rsid w:val="00F456C9"/>
    <w:rsid w:val="00F45FF5"/>
    <w:rsid w:val="00F476B3"/>
    <w:rsid w:val="00F47BE3"/>
    <w:rsid w:val="00F50097"/>
    <w:rsid w:val="00F517F2"/>
    <w:rsid w:val="00F52DE7"/>
    <w:rsid w:val="00F548A8"/>
    <w:rsid w:val="00F5495E"/>
    <w:rsid w:val="00F55470"/>
    <w:rsid w:val="00F6039B"/>
    <w:rsid w:val="00F62EF9"/>
    <w:rsid w:val="00F663F0"/>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F6A5243AF4EF4C3E925FDACC36214B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CFFCFEBD94494E838AA0E5363FC0F2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248FB6F6A314F5680485EACB52580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7276D35726E24BF8BD1823848E1B4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DA57A2F43AD7497380E89D2413E52F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B664A20587C41B4859CFD3C2EC223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4C39DEAA9040444E90E275A5BD5219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4967B42AE8BF42D88DD7418011FEF2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9A8C8E0ACE964DACBBF14DA0796E63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4791EA9E3E2545B09AF7A28679A7B4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ABEA76B7643E4954BA4F044C920E17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0DEC374F213A4FC6AF33A90FEF7076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0A1F9C0C77D94B00AFC749D4381D29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6CE9EA9EE1ED4E19A584B416876BE7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A8B0FE1AE7AA475DA3AC48B67FF064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22D9DE12BA54423B8F399626E69A3A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1236F38D31E34232ACE9FCDADB2F52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C2223A101F4D4E49A6A68601FD487D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719E632E06D74D58AAA900D95DDAD3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298E9D4F955E4FB38B948AE44CE674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FC4C7AE0492B46668826B26BACE502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E62B56DF9ECE4BD79F6313E7E286C5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F03D5A1D0E5D46BEABEE0F61A82CC4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AD1393884D3543E5BE688EB4A485AD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627432F09E9E43259CC5AB782A3443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F71E5CE59D76473BB3298689419944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D6E104473BCD4116A5E2D4944C17A8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104888CE12F348C5A78F9A6EAE6847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D22D5D473F7A4CB98AE5930798A75B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8599696A4CD24D60AB241AB42DE16C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18E5C6CF37584D1588B4C6121BB81E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1545FD0E215D478EA7A22F34D0A6FC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8BF0EF33A7A145D29444144217A7AF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6F2043E1A38D4243AB2F6F7B894801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C61695F45B214DA590E36BA9884E29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68FCC6C2F57A4492B2F9CBB4A76352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059DEF18D71F419A81E287F14DECB2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B7C802E746EF41D782C3F75C01CC7B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3D718C764B9441148E262CEEDFD278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A1A39046DA2E4FDF8E3AF398DBA523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B17BA8564E41441E95ED225B063A8A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0CEC2740114D47549D6EFC79342FB7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40DBCFBC0C4546869C97DF304E1439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75C2B43921D143C999B19F970FA0D3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D63530C126CA4FE9A2F7DB03D1DC81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54E01612249B499592199A9FBDE6CA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
    <w:name w:val="8D460584FC8B456FA070B4E759D3BD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
    <w:name w:val="80B1CC65B24248B5A1EEE1F199F3ED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
    <w:name w:val="A98E40CFF27D40E6AE342973D0E690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51BB4916F51A4AF7B5850807CE0E9A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
    <w:name w:val="2CE0350EC55C45A6A302E02B5CDBFF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
    <w:name w:val="77B9B432B6BC4F5D8D13F5D5D2B78C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501C6CAF27504ABF8D2C30F6F10F90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D655AE0EF5EA476D85EE19B247546B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
    <w:name w:val="5B82AC185AD54053881093A0B48CA9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
    <w:name w:val="62427D7A913043C9B39F6ACBABF0D7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2C95FA38AFD74FDEB5EE50D0429744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CCBBD4A0416F4B58B478F54DA612A1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
    <w:name w:val="D95B362AC79A4F0DB1B7D356039377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
    <w:name w:val="878A2BF3F9284292A288C6FA56EB10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14AE00C910D449F6A046F5BFBC7D8A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
    <w:name w:val="00B69345596148EEA4758653D0D2AB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
    <w:name w:val="BE708F4467FB4F229465E3E8231352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
    <w:name w:val="ACFC4DFC10B441CA8335B6FD303DE2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EF12DF4DC1634DA2A47574E811F2F9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
    <w:name w:val="81008DE796DC4E6CA85241408FAA6A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15EBDF87E9344D2E9513E073F6D8C2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
    <w:name w:val="34279592DD2C4EA48767EFE7A6CFE3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
    <w:name w:val="5F0D2F7FDE7B442F85B9C6CD47A8DA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
    <w:name w:val="232C332411844D0C9559EF83A70116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
    <w:name w:val="28C1090185944237A53D76C0A39484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
    <w:name w:val="E20E45B3D1C44409A9BA453E18A9F9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
    <w:name w:val="95E9B0658113468C80FA1E115D8D0E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
    <w:name w:val="150202CC1799486AB843A16051D5EC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
    <w:name w:val="CCEC7CD9288C445E85086278CB125A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
    <w:name w:val="EDB41847CD8C4F8F9D994D7AAE8756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
    <w:name w:val="E0155B203C09435A9ED72515EC041D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
    <w:name w:val="A26997E5711E4CB4BA8D8E5FBE99AD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
    <w:name w:val="1E38FDBA880140989CC0F9BF96BACA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
    <w:name w:val="4D05968AA5974ED0A7ACDCD05D6578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
    <w:name w:val="B3F55E288A0B4F9985CE12B6B3E875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
    <w:name w:val="ABE6B274C1604B95A147996B816B2F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
    <w:name w:val="E66EA3650BDC4814BBC77FFB140C69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
    <w:name w:val="3CF6B3EFE0074E9397087F39B89C2F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
    <w:name w:val="89B7F7F3609E4EE2BF470BE5C9557E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
    <w:name w:val="374E11203E974D06823D6D0ADFB5EC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
    <w:name w:val="35492D1923334ABA85677C6E78F7CE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
    <w:name w:val="D3ABD71ECA4B4F8EB00EF9359C088A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
    <w:name w:val="D5B6D86F503440A8BD2EE1A8039E38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
    <w:name w:val="114C724DF787485E9BC90CD922F1B1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
    <w:name w:val="2D7A3EB06BEA403789986E8A171805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
    <w:name w:val="F24E776C3F93423895AA3AED8CCC13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
    <w:name w:val="31D76DA6526542E9B28AF41449FFA9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
    <w:name w:val="37553697BD28443BBEC8AB222E2F6B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
    <w:name w:val="F34BF048DB674941AF1137D56A25E2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
    <w:name w:val="AC4F6BA5867C45E682B45718CF4CCC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
    <w:name w:val="58C77428B0974F6BA30E489D767DAAB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2" optimized="true" originalVersion="0.1" inds="16"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section xlName="_SEC_053d5dad2cbb4a7e949bd9642e6c577f" title="股份有限公司" helpId="101001012" helpText="第三条 本准则的规定是对公司年度报告信息披露的最低要求；对投资者投资决策有重大影响的信息，不论本准则是否有明确规定，公司均应当披露。\n鼓励公司结合自身特点，以简明易懂的方式披露对投资者特别是中小投资者决策有用的信息，但披露的信息应当保持持续性，不得选择性披露。\n第四条 本准则某些具体要求对公司确实不适用的，公司可以根据实际情况在不影响披露内容完整性的前提下做出适当修改，并说明修改原因。\n第五条 由于国家秘密、商业秘密等特殊原因导致本准则规 定的某些信息确实不便披露的，公司可以不予披露，但应当在相 关章节详细说明未按本准则要求进行披露的原因 。中国证监会认 为需要披露的，公司应当披露。公司在编制和披露年度报告时应当严格遵守国家有关保密的法律法规，不得泄露国家保密信息。"/>
    <m:section xlName="_SEC_7d2cef92505949c6b5bd6a9bd88e1b07" title="董事会及董事声明" afterEmptyPhCount="0" checkKey="!无法保证" ignorePeriod="1" summaryGuid="_SEC_aa22e04a0644440e8f59d9a5d2b6356d" helpId="101001001" primarySection="_SEC_7d2cef92505949c6b5bd6a9bd88e1b07" optionText="公司保证本报告内容的真实、准确、完整" activeContentOption="_SEC_972c92c8aab94d49a7d349f0a000c8e8" optionGroupTitle="董事会及董事声明情况"/>
    <m:section xlName="_SEC_d1b83f650e4846a7a962cc690e0ab078" title="董事、监事、高级管理人员无法保证的声明" afterEmptyPhCount="0" checkKey="无法保证" ignorePeriod="1" summaryGuid="_SEC_aa22e04a0644440e8f59d9a5d2b6356d" helpId="101001003" primarySection="_SEC_7d2cef92505949c6b5bd6a9bd88e1b07" optionText="公司无法保证本报告内容的真实、准确、完整" activeContentOption="_GBC_c39714d4523c4f26bc10a8bd552c9a0c" optionGroupTitle="董事会及董事声明情况"/>
    <m:section xlName="_SEC_22f2821f4b8f443f90d5135b8aaff83a" title="公司全体董事出席董事会会议。" afterEmptyPhCount="0" checkKey="全体董事出席&amp;!未出席&amp;!未能出席&amp;!未亲自出席&amp;!委托" summaryGuid="_SEC_be1027fce3b442bcbf75c2ca49eb23c5" helpId="101001004" helpText="注：如有董事未出席董事会，应当单独列示其姓名。\n这里的出席指的是亲自出席" primarySection="_SEC_22f2821f4b8f443f90d5135b8aaff83a" optionText="全体出席" optionGroupTitle="董事会出席情况"/>
    <m:section xlName="_SEC_51c9b3d9c2f94082b7b8426bcf632e09" title="未出席董事情况" afterEmptyPhCount="0" checkKey="!全体出席" summaryGuid="_SEC_be1027fce3b442bcbf75c2ca49eb23c5" helpId="101001004" helpText="注：如有董事未出席董事会，应当单独列示其姓名。\n这里的出席指的是亲自出席" primarySection="_SEC_22f2821f4b8f443f90d5135b8aaff83a" optionText="有未出席情况" optionGroupTitle="董事会出席情况"/>
    <m:section xlName="_SEC_40fba4905c084fec81ccf5c248050f25" title="事务所为本公司出具了标准无保留意见的审计报告。" afterEmptyPhCount="0" checkKey="!带强调事项段或其他事项段的无保留意见&amp;!无法表示意见&amp;!否定意见&amp;!未经审计" summaryGuid="_SEC_10fc528358cf412aa0908669b3eaffcf" helpId="101001006" primarySection="_SEC_40fba4905c084fec81ccf5c248050f25" optionText="标准无保留意见" optionGroupTitle="审计报告情况" keyAction="15" keyCode="B00001"/>
    <m:section xlName="_SEC_965d625992e84e7b89102a23fe1bf125" title="非标意见说明" afterEmptyPhCount="0" checkKey="!标准无保留意见&amp;!未经审计" summaryGuid="_SEC_10fc528358cf412aa0908669b3eaffcf" helpId="101001006" primarySection="_SEC_40fba4905c084fec81ccf5c248050f25" optionText="非标意见" activeContentOption="_SEC_965d625992e84e7b89102a23fe1bf125" optionGroupTitle="审计报告情况" keyAction="15" keyCode="B00001"/>
    <m:section xlName="_SEC_40654f606f504efc86050d9bc3a9f981" title="本年度报告未经审计" afterEmptyPhCount="0" checkKey="!带强调事项段或其他事项段的无保留意见&amp;!保留意见&amp;!无法表示意见&amp;!否定意见&amp;!标准无保留意见" summaryGuid="_SEC_10fc528358cf412aa0908669b3eaffcf" helpId="101001006" primarySection="_SEC_40fba4905c084fec81ccf5c248050f25" optionText="未经审计" activeContentOption="_GBC_07370c6ee32a4bea8271133440d087fd" optionGroupTitle="审计报告情况" keyAction="15" keyCode="B00001"/>
    <m:section xlName="_SEC_aa772887f17444efa3f14932a3ab86a1" title="公司负责人等声明" afterEmptyPhCount="0" mandatory="true" helpId="101001002"/>
    <m:section xlName="_SEC_a501adcd5b1e409f9a26e2205a1217af" title="经董事会审议的报告期利润分配预案或公积金转增股本预案" afterEmptyPhCount="0" mandatory="true" convertSummaryRule="NoConvert" helpId="101001011"/>
    <m:section xlName="_SEC_cc0a682043544feca8d6178ae3f9b57a" title="前瞻性陈述的风险声明" afterEmptyPhCount="0" ignorePeriod="1" helpId="101001007" helpText="注：如年度报告涉及未来计划等前瞻性陈述，同时附有相应的警示性陈述，则应当声明该计划不构成公司对投资者的实质承诺，请投资者注意投资风险。"/>
    <m:section xlName="_SEC_dd7ae952183947878c4ccc9b523f2fd5" title="本公司是否存在大股东占用资金情况" afterEmptyPhCount="0"/>
    <m:section xlName="_SEC_05a034f558514905b67eb7706c31865e" title="本公司是否存在违反规定决策程序对外提供担保的情况" afterEmptyPhCount="0" convertSummaryRule="NoConvert"/>
    <m:section xlName="_SEC_48356da23f6a4bf99307cdd80c7327ad" title="是否存在半数以上董事无法保证公司所披露年度报告的真实性、准确..."/>
    <m:section xlName="_SEC_9889b4a81d8e4a009c1c90b6eaff4bed" title="重大风险提示" afterEmptyPhCount="0" rules="R2015_R1_001" ignorePeriod="1" helpId="101001010"/>
    <m:section xlName="_SEC_e9484471c6da4ac39a115f2e22fdac24" title="重要提示的其他情况说明" afterEmptyPhCount="0"/>
    <m:section xlName="_SEC_e649d09f3b7f42b7b4f14c158bb328aa" title="备查文件目录" convertSummaryRule="NoConvert" helpId="110002018" helpText="公司应当披露备查文件的目录，包括：\n（一）载有公司负责人、主管会计工作负责人、会计机构负责人（会计主管人员）签名并盖章的财务报表。\n（二）载有会计师事务所盖章、注册会计师签名并盖章的审计报告原件。\n（三）报告期内公开披露过的所有公司文件的正本及公告的原稿。\n（四）在其他证券市场公布的年度报告。"/>
    <m:section xlName="_SEC_e0ada4191e1e474fa6a3f5096e480871" title="释义" ignorePeriod="1" mandatory="true" convertSummaryRule="NoConvert" helpId="101001013"/>
    <m:section xlName="_SEC_21d2355d13dd4c3a8618d612216e1d43" title="公司信息" ignorePeriod="1" convertSummaryRule="NoConvert" helpId="101001015"/>
    <m:section xlName="_SEC_c723c6b18eac4f1fa6cc19fd1ec13bac" title="联系人和联系方式" ignorePeriod="1" convertSummaryRule="NoConvert" helpId="101001016">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956d025c8a1d451390392ecb3e2602be" title="基本情况变更简介" ignorePeriod="1" helpId="101001017"/>
    <m:section xlName="_SEC_0df805cd09bf439989b9eac11c342a74" title="信息披露及备置地点变更情况简介" ignorePeriod="1" mandatory="true" convertSummaryRule="NoConvert" helpId="101001018"/>
    <m:section xlName="_SEC_58c4b7a4d9a845aea87791adfb6845e7" title="公司股票简况" ignorePeriod="1" convertSummaryRule="NoConvert" helpId="101001019" helpText="注：本项可选填“A股”、“B股”、“H股”或其他。 "/>
    <m:section xlName="_SEC_003e0cedcbeb43af9103dfb4bc32cd9f" title="其他有关资料" ignorePeriod="1" helpId="101001021"/>
    <m:item xlName="_GBC_831bf622af014dd988d7abf34a230ded" indRef="1" concept="clcid-ci-ar:DanWeiBaoGaoQiMoGongSiQianSanNianZhuYaoKuaiJiShuJuHeCaiWuZhiBiao" label="单位：报告期末公司前三年主要会计数据和财务指标" selectOptions="_buildInScales" controlType="Combobox" cellType="Scale"/>
    <m:item xlName="_GBC_966177366f0d4256ae6aac54dd779761" indRef="2" concept="clcid-ci-ar:BiZhongBaoGaoQiMoGongSiQianSanNianZhuYaoKuaiJiShuJuHeCaiWuZhiBiao" label="币种：报告期末公司前三年主要会计数据和财务指标" selectOptions="_buildInISO4217" controlType="Combobox" cellType="Measure"/>
    <m:section xlName="_SEC_054de9a865fc43068e5affd816d52d7b" title="主要会计数据(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无追溯调整" optionGroupTitle="主要会计数据和财务指标情况" optionTargetConcept="clcid-ci-ar:ShiFouZhuiSuTiaoZheng" optionTargetConceptValue="无追溯调整"/>
    <m:section xlName="_SEC_2e37b4d9e4604c18b526f532ded89b84" title="主要会计数据(对2020年、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2019年度追溯调整" optionGroupTitle="主要会计数据和财务指标情况" optionTargetConcept="clcid-ci-ar:ShiFouZhuiSuTiaoZheng" optionTargetConceptValue="对2020年、2019年度追溯调整"/>
    <m:section xlName="_SEC_5bdc262a8de24f86b63cd88bed7f8ed4" title="主要会计数据(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19年度追溯调整" optionGroupTitle="主要会计数据和财务指标情况" optionTargetConcept="clcid-ci-ar:ShiFouZhuiSuTiaoZheng" optionTargetConceptValue="对2019年度追溯调整"/>
    <m:section xlName="_SEC_d2086980cac3487da9e326307d1d5772" title="主要会计数据(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度追溯调整" optionGroupTitle="主要会计数据和财务指标情况" optionTargetConcept="clcid-ci-ar:ShiFouZhuiSuTiaoZheng" optionTargetConceptValue="对2020年度追溯调整"/>
    <m:section xlName="_SEC_ca679c431b23410b8002c2ae2c543dab" title="主要财务指标(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无追溯调整" optionGroupTitle="主要会计数据和财务指标情况" optionTargetConcept="clcid-ci-ar:ShiFouZhuiSuTiaoZheng" optionTargetConceptValue="无追溯调整"/>
    <m:section xlName="_SEC_969d4501e75c4e449ff2b0cba964329c" title="主要财务指标(对2020年、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2019年度追溯调整" optionGroupTitle="主要会计数据和财务指标情况" optionTargetConcept="clcid-ci-ar:ShiFouZhuiSuTiaoZheng" optionTargetConceptValue="对2020年、2019年度追溯调整"/>
    <m:section xlName="_SEC_287569831b844fddbe3b92fd648e75e7" title="主要财务指标(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19年度追溯调整" optionGroupTitle="主要会计数据和财务指标情况" optionTargetConcept="clcid-ci-ar:ShiFouZhuiSuTiaoZheng" optionTargetConceptValue="对2019年度追溯调整"/>
    <m:section xlName="_SEC_11a5abe42c0d43df9c44d4f247a4371d"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度追溯调整" optionGroupTitle="主要会计数据和财务指标情况" optionTargetConcept="clcid-ci-ar:ShiFouZhuiSuTiaoZheng" optionTargetConceptValue="对2020年度追溯调整"/>
    <m:section xlName="_SEC_e0c1d174841549508433e1bc7cb4c9d5" title="公司主要会计数据和财务指标的说明" rules="R2015_R2_001" convertSummaryRule="NoConvert" helpId="101001022"/>
    <m:section xlName="_SEC_cd4f769de8434e6fa625c3e1e3edf9f8" title="同时按照国际会计准则与按中国会计准则披露的差异" rules="R2015_R2_002" helpId="101001024" helpText="注：境内外会计准则下会计数据差异填列合并报表数据。"/>
    <m:section xlName="_SEC_443550478d2c4f8ca34d8b799ef01903" title="同时按照境外会计准则与按中国会计准则披露的差异" rules="R2015_R2_002" helpId="101001024" helpText="注：境内外会计准则下会计数据差异填列合并报表数据。"/>
    <m:section xlName="_SEC_b22be8396e6f44ec8ff113069c448aa0" title="境内外会计准则差异的说明" rules="R2015_R2_002" convertSummaryRule="NoConvert" helpId="101001024" helpText="注：境内外会计准则下会计数据差异填列合并报表数据。"/>
    <m:section xlName="_SEC_8cfd3688781f4629a476386b97fa2f75" title="分季度主要财务数据" summaryGuid="_SEC_be40d5b700004ccebf631d208f0c06bd" helpId="101001026"/>
    <m:section xlName="_SEC_c9ec505011044df3b703919ed91a432c" title="非经常性损益项目和金额" rules="R2015_R2_003" convertSummaryRule="NoConvert" helpId="101001027" helpText="1.各非经常性损益项目按税前金额列示。\n2.非经常性损益项目中的损失类应以负数填写。\n3.自定义科目全部填入“其他符合非经常性损益定义的损益项目”，并在该项目附注中说明具体情况。"/>
    <m:section xlName="_SEC_0910543556014fc1abc2864ad29c9f55" title="将《公开发行证券的公司信息披露解释性公告第1号——非经常性损..."/>
    <m:section xlName="_SEC_4b13c06b07154e45b14204b22dd943ad" title="采用公允价值计量的项目"/>
    <m:section xlName="_SEC_2b90c267769d4c769805494ec1d46591" title="其他财务和业务数据" helpId="101014007"/>
    <m:section xlName="_SEC_465bd2646eb04eab8e1c01ba688faf29" title="管理层讨论与分析" rules="R2015_R4_001" ignorePeriod="1" helpId="101001033"/>
    <m:section xlName="_SEC_9c97aafe2aaf4296a625865b403a487b" title="报告期内公司所处行业情况" helpId="101001055" helpText="公司应当介绍报告期内公司所处行业情况，包括但不限于以下内容：\n（一）所处行业基本情况、发展阶段、周期性特点以及公司所处的行业地位情况，应当重点突出报告期内发生的重大变化。\n（二）新公布的法律、行政法规、部门规章、行业政策对所处行业的重大影响。"/>
    <m:section xlName="_SEC_1493ba27835e4c2bb84b6f78dd948a7b" title="报告期内公司从事的业务情况" helpId="101001009" helpText="公司应当介绍报告期内公司从事的业务情况，包括但不限于以下内容：\n（一）报告期内公司所从事的主要业务、主要产品及其用途、经营模式等内容，应当重点突出报告期内发生的重大变化。\n（二）报告期内公司产品市场地位、竞争优势与劣势、主要的业绩驱动因素、业绩变化是否符合行业发展状况等内容。"/>
    <m:section xlName="_SEC_d733579ca1be4b6280b2cf34d2da3454" title="报告期内核心竞争力分析" rules="R2015_R3_001" helpId="101001032"/>
    <m:section xlName="_SEC_5be0fbeb3cd14e7ea98377b294efcb92" title="报告期内主要经营情况" helpId="101001034" helpText="公司应当分析报告期内的主要经营情况，披露报告期内公司经营情况的重大变化，以及报告期内发生的对公司经营情况有重大影响和预计未来会有重大影响的事项。" otherKeyActions="{&quot;KeyCode&quot;:&quot;ShareChildren:主要经营情况&quot;,&quot;KeyAction&quot;:31,&quot;KeyActionTitle&quot;:null,&quot;OtherActions&quot;:null}"/>
    <m:section xlName="_SEC_91e850b02ecf462096f16fee26b10620" title="财务报表相关科目变动分析表" helpId="101001035"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SEC_593b4c4eb33a4edb9c451b51de8804e0" title="公司利润构成或利润来源发生重大变动的详细说明" convertSummaryRule="NoConvert" helpId="101001035"/>
    <m:section xlName="_SEC_eabe373ea4a44068936322286f1ec6fe" title="收入和成本分析" helpId="101001037"/>
    <m:section xlName="_SEC_aa7718c852e84d458e04e912c587a7da" title="主营业务分行业、分产品、分地区、分销售模式情况" helpId="101001037" helpText="注：1.分别按照行业、产品列示占营业收入或营业利润10%以上的主要行业和产品。\n2.毛利率比上年同期增减的幅度,建议用两期毛利率的差额来填列。例如：本报告期毛利率为12%,上年同期为15%,则增减幅度为“-3%”。\n3.毛利率= （营业收入-营业成本）/营业收入 \n4.如确需调整，应当提供调整后的最近1年数据"/>
    <m:section xlName="_SEC_b85e1cad33344c94a1ecc713f9b7acbc" title="产销量情况分析表" helpId="101001037" helpText="注：填写生产量、库存量、销售量时，请在数据后面标注单位。"/>
    <m:item xlName="_GBC_7db64bb10282470b9d1599cd986236d4" concept="clcid-ci-ar:ShiFouShiYongZhongDaCaiGouHeTongZhongDaXiaoShouHeTongDeLvXingQingKuang" label="是否适用：重大采购合同、重大销售合同的履行情况 " selectOptions="_buildInAppliance" controlType="CustomCheckbox" cRanges="[{&quot;StartName&quot;:&quot;_GBC_7db64bb10282470b9d1599cd986236d4&quot;,&quot;EndName&quot;:&quot;_SEC_808c8d0343a546dd884456143a3c3ebc&quot;,&quot;CType&quot;:1}]"/>
    <m:section xlName="_SEC_f672aa6d42fb4ed88f0f0609f9c0c215" title="已签订的重大销售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808c8d0343a546dd884456143a3c3ebc" title="已签订的重大采购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de51976cba8242c1b32c1f5dc956546c" title="成本分析表" helpId="101001037"/>
    <m:section xlName="_SEC_7994c9389a294bdbaecc407b4132887e" title="报告期主要子公司股权变动导致合并范围变化 " helpId="101001037" helpText="如果因主要子公司股权变动导致合并范围变化，应当提供上年同口径的数据供投资者参考。"/>
    <m:section xlName="_SEC_d6cb17445afd40d08283b8668ce1d236" title="公司报告期内业务、产品或服务发生重大变化或调整有关情况" helpId="101001037" helpText="若报告期内业务、产品或服务发生重大变化或调整，公司应当介绍已推出或宣布推出的新产品及服务，并说明对公司经营及业绩的影响。"/>
    <m:section xlName="_SEC_1e36f4c903d34dcaa490079809a25d63" title="公司主要销售客户情况前五名客户销售额" helpId="101014011"/>
    <m:section xlName="_SEC_95ad638a4b6f4b4790b1d0f3690a45cd" title="报告期内向单个客户的销售比例超过总额的50%、前5名客户中存..." helpId="101014011" helpText="若报告期内向单个客户的销售比例超过总额的50%、前5名客户中存在新增客户的或严重依赖于少数客户，应披露其名称和销售额。"/>
    <m:section xlName="_SEC_3a7906474e0b449b832049e5ab89fb92" title="公司主要供应商情况前五名供应商采购额" helpId="101014011"/>
    <m:section xlName="_SEC_3d1177daffc24273aa09c51395106f77" title="报告期内向单个供应商的采购比例超过总额的50%、前5名供应商..." helpId="101014011" helpText="若报告期内向单个供应商的采购比例超过总额的50%、前5名供应商中存在新增供应商的或严重依赖于少数供应商，应披露其名称和采购额。"/>
    <m:item xlName="_GBC_671f841429ed4c5aaa013b86ad58b88f" concept="clcid-mr:ZhuYaoXiaoShouKeHuJiZhuYaoGongYingShangQingKuangQiTaShuoMing" label="主要销售客户及主要供应商情况其他说明"/>
    <m:section xlName="_SEC_775a3421cf05469a8bf0b92a3e954a9d" title="费用" ignorePeriod="1" helpId="101001038"/>
    <m:section xlName="_SEC_7d98484d3b0a438487e1af19f740dceb" title="研发投入情况表" helpId="101001039"/>
    <m:section xlName="_SEC_0e96295bcf0243fa915a42a64988d5d2" title="研发人员情况表" helpId="101001039"/>
    <m:section xlName="_SEC_0004b40963e14f23a54c541fda51ba2e" title="情况说明" helpId="101001039"/>
    <m:section xlName="_SEC_1b0ac7c10221440292ebe3dc985f0f13" title="研发人员构成发生重大变化的原因及对公司未来发展的影响" helpId="101001039"/>
    <m:section xlName="_SEC_686d1eb4c39f48b6b19ee846f1749d81" title="现金流" ignorePeriod="1" helpId="101001040"/>
    <m:section xlName="_SEC_b0e1a8f55b6e4b79a965887836132040" title="非主营业务导致利润重大变化的说明" helpId="101001041"/>
    <m:item xlName="_GBC_73f72b786f764d01bef1bb70d2d6e5c6" concept="clcid-ci-ar:ShiFouShiYongZiChanFuZhaiQingKuangFenXi" label="是否适用：资产、负债情况分析" selectOptions="_buildInAppliance" controlType="CustomCheckbox" cRanges="{&quot;StartName&quot;:&quot;_GBC_73f72b786f764d01bef1bb70d2d6e5c6&quot;,&quot;EndName&quot;:&quot;_SEC_0a5a7a92c0314a60b3f3d11562efe5d4&quot;,&quot;CType&quot;:1,&quot;DisplayText&quot;:null}"/>
    <m:section xlName="_SEC_4a3163af8aaf45ec8cbbe30e595b76d7" title="资产及负债状况" helpId="101001042"/>
    <m:item xlName="_GBC_7c019689b55740839a263ecc68721e10" concept="clcid-ci-ar:ShiFouShiYongJingWaiZiChanQingKuang" label="是否适用：境外资产情况 " selectOptions="_buildInAppliance" controlType="CustomCheckbox" cRanges="[{&quot;StartName&quot;:&quot;_GBC_7c019689b55740839a263ecc68721e10&quot;,&quot;EndName&quot;:&quot;_SEC_54a1b1f3b7ce41b58074c979b6800c0c&quot;,&quot;CType&quot;:1}]"/>
    <m:section xlName="_SEC_9e4e03c6d4d8425d82c88aa9d52338da" title="资产规模" helpId="101001042"/>
    <m:section xlName="_SEC_54a1b1f3b7ce41b58074c979b6800c0c"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cd146e80d2e14aa4aac1142579c4c36a" title="截至报告期末主要资产受限情况" helpId="101001042"/>
    <m:section xlName="_SEC_0a5a7a92c0314a60b3f3d11562efe5d4" title="其他说明" helpId="101001042"/>
    <m:section xlName="_SEC_5860c602a88b4fa29c583d556917cd48" title="行业经营性信息分析" rules="R2015_R4_002" ignorePeriod="1" helpId="101001512" helpText="注：上市公司应当认真落实本所行业信息披露指引的要求，结合自身所处行业的经营特点在年报相关章节中进行分析。对于行业指引要求披露的，但公司未在其他章节中进行相应说明的内容，请在此处进行说明相关情况。"/>
    <m:section xlName="_SEC_d28423a428ce47f69f2ed8c40c73423f" title="报告期内房地产储备情况" rules="R2015_FDC_001|R2015_FDC_002|R2015_FDC_003|R2015_FDC_004" helpId="101001500" helpText="上市公司行业信息披露指引第二号——房地产（2020年修订）\n第三条 上市公司应当披露房地产储备情况，包括：\n（一）持有待开发土地（含待开发房产）的区域分布、土地总面积、规划计容建筑面积；\n（二）一级土地整理面积；\n（三）合作开发项目涉及的面积和权益占比等。" optionTargetConcept="clcid-ci-ar:FangDiChanHangYeJingYingXingXinXiFenXi" optionTargetConceptValue="true" keyAction="12" keyCode="1"/>
    <m:section xlName="_SEC_8bc4d8deed0441a592cb912b4d8f579a" title="报告期内房地产开发投资情况" rules="R2015_FDC_005" helpId="101001500" helpText="上市公司行业信息披露指引第二号——房地产（2020年修订）\n第四条 上市公司应当按照不同经营业态、区域分布，分项目披露房地产开发投资情况，包括：\n（一）在建项目、新开工项目及竣工项目的用地面积、规划计容建筑面积；\n（二）在建项目、新开工项目及竣工项目的总建筑面积、在建建筑面积、已竣工面积；\n（三）拟建和在建项目的总投资额、本年实际投资额等。" optionTargetConcept="clcid-ci-ar:FangDiChanHangYeJingYingXingXinXiFenXi" optionTargetConceptValue="true" keyAction="12" keyCode="1"/>
    <m:section xlName="_SEC_12f301b3d5d747c1b4e7f1deba8c0e7e" title="报告期内房地产销售情况  序号地区 项目经营业态可供..." helpId="101001500" helpText="上市公司行业信息披露指引第二号——房地产（2020年修订）\n第五条 上市公司应当按照不同经营业态、区域分布，分项目披露报告期内房地产销售和结转情况，包括：\n（一）可供出售面积、已售（含已预售）面积；\n（二）结转面积、结转收入金额、报告期末待结转面积等。" optionTargetConcept="clcid-ci-ar:FangDiChanHangYeJingYingXingXinXiFenXi" optionTargetConceptValue="true" keyAction="12" keyCode="1"/>
    <m:section xlName="_SEC_505765c4744a40c89731ddd9f3fdaa84" title="报告期内房地产出租情况" rules="R2015_FDC_007" helpId="101001500" helpText="上市公司行业信息披露指引第二号——房地产（2020年修订）\n第七条 上市公司应当按照不同经营业态、区域分布，分项目披露自持物业的建筑面积、权益比例及租金收入。鼓励公司按照不同经营业态、区域分布，分项目披露可出租面积、出租率、每平方米平均基本租金及同比变化情况等其他房地产出租信息。\n注：公司租金收入占营业收入10%以下的，可不填写该表格。" optionTargetConcept="clcid-ci-ar:FangDiChanHangYeJingYingXingXinXiFenXi" optionTargetConceptValue="true" keyAction="12" keyCode="1"/>
    <m:section xlName="_SEC_9edfbf3696704b70ad732d42146e169e" title="报告期内公司财务融资情况" rules="R2015_FDC_008" helpId="101001500" helpText="上市公司行业信息披露指引第二号——房地产（2020年修订）\n第九条 上市公司应当披露以下财务融资情况及投融资计划，包括：\n（一）期末融资总金额、平均融资成本、利息资本化金额等；\n（二）结合下一年度新增房地产储备计划、在建和拟建项目投资计划等，披露融资安排。" optionTargetConcept="clcid-ci-ar:FangDiChanHangYeJingYingXingXinXiFenXi" optionTargetConceptValue="true" keyAction="12" keyCode="1"/>
    <m:section xlName="_SEC_98955453bbe7426eae0c55949c02c150" title="房地产行业经营性信息分析其他情况说明" rules="R2015_FDC_009|R2015_FDC_010" helpId="101001500" optionTargetConcept="clcid-ci-ar:FangDiChanHangYeJingYingXingXinXiFenXi" optionTargetConceptValue="true" keyAction="12" keyCode="1"/>
    <m:section xlName="_SEC_3fe2ceb3f87f4c319dc247c4a8d6611b" title="煤炭主要经营情况" rules="R2015_MT_001|R2015_MT_002|R2015_MT_003" helpId="101001501" helpText="上市公司行业信息披露指引第三号——煤炭（2020年修订）\n第四条 上市公司应当按煤炭采掘和贸易、煤化工、运输、发电、煤矿装备等主要业务板块，披露销售量、销售价格、营业收入、营业成本、毛利率等主要经营和财务数据及其较前一年度的变动情况。" optionTargetConcept="clcid-ci-ar:MeiTanHangYeJingYingXingXinXiFenXi" optionTargetConceptValue="true" keyAction="12" keyCode="2"/>
    <m:section xlName="_SEC_f923c09fe29b4d9683dcd61eb563704f" title="煤炭储量情况" rules="R2015_MT_004" helpId="101001501" helpText="上市公司行业信息披露指引第三号——煤炭（2020年修订）\n第五条 上市公司应当披露各煤炭矿区资源情况，包括各主要矿区和主要煤炭品种的资源量、可采储量、证实储量等，同时披露相关储量的计算标准。" optionTargetConcept="clcid-ci-ar:MeiTanHangYeJingYingXingXinXiFenXi" optionTargetConceptValue="true" keyAction="12" keyCode="2"/>
    <m:section xlName="_SEC_df552dcaa9924243b548132b1dc58cc4" title="煤炭行业经营性信息分析其他情况说明" rules="R2015_MT_005|R2015_MT_006|R2015_MT_007|R2015_MT_008|R2015_MT_009|R2015_MT_010|R2015_MT_011|R2015_MT_012" helpId="101001501" optionTargetConcept="clcid-ci-ar:MeiTanHangYeJingYingXingXinXiFenXi" optionTargetConceptValue="true" keyAction="12" keyCode="2"/>
    <m:section xlName="_SEC_e42cceb171974ba4b301555fa8dfbec7" title="报告期末已开业门店分布情况" rules="R2015_LSY_001|R2015_LSY_002|R2015_LSY_003|R2015_LSY_004|R2015_LSY_006|R2015_LSY_007R2015_LSY_008|R2015_LSY_009|R2015_LSY_010" helpId="101001502" helpText="上市公司行业信息披露指引第五号——零售（2020年修订）\n第四条 上市公司应当按下列要求披露报告期末门店分布及变动情况：\n（一）门店分布情况。公司应当按经营业态及地区，披露报告期末各类门店的建筑面积、物业权属等信息。上市公司经营百货商场、购物中心业态的，应当按单个门店披露上述信息以及门店名称、地址、开业时间、租赁期限等有关信息；经营大型综合卖场等业态且门店数量较多的，应当披露营业收入前10家门店的上述信息。\n注：同一建筑内不同经营业态的门店分别计算门店数量。" optionTargetConcept="clcid-ci-ar:LingShouHangYeJingYingXingXinXiFenXi" optionTargetConceptValue="true" keyAction="12" keyCode="3"/>
    <m:section xlName="_SEC_6c036288588e4c92a37967883626ea86" title="零售行业经营性信息分析其他情况说明" rules="R2015_LSY_011|R2015_LSY_012|R2015_LSY_013|R2015_LSY_014|R2015_LSY_015|R2015_LSY_016|R2015_LSY_017|R2015_LSY_018" helpId="101001502" optionTargetConcept="clcid-ci-ar:LingShouHangYeJingYingXingXinXiFenXi" optionTargetConceptValue="true" keyAction="12" keyCode="3"/>
    <m:section xlName="_SEC_5e92a1d3b6904746a7dca4e1d9a39ac8" title="报告期内实体门店情况□适用  □不适用clcid-ci-..." rules="R2015_FZ_001|R2015_FZ_002|R2015_FZ_003|R2015_FZ_008" helpId="101001504" helpText="上市公司行业信息披露指引第十一号——服装（2020年修订）\n第六条 上市公司有实体门店销售终端的，应当按照直营店、加盟店以及其他更为符合公司实际经营特点的门店类型，分类披露以下门店分布、变动和店效情况：\n（二）门店增减情况，包括报告期末各类型门店的数量与上年同期相比的增减情况、报告期内新开门店的数量和类型、报告期末关闭门店的数量、类型和关闭原因。" optionTargetConcept="clcid-ci-ar:FuZhuangHangYeJingYingXingXinXiFenXi" optionTargetConceptValue="true" keyAction="12" keyCode="5"/>
    <m:section xlName="_SEC_2f31afd986b646ffb6192f069730a11f" title="报告期内各品牌的盈利情况" rules="R2015_FZ_004|R2015_FZ_005|R2015_FZ_006|R2015_FZ_007|R2015_FZ_010" helpId="101001504" helpText="上市公司行业信息披露指引第十一号——服装（2020年修订）\n第七条 上市公司应当按行业特点和自身经营模式，披露报告期内以下主营业务收入和主营业务利润的构成情况：\n（一）按照各项品牌及非品牌披露的营业收入、营业成本、毛利率及同比增减情况，相关数据变动30%以上的，应当披露变化原因。" optionTargetConcept="clcid-ci-ar:FuZhuangHangYeJingYingXingXinXiFenXi" optionTargetConceptValue="true" keyAction="12" keyCode="5"/>
    <m:section xlName="_SEC_43fe5d4a92dd4f9badaa7fcaa0ea0973" title="报告期内直营店和加盟店的盈利情况" rules="R2015_FZ_008|R2015_FZ_007|R2015_FZ_010" helpId="101001504" helpText="上市公司行业信息披露指引第十一号——服装（2020年修订）\n第七条 上市公司应当按行业特点和自身经营模式，披露报告期内以下主营业务收入和主营业务利润的构成情况：\n（二）按照直营店、加盟店等门店类型分项披露的营业收入、营业成本、毛利率及同比增减情况，相关数据变动30%以上的，应当披露变化原因。" optionTargetConcept="clcid-ci-ar:FuZhuangHangYeJingYingXingXinXiFenXi" optionTargetConceptValue="true" keyAction="12" keyCode="5"/>
    <m:section xlName="_SEC_3859f6b3684a4a76b0f9caca3bee8aea" title="报告期内线上、线下销售渠道的盈利情况" rules="R2015_FZ_009|R2015_FZ_010" helpId="101001504" helpText="上市公司行业信息披露指引第十一号——服装（2020年修订）\n第七条 上市公司应当按行业特点和自身经营模式，披露报告期内以下主营业务收入和主营业务利润的构成情况：\n（三）按照线上、线下销售分类披露的营业收入金额、所占比例、毛利率及同比增减情况，相关数据变动30%以上的，应当披露变化原因。" optionTargetConcept="clcid-ci-ar:FuZhuangHangYeJingYingXingXinXiFenXi" optionTargetConceptValue="true" keyAction="12" keyCode="5"/>
    <m:section xlName="_SEC_1d7b3f6bd6874d699fd41602f4696d18" title="报告期内各地区的盈利情况" rules="R2015_FZ_007" helpId="101001504" helpText="注:境外营业收入占比30%以上的，应按主要国家和地区分项披露。" optionTargetConcept="clcid-ci-ar:FuZhuangHangYeJingYingXingXinXiFenXi" optionTargetConceptValue="true" keyAction="12" keyCode="5"/>
    <m:section xlName="_SEC_789020809bc64d49991cdd6aad570066" title="服装行业经营性信息分析其他情况说明" rules="R2015_FZ_011|R2015_FZ_011|R2015_FZ_013" helpId="101001504" optionTargetConcept="clcid-ci-ar:FuZhuangHangYeJingYingXingXinXiFenXi" optionTargetConceptValue="true" keyAction="12" keyCode="5"/>
    <m:section xlName="_SEC_f9b26883733a46bb8f6bd7020f9c1d33" title="行业和主要药(产)品基本情况" rules="R2015_YY_001|R2015_YY_002|R2015_YY_003" helpId="101001505" optionTargetConcept="clcid-ci-ar:YiYaoZhiZaoHangYeJingYingXingXinXiFenXi" optionTargetConceptValue="true" keyAction="12" keyCode="6"/>
    <m:section xlName="_SEC_4e38ac15dca842818fb2cc7e7816d982" title="主要药（产）品基本情况" keyAction="12" keyCode="6"/>
    <m:item xlName="_GBC_c11fd5a9927e42da9ea465ea23d12dfc" concept="clcid-ci-ar:ShiFouShiYongZhuYaoYaoChanPinJiBenQingKuang" label="是否适用：主要药（产）品基本情况" selectOptions="_buildInAppliance" controlType="CustomCheckbox" keyCode="6" keyAction="12" cRanges="[{&quot;StartName&quot;:&quot;_GBC_c11fd5a9927e42da9ea465ea23d12dfc&quot;,&quot;EndName&quot;:&quot;_SEC_b1788aed6ad74346a53b7b842dfea6ec&quot;,&quot;CType&quot;:1}]"/>
    <m:section xlName="_SEC_7f5766cc9d7a447eb6367baeebf4093b" title="按治疗领域划分的主要药（产）品基本情况" rules="R2015_YY_003|R2015_YY_021"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一）药（产）品基本信息；\n（二）发明专利起止期限（如适用）；\n（三）是否属于报告期内推出的新药（产）品；\n（四）是否纳入《国家基本药物目录》以及国家级、省级《基本医疗保险、工伤保险和生育保险药品目录》，以及新进入及退出情况；\n（五）本所或公司认为其他需要披露的药（产）品信息。" optionTargetConcept="clcid-ci-ar:YiYaoZhiZaoHangYeJingYingXingXinXiFenXi" optionTargetConceptValue="true" keyAction="12" keyCode="6"/>
    <m:section xlName="_SEC_03e29ee98df44e9caadf2f485a172b0f" title="报告期内纳入、新进入和退出基药目录、医保目录的主要药（产）品情况" rules="R2015_YY_013"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四）是否纳入《国家基本药物目录》以及国家级、省级《基本医疗保险、工伤保险和生育保险药品目录》，以及新进入及退出情况。" optionTargetConcept="clcid-ci-ar:YiYaoZhiZaoHangYeJingYingXingXinXiFenXi" optionTargetConceptValue="true" keyAction="12" keyCode="6"/>
    <m:section xlName="_SEC_17e36450fe0843f0a15bc83f70132d5a" title="在药品集中招标采购中的中标情况" rules="R2015_YY_014" helpId="101001505" helpText="上市公司行业信息披露指引第七号——医药制造（2020年修订）\n第五条 上市公司应当披露报告期内公司主要药品在国家级、省级药品集中招标采购中的中标情况，包括药品名称、中标价格区间、医疗机构的合计实际采购量及对公司的影响等。\n填写中标价格、采购数量时，请在数据后面标注单位" optionTargetConcept="clcid-ci-ar:YiYaoZhiZaoHangYeJingYingXingXinXiFenXi" optionTargetConceptValue="true" keyAction="12" keyCode="6"/>
    <m:section xlName="_SEC_049be928b4054935bcdb6fb4562e8b29" title="在药品集中招标采购中的中标情况说明" helpId="101001505" optionTargetConcept="clcid-ci-ar:YiYaoZhiZaoHangYeJingYingXingXinXiFenXi" optionTargetConceptValue="true" keyAction="12" keyCode="6"/>
    <m:section xlName="_SEC_cb1fa552b4cf4158b1aa6537bf85ec5f" title="按治疗领域划分的公司主营业务基本情况" rules="R2015_YY_014|R2015_YY_015|R2015_YY_016|R2015_YY_017|R2015_YY_018|" helpId="101001505" helpText="上市公司行业信息披露指引第七号——医药制造（2020年修订）\n第六条 上市公司应当按照药（产）品的主要治疗领域，分别披露报告期营业收入、营业成本、毛利率及同比增减情况，并进行同行业对比。相关数据同比变化达30%以上的，应当说明发生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1788aed6ad74346a53b7b842dfea6ec" title="按治疗领域划分的公司主营业务基本情况说明" helpId="101001505" helpText="注：《上市公司行业信息披露指引第七号——医药制造》\n第八条 上市公司应当按照其药（产）品的主要治疗领域，分别披露报告期营业收入、营业成本、毛利率及同比增减情况，并进行同行业对比。相关数据同比变化达30%以上的，应当说明发生重大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aa19c4feb46491d85c9bb4fc92df673" title="公司药（产）品研发情况研发总体情况" rules="R2015_YY_004|R2015_YY_005|R2015_YY_006|R2015_YY_007|R2015_YY_008|R2015_YY_009|R2015_YY_010|R2015_YY_011" ignorePeriod="1" helpId="101001505" helpText="上市公司行业信息披露指引第七号——医药制造（2020年修订）\n第七条 上市公司应当披露下列与公司药（产）品研发有关的信息：\n（一）研发总体情况、主要研发领域方向及发展计划。\n（七）本所或公司认为其他需要披露的研发信息。" optionTargetConcept="clcid-ci-ar:YiYaoZhiZaoHangYeJingYingXingXinXiFenXi" optionTargetConceptValue="true" keyAction="12" keyCode="6"/>
    <m:section xlName="_SEC_543257054501423cab2f57da514f3264" title="主要研发项目基本情况  单位：万元币种：人民币研发项目..." helpId="101001505" helpText="上市公司行业信息披露指引第七号——医药制造（2020年修订）\n第七条 上市公司应当披露下列与公司药（产）品研发有关的信息：\n（二）主要研发项目基本情况，包括药（产）品基本信息、研发（注册）所处阶段等。\n（六）主要药品开展一致性评价的情况。" keyAction="12" keyCode="6"/>
    <m:section xlName="_SEC_d3ba4e71bf054c9e8ad398d2ea9e6395" title="报告期内内呈交监管部门审批、通过审批的药（产）品情况" helpId="101001505" helpText="上市公司行业信息披露指引第七号——医药制造（2020年修订）\n第七条 上市公司应当披露下列与公司药（产）品研发有关的信息：\n（三）呈交国家药品监管部门审批、通过审批的药（产）品基本信息、审批类型及其对公司的影响。\n（五）未能获得国家药品监管部门审批的药（产）品情况、原因及对公司的影响。" keyAction="12" keyCode="6"/>
    <m:section xlName="_SEC_b054178c8f1f48058b94f2b8f79932f3" title="报告期内主要研发项目取消或药（产）品未获得审批情况" helpId="101001505" helpText="上市公司行业信息披露指引第七号——医药制造（2020年修订）\n第七条 上市公司应当披露下列与公司药（产）品研发有关的信息：\n（四）主要研发项目的取消情况、原因及对公司的影响。" keyAction="12" keyCode="6"/>
    <m:section xlName="_SEC_177d9a5d9f96446592bf8653a4eda722" title="研发会计政策  _____" helpId="101001505" helpText="上市公司行业信息披露指引第七号——医药制造（2020年修订）\n第八条 上市公司应当结合医药制造行业、所处细分行业特点和自身研发模式，披露报告期内公司下列研发投入信息：\n（一）公司研发的会计政策，研究阶段和开发阶段的划分标准，开发阶段有关支出资本化的具体条件，以及与研发相关的无形资产确认、计量的具体会计政策。" keyAction="12" keyCode="6"/>
    <m:section xlName="_SEC_00d4bae8efcd4204a37f0c0001f15609" title="同行业比较情况" rules="R2015_YY_020" helpId="101001505" helpText="上市公司行业信息披露指引第七号——医药制造（2020年修订）\n第八条 上市公司应当结合医药制造行业、所处细分行业特点和自身研发模式，披露报告期内公司下列研发投入信息：\n（二）公司研发投入总额、占公司最近一期经审计的净资产和营业收入的比例、资本化比重。相关数据同比变化达30%以上的，应当说明发生变化的原因。" optionTargetConcept="clcid-ci-ar:YiYaoZhiZaoHangYeJingYingXingXinXiFenXi" optionTargetConceptValue="true" keyAction="12" keyCode="6"/>
    <m:section xlName="_SEC_9f484543c2474e7db7e95ecaa5e478c3" title="研发投入发生重大变化以及研发投入比重合理性的说明" ignorePeriod="1" helpId="101001505" helpText="上市公司行业信息披露指引第七号——医药制造（2020年修订）\n第八条 上市公司应当结合医药制造行业、所处细分行业特点和自身研发模式，披露报告期内公司下列研发投入信息：\n（三）与同行业可比公司的研发投入比例、资本化比重进行比较，说明合理性。" optionTargetConcept="clcid-ci-ar:YiYaoZhiZaoHangYeJingYingXingXinXiFenXi" optionTargetConceptValue="true" keyAction="12" keyCode="6"/>
    <m:section xlName="_SEC_317eabcd268d462685f072a9fae6e8a5" title="主要研发项目投入情况" helpId="101001505" helpText="上市公司行业信息披露指引第七号——医药制造（2020年修订）\n第八条 上市公司应当结合医药制造行业、所处细分行业特点和自身研发模式，披露报告期内公司下列研发投入信息：\n（四）公司主要研发项目的研发投入总额、费用化和资本化的金额、研发投入同比变动、研发投入占营业收入的比例。" keyAction="12" keyCode="6"/>
    <m:section xlName="_SEC_2348930dfc6d42a59bd695917a5b7733" title="公司主要销售模式分析" rules="R2015_YY_016" helpId="101001505" helpText="上市公司行业信息披露指引第七号——医药制造（2020年修订）\n第九条 上市公司应当披露公司主要销售模式，并按照主要客户类型、销售渠道等分类披露对应的营业收入及其占比和同比变动，说明主要药（产）品终端市场定价原则及其可能存在的经营风险。" optionTargetConcept="clcid-ci-ar:YiYaoZhiZaoHangYeJingYingXingXinXiFenXi" optionTargetConceptValue="true" keyAction="12" keyCode="6"/>
    <m:section xlName="_SEC_75679abd95db4457acb918c1ab6e2c2c" title="销售费用情况分析销售费用具体构成" rules="R2015_YY_017|R2015_YY_018" helpId="101001505" helpText="上市公司行业信息披露指引第七号——医药制造（2020年修订）\n第十条 上市公司应当结合医药制造业及所处细分行业特点、销售模式、销售渠道，披露报告期内下列销售费用信息：\n（一）销售费用的具体构成，包括市场（学术）推广费、广告费、销售渠道费用等的开支及比重情况。" optionTargetConcept="clcid-ci-ar:YiYaoZhiZaoHangYeJingYingXingXinXiFenXi" optionTargetConceptValue="true" keyAction="12" keyCode="6"/>
    <m:section xlName="_SEC_7e20358708f8494284b395ab68c39e06" title="同行业比较情况" helpId="101001505" helpText="上市公司行业信息披露指引第七号——医药制造（2020年修订）\n第十条 上市公司应当结合医药制造业及所处细分行业特点、销售模式、销售渠道，披露报告期内下列销售费用信息：\n（二）销售费用占同期营业收入的比例。相关数据同比变化达30%以上的，应当说明发生变化的原因。" optionTargetConcept="clcid-ci-ar:YiYaoZhiZaoHangYeJingYingXingXinXiFenXi" optionTargetConceptValue="true" keyAction="12" keyCode="6"/>
    <m:section xlName="_SEC_f1f509b66748470cab685f8424f3914e" title="销售费用发生重大变化以及销售费用合理性的说明" helpId="101001505" helpText="上市公司行业信息披露指引第七号——医药制造（2020年修订）\n第十条 上市公司应当结合医药制造业及所处细分行业特点、销售模式、销售渠道，披露报告期内下列销售费用信息：\n（三）与同行业可比公司的销售费用率进行比较，说明公司销售费用发生的合理性以及控制费用措施的有效性。" optionTargetConcept="clcid-ci-ar:YiYaoZhiZaoHangYeJingYingXingXinXiFenXi" optionTargetConceptValue="true" keyAction="12" keyCode="6"/>
    <m:section xlName="_SEC_7a5f68cca72147339348516ee7a29ab5" title="其他说明  " rules="" helpId="101001505" optionTargetConcept="clcid-ci-ar:YiYaoZhiZaoHangYeJingYingXingXinXiFenXi" optionTargetConceptValue="true" keyAction="12" keyCode="6"/>
    <m:section xlName="_SEC_0c7c85a6f41445c6ae3cf787e557914e" title="报告期内电量电价情况" rules="R2015_DL_001|R2015_DL_002|R2015_DL_005" helpId="101001506" helpText="如有多个行组披露，需先添加行组后再进行黏贴功能" optionTargetConcept="clcid-ci-ar:DianLiHangYeJingYingXingXinXiFenXi" optionTargetConceptValue="true" keyAction="12" keyCode="7"/>
    <m:section xlName="_SEC_9f31d36a2eed4323b5c7319f7820c539" title="报告期内电量、收入及成本情况" rules="R2015_DL_003" helpId="101001506" optionTargetConcept="clcid-ci-ar:DianLiHangYeJingYingXingXinXiFenXi" optionTargetConceptValue="true" keyAction="12" keyCode="7"/>
    <m:section xlName="_SEC_fb0fc05566cf432ba2366d104bdfcea6" title="装机容量情况分析" rules="R2015_DL_004" helpId="101001506" helpText="上市公司行业信息披露指引第四号——电力（2020年修订）\n第五条 上市公司应当披露装机容量情况。公司应当按地区和电源种类，披露境内外控股电力公司总装机容量、新投产机组的装机容量、核准和在建项目的计划装机容量。" optionTargetConcept="clcid-ci-ar:DianLiHangYeJingYingXingXinXiFenXi" optionTargetConceptValue="true" keyAction="12" keyCode="7"/>
    <m:section xlName="_SEC_ac6d169540554b4394b1f3293b75d35f" title="发电效率情况分析" rules="R2015_DL_006" helpId="101001506" helpText="上市公司行业信息披露指引第四号——电力（2020年修订）\n第八条 上市公司应当披露发电效率情况。公司应当按总量、分地区和电源种类，披露报告期内发电厂用电率、利用小时数及其与上年度差异。" optionTargetConcept="clcid-ci-ar:DianLiHangYeJingYingXingXinXiFenXi" optionTargetConceptValue="true" keyAction="12" keyCode="7"/>
    <m:section xlName="_SEC_da8d0149313a433bb7a96880036d9b36" title="资本性支出情况" rules="R2015_DL_009" helpId="101001506" helpText="上市公司行业信息披露指引第四号——电力（2020年修订）\n第十三条 上市公司应当披露资本性支出情况。公司应当披露资本性支出计划总金额、资金来源及使用情况；并按项目披露报告期内资本性支出项目进展，包括项目总预算、项目进度、报告期投入金额、累计实际投入金额以及报告期项目收益情况等。" optionTargetConcept="clcid-ci-ar:DianLiHangYeJingYingXingXinXiFenXi" optionTargetConceptValue="true" keyAction="12" keyCode="7"/>
    <m:section xlName="_SEC_57bf65a9edea42549326ced2d6734d6d" title="电力市场化交易" helpId="101001506" optionTargetConcept="clcid-ci-ar:DianLiHangYeJingYingXingXinXiFenXi" optionTargetConceptValue="true" keyAction="12" keyCode="7"/>
    <m:section xlName="_SEC_05055723b04648c9b4ca274081b5e545" title="售电业务经营情况" helpId="101001506" optionTargetConcept="clcid-ci-ar:DianLiHangYeJingYingXingXinXiFenXi" optionTargetConceptValue="true" keyAction="12" keyCode="7"/>
    <m:section xlName="_SEC_14726913193d4968b44e63f6da36d496" title="其他说明" helpId="101001506" keyAction="12" keyCode="7"/>
    <m:section xlName="_SEC_e385897f29db4e0a9f33fc44a7c3a56e" title="汽车制造行业经营性信息分析" rules="R2015_QC_001|R2015_QC_002|R2015_QC_003|R2015_QC_004|R2015_QC_005|R2015_QC_006|R2015_QC_008" helpId="101001507" helpText="注：本部分有关用语含义适用《上市公司行业信息披露指引第六号——汽车制造》第二十二条的规定。 " keyAction="12" keyCode="8"/>
    <m:section xlName="_SEC_fdd8971a35984b28a4c8c007e7cd751d" title="产能状况" rules="R2015_QC_007" helpId="101001507" helpText="上市公司行业信息披露指引第六号——汽车制造（2020年修订）\n第五条 上市公司应当披露产能状况，包括以列表方式披露公司主要工厂的设计产能、产能利用率、在建产能及其投资建设情况，并披露本公司的产能计算方法。\n注：填写表格应当确定产能的单位，如整车可以用辆、万辆，汽车零部件的单位根据实际情况确定。" optionTargetConcept="clcid-ci-ar:QiCheZhiZaoHangYeJingYingXingXinXiFenXi" optionTargetConceptValue="true" keyAction="12" keyCode="8"/>
    <m:section xlName="_SEC_00bd83d714dd4def86fbe0d8e41e5570" title="整车产销量" rules="R2015_QC_009|R2015_QC_010|R2015_QC_011|R2015_QC_012" helpId="101001507" helpText="上市公司行业信息披露指引第六号——汽车制造（2020年修订）\n第八条 上市公司整车制造业务收入占公司主营业务收入10%以上的，应当单独披露下列反映报告期内整车经营业务的信息：\n（一）整车产销量，包括按车型类别、境内和境外地区或其他方式分类统计的整车产品产销数据，以及导致相关数据同比变化幅度超过30%的行业及自身经营因素。" optionTargetConcept="clcid-ci-ar:QiCheZhiZaoHangYeJingYingXingXinXiFenXi" optionTargetConceptValue="true" keyAction="12" keyCode="8"/>
    <m:section xlName="_SEC_5030eaaf77c7441b85ef3a61158665af" title="零部件产销量  按零部件类别  　 销 量产 量..." rules="R2015_QC_013|R2015_QC_014|R2015_QC_015" helpId="101001507" helpText="上市公司行业信息披露指引第六号——汽车制造（2020年修订）\n第九条 上市公司汽车零部件制造业务对外销售收入占公司主营业务收入10%以上的，应当单独披露下列反映报告期内零部件经营业务的信息：\n（一）零部件产销量，包括按零部件类别、整车配套和售后服务不同市场、境内和境外地区或其他方式分类统计的零部件产销数据，以及导致相关数据同比变化幅度超过30%的行业及自身经营因素。\n注：上市公司应当根据实际情况确定汽车零部件的产销量单位。" optionTargetConcept="clcid-ci-ar:QiCheZhiZaoHangYeJingYingXingXinXiFenXi" optionTargetConceptValue="true" keyAction="12" keyCode="8"/>
    <m:section xlName="_SEC_e80088fd7f1a423ea15a07de619f22b7" title="新能源汽车业务  新能源汽车产能状况  主要工厂名..." rules="R2015_QC_016|R2015_QC_017" helpId="101001507" helpText="上市公司行业信息披露指引第六号——汽车制造（2020年修订）\n第十条 上市公司开展新能源汽车相关业务的，应当参照前述规定，单独披露报告期内新能源汽车整车及零部件经营情况，包括战略规划、技术路线、产品类别、车型结构、产能、产销量数据、销售收入、竞争优势，以及动力电池、电机、电控系统等核心零部件的研发、生产、对外采购情况等信息。\n上市公司应当量化分析政府补贴对公司新能源汽车相关业务的影响，并提示政策风险。" optionTargetConcept="clcid-ci-ar:QiCheZhiZaoHangYeJingYingXingXinXiFenXi" optionTargetConceptValue="true" keyAction="12" keyCode="8"/>
    <m:section xlName="_SEC_81cf03a8f7c04406a0a5ae22433c329b" title="汽车金融业务" keyAction="12" keyCode="8"/>
    <m:item xlName="_GBC_143ceb5c99a44c56970fdf1ee09f6c52" concept="clcid-ci-ar:ShiFouShiYongQiCheJinRongYeWu" label="是否适用：汽车金融业务 " selectOptions="_buildInAppliance" controlType="CustomCheckbox" keyCode="8" keyAction="12" cRanges="[{&quot;StartName&quot;:&quot;_GBC_143ceb5c99a44c56970fdf1ee09f6c52&quot;,&quot;EndName&quot;:&quot;_SEC_1aa5207f28b144acab85dc462a28b908&quot;,&quot;CType&quot;:1}]"/>
    <m:section xlName="_SEC_5c4efa36ae734ee9b84be3521f75c720" title="汽车金融业务情况" keyAction="12" keyCode="8"/>
    <m:section xlName="_SEC_83ecf00323f14d708200bc448b74577a" title="汽车金融业务情况" repeatable="2" helpId="101001507" keyAction="12" keyCode="8">
      <m:virtualTuples>
        <m:virtualTuple id="1bec3a61-f7c6-431b-b1cf-f1ab11e1ff10" tupleRef="clcid-mr:QiCheJinRongYeWuJiBenQingKuangMingXi" extendDirection="1"/>
      </m:virtualTuples>
    </m:section>
    <m:section xlName="_SEC_1aa5207f28b144acab85dc462a28b908" title="贷款五级分类分布情况 " helpId="101001507" keyAction="12" keyCode="8"/>
    <m:section xlName="_SEC_fc45036dbd3544789e68dba0f55e3f6e" title="汽车制造行业经营性信息分析其他情况说明" rules="R2015_QC_018|R2015_QC_019|R2015_QC_020|R2015_QC_021|R2015_QC_022" helpId="101001507" optionTargetConcept="clcid-ci-ar:QiCheZhiZaoHangYeJingYingXingXinXiFenXi" optionTargetConceptValue="true" keyAction="12" keyCode="8"/>
    <m:section xlName="_SEC_c8267624cfb440848da63ea2f61e2360" title="行业经营性信息分析" rules="R2015_GF_001|R2015_GF_002|R2015_GF_003" helpId="101001508" helpText="注：\n1、公司应当根据所生产光伏产品的类别，选择适用的披露项目。\n2、相关光伏产品生产和在建产能情况、主要财务指标等可采用推荐表格方式予以披露。" optionTargetConcept="clcid-ci-ar:GuangFuHangYeJingYingXingXinXiFenXi" optionTargetConceptValue="true" keyAction="12" keyCode="9"/>
    <m:section xlName="_SEC_2f50df982358490eb6aae9247270c6be" title="光伏电站信息" rules="R2015_GF_004" helpId="101001508" helpText="注：光伏电站工程承包或开发项目等信息可采用推荐表格方式予以披露。" optionTargetConcept="clcid-ci-ar:GuangFuHangYeJingYingXingXinXiFenXi" optionTargetConceptValue="true" keyAction="12" keyCode="9"/>
    <m:section xlName="_SEC_84a9220eff6341ff8ab805660944b0a9" title="单位：万元币种：人民币本年度光伏电站累计运营情况：..." helpId="101001508" keyAction="12" keyCode="9"/>
    <m:section xlName="_SEC_3cc256b2627f48ff80089db2ec2e987c" title="光伏电站运营信息" rules="R2015_GF_004" helpId="101001508" helpText="注：光伏电站工程承包或开发项目等信息可采用推荐表格方式予以披露。" optionTargetConcept="clcid-ci-ar:GuangFuHangYeJingYingXingXinXiFenXi" optionTargetConceptValue="true" keyAction="12" keyCode="9"/>
    <m:section xlName="_SEC_6f9d182e9a014a4c82d94719fbc6bb64" title="光伏产品生产和在建产能情况" rules="R2015_GF_005|R2015_GF_006" helpId="101001508" helpText="注：公司应当根据所生产光伏产品的类别，选择适用的披露项目。" optionTargetConcept="clcid-ci-ar:GuangFuHangYeJingYingXingXinXiFenXi" optionTargetConceptValue="true" keyAction="12" keyCode="9"/>
    <m:section xlName="_SEC_2063eae5b10149ff9e241c51dd85b990" title="光伏产品主要财务指标" rules="R2015_GF_005|R2015_GF_006" helpId="101001508" helpText="注：公司应当根据所生产光伏产品的类别，选择适用的披露项目。" optionTargetConcept="clcid-ci-ar:GuangFuHangYeJingYingXingXinXiFenXi" optionTargetConceptValue="true" keyAction="12" keyCode="9">
      <m:virtualTuples>
        <m:virtualTuple id="8ca239e2-0e2e-42d6-bddf-c936ecf5b0ba" tupleRef="clcid-mr:GuangFuChanPinZhuYaoCaiWuZhiBiaoMingXi" extendDirection="2" splitWidth="1"/>
      </m:virtualTuples>
    </m:section>
    <m:section xlName="_SEC_39ef735b7d4f48a689c3b2e9af25c5a3" title="光伏产品实现境外销售的，应当分国家或地区列示" keyAction="12" keyCode="9"/>
    <m:item xlName="_GBC_76d501cc4a1c400394530f0d9b23147c" concept="clcid-ci-ar:ShiFouShiYongGuangFuChanPinShiXianJingWaiXiaoShouDeYingDangFenGuoJiaHuoDiQuLieShi" label="是否适用：光伏产品实现境外销售的，应当分国家或地区列示" selectOptions="_buildInAppliance" controlType="CustomCheckbox" keyCode="9" keyAction="12" cRanges="[{&quot;StartName&quot;:&quot;_GBC_76d501cc4a1c400394530f0d9b23147c&quot;,&quot;EndName&quot;:&quot;_SEC_8787e83beb8b48d99bd7c550b96ae131&quot;,&quot;CType&quot;:1}]"/>
    <m:section xlName="_SEC_8787e83beb8b48d99bd7c550b96ae131" title="实现境外销售的光伏产品" tupleConcept="clcid-mr:JingWaiXiaoShouDeGuangFuChanPinMingXi" repeatable="1" helpId="101001508" keyAction="12" keyCode="9"/>
    <m:section xlName="_SEC_1f0f0fc47aae4227b37b66118f147591" title="光伏电站工程承包或开发项目信息" rules="R2015_GF_005|R2015_GF_006" helpId="101001508" helpText="注：公司应当针对工程承包和项目各自的业务特点，选择适用的披露项目。" optionTargetConcept="clcid-ci-ar:GuangFuHangYeJingYingXingXinXiFenXi" optionTargetConceptValue="true" keyAction="12" keyCode="9"/>
    <m:section xlName="_SEC_c563a101c0e74faeaa1237923710d604" title="光伏行业经营性信息分析其他情况说明" rules="R2015_GF_007|R2015_GF_008|R2015_GF_009" helpId="101001508" optionTargetConcept="clcid-ci-ar:GuangFuHangYeJingYingXingXinXiFenXi" optionTargetConceptValue="true" keyAction="12" keyCode="9"/>
    <m:section xlName="_SEC_3d1c279f04a0408b8b8e5c21f7878cbc" title="出版传媒行业经营性信息分析" rules="R2015_WXCB_001|R2015_WXCB_002|R2015_WXCB_003|R2015_WXCB_004|R2015_WXCB_005|R2015_WXCB_006|R2015_WXCB_007|R2015_WXCB_008|R2015_WXCB_009|R2015_WXCB_010|R2015_WXCB_011" keyAction="12" keyCode="10"/>
    <m:section xlName="_SEC_ce58e3e4138f4431a68df37fca7db021" title="主要业务板块概况" rules="R2015_WXCB_003" helpId="101001509" helpText="注：可以根据业务特性进一步细分或补充。" optionTargetConcept="clcid-ci-ar:ChuBanChuanMeiHangYeJingYingXingXinXiFenXi" optionTargetConceptValue="true" keyAction="12" keyCode="10"/>
    <m:section xlName="_SEC_3fd3e870ab8a444594f16b2844f22bd8" title="各业务板块经营信息出版业务" rules="R2015_WXCB_004" helpId="101001509" helpText="注：可以根据业务特性进一步细分主要成本构成，根据实际情况添加或更改名称。\n上市公司行业信息披露指引第十二号——新闻出版（2020年修订）\n第四条 上市公司从事教材教辅出版业务的，应当披露以下信息：\n（二）自编教材教辅和租型出版教材教辅的销售码洋、营业收入、营业成本、租型费用、毛利率、增长率等。\n第六条 上市公司从事一般图书出版业务的，应当披露以下经营信息：\n（四）一般图书出版业务的主要成本费用，包括版权费、稿酬、印刷成本、物流成本、公司主要推广促销活动相关费用等。" optionTargetConcept="clcid-ci-ar:ChuBanChuanMeiHangYeJingYingXingXinXiFenXi" optionTargetConceptValue="true" keyAction="12" keyCode="10"/>
    <m:section xlName="_SEC_bd992e503bb8424981e9b32ebc1f8ac7" title="教材教辅出版业务" rules="R2015_WXCB_004" helpId="101001509" helpText="上市公司行业信息披露指引第十二号——新闻出版（2020年修订）第四条" optionTargetConcept="clcid-ci-ar:ChuBanChuanMeiHangYeJingYingXingXinXiFenXi" optionTargetConceptValue="true" keyAction="12" keyCode="10"/>
    <m:section xlName="_SEC_22deae96b1464b608a5a2ce003d02949" title="一般图书出版业务" rules="R2015_WXCB_006" helpId="101001509" helpText="上市公司行业信息披露指引第十二号——新闻出版（2020年修订）第六条。" optionTargetConcept="clcid-ci-ar:ChuBanChuanMeiHangYeJingYingXingXinXiFenXi" optionTargetConceptValue="true" keyAction="12" keyCode="10"/>
    <m:section xlName="_SEC_32b0e76bcc794972afd81a0ba919d1fb" title="发行业务教材教辅发行业务" rules="R2015_WXCB_005" helpId="101001509" helpText="上市公司行业信息披露指引第十二号——新闻出版（2020年修订）第五条。" optionTargetConcept="clcid-ci-ar:ChuBanChuanMeiHangYeJingYingXingXinXiFenXi" optionTargetConceptValue="true" keyAction="12" keyCode="10"/>
    <m:section xlName="_SEC_665f5b79806741f0975644459fdfc76b" title="一般图书发行业务" rules="R2015_WXCB_007" helpId="101001509" helpText="上市公司行业信息披露指引第十二号——新闻出版（2020年修订）第七条。" optionTargetConcept="clcid-ci-ar:ChuBanChuanMeiHangYeJingYingXingXinXiFenXi" optionTargetConceptValue="true" keyAction="12" keyCode="10"/>
    <m:section xlName="_SEC_3c58bfad4397421b97209fbce0286f7c" title="销售网点相关情况" helpId="101001509" helpText="上市公司行业信息披露指引第十二号——新闻出版（2020年修订）第八条。" optionTargetConcept="clcid-ci-ar:ChuBanChuanMeiHangYeJingYingXingXinXiFenXi" optionTargetConceptValue="true" keyAction="12" keyCode="10"/>
    <m:section xlName="_SEC_787959a12ddc46b58334d6876925034f" title="新闻传媒业务报刊业务□适用  □不适用clcid-ci..." rules="R2015_WXCB_008" helpId="101001509" helpText="上市公司行业信息披露指引第十二号——新闻出版（2020年修订）第九条。" optionTargetConcept="clcid-ci-ar:ChuBanChuanMeiHangYeJingYingXingXinXiFenXi" optionTargetConceptValue="true" keyAction="12" keyCode="10"/>
    <m:section xlName="_SEC_1749d8c299b543c68c84339279b5dcfe" title="主要报刊情况" rules="R2015_WXCB_008" helpId="101001509" helpText="上市公司行业信息披露指引第十二号——新闻出版（2020年修订）\n第九条 上市公司从事报纸和期刊出版发行等新闻传媒业务的，应当披露以下经营信息：\n（二）主要报刊及类别、主要发行区域、对应的营业收入、发行量及占比。" optionTargetConcept="clcid-ci-ar:ChuBanChuanMeiHangYeJingYingXingXinXiFenXi" optionTargetConceptValue="true" keyAction="12" keyCode="10"/>
    <m:section xlName="_SEC_b1d0fea325394455baf748ab95e43c80" title="报刊出版发行的收入和成本构成" helpId="101001509" helpText="上市公司行业信息披露指引第十二号——新闻出版（2020年修订）\n第九条 上市公司从事报纸和期刊出版发行等新闻传媒业务的，应当披露以下经营信息：\n（三）主要经营数据，包括营业成本、报刊发行收入、广告收入、其他相关服务或活动收入等，及各收入占比和其毛利率等。" optionTargetConcept="clcid-ci-ar:ChuBanChuanMeiHangYeJingYingXingXinXiFenXi" optionTargetConceptValue="true" keyAction="12" keyCode="10"/>
    <m:section xlName="_SEC_296fc7ebdcec4eb79eae45583fd9532a" title="广告业务" helpId="101001509" helpText="上市公司行业信息披露指引第十二号——新闻出版（2020年修订）第十条" optionTargetConcept="clcid-ci-ar:ChuBanChuanMeiHangYeJingYingXingXinXiFenXi" optionTargetConceptValue="true" keyAction="12" keyCode="10"/>
    <m:section xlName="_SEC_a7744f09753e4445a70325e3a4ab16b6" title="出版传媒其他业务情况说明" rules="R2015_WXCB_009|R2015_WXCB_010|R2015_WXCB_011" helpId="101001509" helpText="上市公司行业信息披露指引第十二号——新闻出版（2020年修订）第十一至十四条。" optionTargetConcept="clcid-ci-ar:ChuBanChuanMeiHangYeJingYingXingXinXiFenXi" optionTargetConceptValue="true" keyAction="12" keyCode="10"/>
    <m:section xlName="_SEC_ad5b83008cb247d3a40721d8f6fb98f7" title="新闻出版行业经营性信息分析其他情况说明" helpId="101001509" optionTargetConcept="clcid-ci-ar:ChuBanChuanMeiHangYeJingYingXingXinXiFenXi" optionTargetConceptValue="true" keyAction="12" keyCode="10"/>
    <m:section xlName="_SEC_4586c6cbb45c41d1908c918a379382d9" title="报告期内竣工验收的项目情况" rules="R2015_JZ_001|R2015_JZ_002|R2015_JZ_003|R2015_JZ_004|R2015_JZ_005" helpId="101001510" optionTargetConcept="clcid-ci-ar:JianZhuHangYeJingYingXingXinXiFenXi" optionTargetConceptValue="true" keyAction="12" keyCode="11"/>
    <m:section xlName="_SEC_62db15056e024036b6fe2936fd18f7cd" title="  单位：万元币种：人民币项目地区 境内境外总计项目数..." rules="R2015_JZ_001|R2015_JZ_002|R2015_JZ_003|R2015_JZ_004|R2015_JZ_005" helpId="101001510" optionTargetConcept="clcid-ci-ar:JianZhuHangYeJingYingXingXinXiFenXi" optionTargetConceptValue="true" keyAction="12" keyCode="11"/>
    <m:section xlName="_SEC_5170c338fc824df0a0fe04d25ea72521" title="报告期内竣工验收的项目其他情况说明" rules="R2015_JZ_001|R2015_JZ_002|R2015_JZ_003|R2015_JZ_004|R2015_JZ_005" helpId="101001510" helpText="注：完工重大项目的验收、收入确认及回款等情况。" optionTargetConcept="clcid-ci-ar:JianZhuHangYeJingYingXingXinXiFenXi" optionTargetConceptValue="true" keyAction="12" keyCode="11"/>
    <m:section xlName="_SEC_2cd6ec2e0bbf4155aeda4349dbc56b01" title="报告期内在建项目情况  单位：万元币种：人民币细分行业..." helpId="101001510" keyAction="12" keyCode="11"/>
    <m:section xlName="_SEC_bbccb526e73649828c44c5996691afdc" title="单位：万元币种：人民币项目地区 项目数量（个）总金..." helpId="101001510" keyAction="12" keyCode="11"/>
    <m:section xlName="_SEC_73849fff8ea945799ff48dab750af835" title="其他说明  _____" helpId="101001510" keyAction="12" keyCode="11"/>
    <m:section xlName="_SEC_fbeba185bf9749159890db3a853164eb" title="在建重大项目情况" rules="R2015_JZ_006" helpId="101001510" optionTargetConcept="clcid-ci-ar:JianZhuHangYeJingYingXingXinXiFenXi" optionTargetConceptValue="true" keyAction="12" keyCode="11"/>
    <m:section xlName="_SEC_5aba01444901486b8f7cad7764a0484b" title="在建重大项目其他情况说明" rules="R2015_JZ_006" helpId="101001510" helpText="注：在建重大项目的回款情况、项目进展出现重大差异须披露原因。" keyAction="12" keyCode="11"/>
    <m:section xlName="_SEC_dce4d9a434d64c60a00ba9be80d741e3" title="报告期内累计新签项目  报告期内累计新签项目数量（..." helpId="101001510" optionTargetConcept="clcid-ci-ar:JianZhuHangYeJingYingXingXinXiFenXi" optionTargetConceptValue="true" keyAction="12" keyCode="11"/>
    <m:section xlName="_SEC_a1cc809882114002951ac89bde7985d9" title="报告期末在手订单情况" helpId="101001510" keyAction="12" keyCode="11"/>
    <m:section xlName="_SEC_dcd9aa990aee4c0893798dfbdefc162f" title="其他说明  _____" helpId="101001510" keyAction="12" keyCode="11"/>
    <m:section xlName="_SEC_8225692cea4546e4898763d396d058dc" title="建筑行业经营性信息分析其他情况说明" rules="R2015_JZ_008|R2015_JZ_009" helpId="101001510" optionTargetConcept="clcid-ci-ar:JianZhuHangYeJingYingXingXinXiFenXi" optionTargetConceptValue="true" keyAction="12" keyCode="11"/>
    <m:section xlName="_SEC_5eb2a038a1364806b39e481ba9b968de" title="按加工工艺分类的钢材制造和销售情况" rules="R2015_GT_001|R2015_GT_002|R2015_GT_003|R2015_GT_004" helpId="101001511" optionTargetConcept="clcid-ci-ar:GangTieHangYeJingYingXingXinXiFenXi" optionTargetConceptValue="true" keyAction="12" keyCode="12"/>
    <m:section xlName="_SEC_8585a3d577314e8e9129d345f2b24b8c" title="按成品形态分类的钢材制造和销售情况" rules="R2015_GT_005|R2015_GT_016" helpId="101001511" optionTargetConcept="clcid-ci-ar:GangTieHangYeJingYingXingXinXiFenXi" optionTargetConceptValue="true" keyAction="12" keyCode="12"/>
    <m:section xlName="_SEC_062d6bf867ec4def9c52af65255d9d1f" title="按销售渠道分类的钢材销售情况" rules="R2015_GT_015|R2015_GT_016" helpId="101001511" optionTargetConcept="clcid-ci-ar:GangTieHangYeJingYingXingXinXiFenXi" optionTargetConceptValue="true" keyAction="12" keyCode="12"/>
    <m:section xlName="_SEC_3fcfac6dfec94917b7d1c901f7ac746e" title="特殊钢铁产品制造和销售情况" rules="R2015_GT_016" helpId="101001511" helpText="注：公司全部或部分从事特殊钢铁产品制造和销售业务的，请填写该表格。" optionTargetConcept="clcid-ci-ar:GangTieHangYeJingYingXingXinXiFenXi" optionTargetConceptValue="true" keyAction="12" keyCode="12"/>
    <m:section xlName="_SEC_ae39cc8c06b24823b448f3be79270fed" title="铁矿石供应情况" helpId="101001511" optionTargetConcept="clcid-ci-ar:GangTieHangYeJingYingXingXinXiFenXi" optionTargetConceptValue="true" keyAction="12" keyCode="12"/>
    <m:section xlName="_SEC_219603fb61c14077a1f8e8cbee5136bc" title="废钢供应情况  单位：万元币种：人民币废钢供应来源 ..." helpId="101001511" keyAction="12" keyCode="12"/>
    <m:section xlName="_SEC_26f6be3b62aa47e6996e53602c91dc64" title="钢铁行业经营性信息分析其他情况说明" rules="R2015_GT_006|R2015_GT_007|R2015_GT_008|R2015_GT_009|R2015_GT_011|R2015_GT_012|R2015_GT_013|R2015_GT_014" helpId="101001511" optionTargetConcept="clcid-ci-ar:GangTieHangYeJingYingXingXinXiFenXi" optionTargetConceptValue="true" keyAction="12" keyCode="12"/>
    <m:section xlName="_SEC_96533656033a4037b0d34399e3086b24" title="行业基本情况" helpId="101014001" optionTargetConcept="clcid-ci-ar:JiuZhiZaoHangYeJingYingXingXinXiFenXi" optionTargetConceptValue="true" keyAction="12" keyCode="14"/>
    <m:section xlName="_SEC_eb47a7413476403787376e0d4bac5bf9" title="产能状况" helpId="101014001" optionTargetConcept="clcid-ci-ar:JiuZhiZaoHangYeJingYingXingXinXiFenXi" optionTargetConceptValue="true" keyAction="12" keyCode="14"/>
    <m:section xlName="_SEC_dad00a07a43b4007937a5cbd8a4a34a5" title="产品期末库存量" helpId="101014001" optionTargetConcept="clcid-ci-ar:JiuZhiZaoHangYeJingYingXingXinXiFenXi" optionTargetConceptValue="true" keyAction="12" keyCode="14"/>
    <m:section xlName="_SEC_101358be725f453ba1d9ec9f6af5a08d" title="产品情况" helpId="101014001" optionTargetConcept="clcid-ci-ar:JiuZhiZaoHangYeJingYingXingXinXiFenXi" optionTargetConceptValue="true" keyAction="12" keyCode="14"/>
    <m:section xlName="_SEC_3b5e3a6672794e83af67f3f18111c671" title="原料采购情况" helpId="101014001" optionTargetConcept="clcid-ci-ar:JiuZhiZaoHangYeJingYingXingXinXiFenXi" optionTargetConceptValue="true" keyAction="12" keyCode="14"/>
    <m:section xlName="_SEC_5eae196e2fed4ea9ae801f2ccf3b4925" title="销售情况" helpId="101014001" optionTargetConcept="clcid-ci-ar:JiuZhiZaoHangYeJingYingXingXinXiFenXi" optionTargetConceptValue="true" keyAction="12" keyCode="14"/>
    <m:section xlName="_SEC_e19bfbbfb3bf47a7b8ef8df6e4341cf6" title="公司收入及成本分析" helpId="101014001" optionTargetConcept="clcid-ci-ar:JiuZhiZaoHangYeJingYingXingXinXiFenXi" optionTargetConceptValue="true" keyAction="12" keyCode="14"/>
    <m:section xlName="_SEC_b5362035e1934bcf8cb597f51b690241" title="其他情况" helpId="101014001" optionTargetConcept="clcid-ci-ar:JiuZhiZaoHangYeJingYingXingXinXiFenXi" optionTargetConceptValue="true" keyAction="12" keyCode="14"/>
    <m:section xlName="_SEC_4281594826bc4e198047a7f9811e3d2d" title="化工行业经营性信息分析" helpId="101014003" optionTargetConcept="clcid-ci-ar:HuaGongHangYeJingYingXingXinXiFenXi" optionTargetConceptValue="true" keyAction="12" keyCode="16"/>
    <m:section xlName="_SEC_a36254be42874af59b985efd3acf38ec" title="产品与生产" helpId="101014003" optionTargetConcept="clcid-ci-ar:HuaGongHangYeJingYingXingXinXiFenXi" optionTargetConceptValue="true" keyAction="12" keyCode="16"/>
    <m:section xlName="_SEC_9988bcefa412451a84734305c165948c" title="原材料采购" helpId="101014003" optionTargetConcept="clcid-ci-ar:HuaGongHangYeJingYingXingXinXiFenXi" optionTargetConceptValue="true" keyAction="12" keyCode="16"/>
    <m:section xlName="_SEC_7ef3cdb19553404bb0f23ca3314d94a5" title="产品销售情况" helpId="101014003" optionTargetConcept="clcid-ci-ar:HuaGongHangYeJingYingXingXinXiFenXi" optionTargetConceptValue="true" keyAction="12" keyCode="16"/>
    <m:section xlName="_SEC_420ea523272548c9b7531bb4c35e472e" title="环保与安全情况" helpId="101014003" optionTargetConcept="clcid-ci-ar:HuaGongHangYeJingYingXingXinXiFenXi" optionTargetConceptValue="true" keyAction="12" keyCode="16"/>
    <m:section xlName="_SEC_375db0e3b693498997b6950b25b0cec9" title="食品行业经营性信息分析报告期内细分产品情况  产品类别..." helpId="112002280" optionTargetConcept="clcid-ci-ar:ShiPinHangYeJingYingXingXinXiFenXi" optionTargetConceptValue="true" keyAction="12" keyCode="23"/>
    <m:section xlName="_SEC_89385fecd47a47eb975eb78380e06b98" title="报告期内主营业务构成情况" helpId="112002280" optionTargetConcept="clcid-ci-ar:ShiPinHangYeJingYingXingXinXiFenXi" optionTargetConceptValue="true" keyAction="12" keyCode="23"/>
    <m:section xlName="_SEC_7de80dc6385f42ca849d4258e2b5c02c" title="报告期内线上、线下销售渠道的盈利情况" helpId="112002280" optionTargetConcept="clcid-ci-ar:ShiPinHangYeJingYingXingXinXiFenXi" optionTargetConceptValue="true" keyAction="12" keyCode="23"/>
    <m:section xlName="_SEC_69a00509648c4a609116758d5b275614" title="报告期内实体门店情况" helpId="112002283" optionTargetConcept="clcid-ci-ar:JiaJuZhiZaoHangYeJingYingXingXinXiFenXi" optionTargetConceptValue="true" keyAction="12" keyCode="26"/>
    <m:section xlName="_SEC_59ac292473c94e5592bb142e60ac8695" title="报告期内各产品类型的盈利情况" helpId="112002283" optionTargetConcept="clcid-ci-ar:JiaJuZhiZaoHangYeJingYingXingXinXiFenXi" optionTargetConceptValue="true" keyAction="12" keyCode="26"/>
    <m:section xlName="_SEC_20ac62c4151543e1a06bc99520bb0d7c" title="报告期内各产品类型的产销情况" helpId="112002283" optionTargetConcept="clcid-ci-ar:JiaJuZhiZaoHangYeJingYingXingXinXiFenXi" optionTargetConceptValue="true" keyAction="12" keyCode="26"/>
    <m:section xlName="_SEC_01ae5a1970a74c8b9f773df418a40afd" title="报告期内各品牌的盈利情况" helpId="112002283" optionTargetConcept="clcid-ci-ar:JiaJuZhiZaoHangYeJingYingXingXinXiFenXi" optionTargetConceptValue="true" keyAction="12" keyCode="26"/>
    <m:section xlName="_SEC_dc5f996f23a942c69aef7813321369b2" title="报告期内各销售渠道的盈利情况" helpId="112002283" optionTargetConcept="clcid-ci-ar:JiaJuZhiZaoHangYeJingYingXingXinXiFenXi" optionTargetConceptValue="true" keyAction="12" keyCode="26"/>
    <m:section xlName="_SEC_dc5c125d1242479da02e0c7c37ca1af6" title="1 报告期内各品种有色金属产品的盈利情况" helpId="112002284" optionTargetConcept="clcid-ci-ar:YouSeJinShuHangYeJingYingXingXinXiFenXi" optionTargetConceptValue="true" keyAction="12" keyCode="27"/>
    <m:section xlName="_SEC_e2a536dd50eb46c5a0ae8f32ea39c4e5" title="矿石原材料的成本情况" helpId="112002284" optionTargetConcept="clcid-ci-ar:YouSeJinShuHangYeJingYingXingXinXiFenXi" optionTargetConceptValue="true" keyAction="12" keyCode="27"/>
    <m:section xlName="_SEC_774c0cc8977649589e99c926b8d03c12" title="自有矿山的基本情况" helpId="112002284" optionTargetConcept="clcid-ci-ar:YouSeJinShuHangYeJingYingXingXinXiFenXi" optionTargetConceptValue="true" keyAction="12" keyCode="27"/>
    <m:placeholder xlName="_PLD_f2c03206fe7a4148856a2e8726ab42dc" removeEmptyRow="true" autoDelete="true"/>
    <m:section xlName="_SEC_4b4a052df79741968a7e11e5835fce59" title="对外股权投资总体分析" convertSummaryRule="NoConvert" helpId="101001043"/>
    <m:section xlName="_SEC_e305a089659a4e8f8dd9498c36674ab7" title="重大的股权投资" helpId="101001044"/>
    <m:section xlName="_SEC_a184487ede57408c81910695beb0ed38" title="重大的非股权投资" helpId="101001045"/>
    <m:section xlName="_SEC_b68803fb05c54f76bddc131e89240164" title="以公允价值计量的金融资产" helpId="101001046"/>
    <m:section xlName="_SEC_334c83ee3ed34abe9f07a2b14baa41a3" title="报告期内重大资产重组整合的具体进展情况" version="0.1" versionTime="1643210429" helpText="根据《上海证券交易所上市公司自律监管指引第6号——重大资产重组》的有关规定，上市公司应当在年度报告管理层讨论与分析中披露重组整合的具体进展情况，包括但不限于上市公司在报告期内对交易标的进行整合的具体措施、是否与前期计划相符、面临的整合风险与阶段性效果评估等内容，独立董事应当对此发表意见。"/>
    <m:section xlName="_SEC_2dc2a25f5b0947db8d19ad5178673ac9" title="重大资产和股权出售" helpId="101001047"/>
    <m:section xlName="_SEC_f2f24fd9b9b742fda50064b5b8b90edf" title="主要子公司、参股公司分析" convertSummaryRule="NoConvert" helpId="101001048"/>
    <m:section xlName="_SEC_9484614c8eb4420fbc64d1a31f33de49" title="公司控制的结构化主体情况" helpId="101001049"/>
    <m:section xlName="_SEC_976db14dc0c94659822643e3f19cce9e" title="行业格局和趋势" rules="R2015_R4_003" helpId="101001050"/>
    <m:section xlName="_SEC_ddbac632a621498c889e331b6e21fcc6" title="公司发展战略" rules="R2015_R4_003" helpId="101001051"/>
    <m:section xlName="_SEC_e5dfae5745e046e6a8ba223752a1dccc" title="经营计划" rules="R2015_R4_003" helpId="101001052"/>
    <m:section xlName="_SEC_22da638766f04cb497f13857cff3dfee" title="可能面对的风险" rules="R2015_R4_003" helpId="101001053"/>
    <m:section xlName="_SEC_449f92267bc945658d04ffaf693010b1" title="其他" rules="R2015_R4_003" helpId="101014012"/>
    <m:section xlName="_SEC_14765587b8824a0d969811c87d3f8cd6" title="公司因不适用准则规定国家秘密、商业秘密等或特殊原因，未按准则披露的情况和原因说明" rules="R2015_R4_004" helpId="101001054" helpText="注：公司未按照行业指引进行披露的情况和原因，也应当在此处进行说明。"/>
    <m:section xlName="_SEC_0164dfaf2ef04d3a93f24cb4cdc06581" title="公司治理相关情况说明" rules="R2015_R9_001" helpId="101001106"/>
    <m:section xlName="_SEC_688f9e7a19b8440896b6ff6f165a1948" title="公司就其与控股股东在业务、人员、资产、机构、财务等方面存在的..." rules="R2015_R9_001" helpId="101001107"/>
    <m:section xlName="_SEC_af05829cba9b45f78c11b18af8edc52f" title="股东大会情况简介" helpId="101001108"/>
    <m:section xlName="_SEC_003224e3799f4defba565ac26b82f20e" title="表决权恢复的优先股股东请求召开临时股东大会 " helpId="101001108"/>
    <m:section xlName="_SEC_7cd092daeff04a9f9d7112f4a233db29" title="股东大会情况说明" helpId="101001108"/>
    <m:section xlName="_SEC_4509c61a676b4e7992f75f7d5016736a" title="现任及报告期内离任董事、监事和高级管理人员持股变动及报酬情况" rules="R2015_R8_001" helpId="101001104" helpText="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m:section xlName="_SEC_71174076095e4b3299192300e2845511" title="在股东单位任职情况" rules="R2015_R8_001" helpId="101001104"/>
    <m:section xlName="_SEC_5561131e80ff45818592dc8d1f605cb5" title="在其他单位任职情况" rules="R2015_R8_001" helpId="101001104"/>
    <m:section xlName="_SEC_d6c0d4e5fc754556abc8ba20fd435248" title="董事、监事、高级管理人员报酬情况" rules="R2015_R8_001" helpId="101001104"/>
    <m:section xlName="_SEC_f15939bc34a34b809f1af6823e6f7771" title="公司董事、监事、高级管理人员变动情况" rules="R2015_R8_001" helpId="101001104"/>
    <m:section xlName="_SEC_875293df28e7452fbf15edc09d4ebaa5" title="近三年受证券监管机构处罚的情况说明" rules="R2015_R8_001" helpId="101001104"/>
    <m:section xlName="_SEC_7c52a48d2cd64b13b7d6772842750ace" title="董事、监事、高级管理人员情况其他说明" rules="R2015_R8_001"/>
    <m:section xlName="_SEC_f26a891bf12b4933b3f1bfbbb495b260" title="报告期内召开的董事会有关情况" helpId="101001134"/>
    <m:section xlName="_SEC_46b12eef184243bf8374eb01a77e4d07" title="董事参加董事会和股东大会的情况" rules="R2015_R9_001" helpId="101001109"/>
    <m:section xlName="_SEC_2e2eb2c5022048f7a720555ef5553771" title="召开董事会会议次数" rules="R2015_R9_001" helpId="101001109"/>
    <m:section xlName="_SEC_b081c22d491d456ea3f9900a0a6757d2" title="独立董事对公司有关事项提出异议的情况" rules="R2015_R9_001" helpId="101001109"/>
    <m:section xlName="_SEC_bbf6d8e9e0c34286a1bb4f1de8b79fa7" title="其他" rules="R2015_R9_001" helpId="101001109"/>
    <m:item xlName="_GBC_88389a2d52e44644a2332ba32500fe69" concept="clcid-ci-ar:ShiFouShiYongDongShiHuiXiaSheZhuanMenWeiYuanHuiQingKuang" label="是否适用：董事会下设专门委员会情况" selectOptions="_buildInAppliance" controlType="CustomCheckbox" cRanges="[{&quot;StartName&quot;:&quot;_GBC_88389a2d52e44644a2332ba32500fe69&quot;,&quot;EndName&quot;:&quot;_SEC_400f0a7634114d80939ab87276db7db7&quot;,&quot;CType&quot;:1}]"/>
    <m:section xlName="_SEC_63280ca6bc7d4a03bf45626bc1c8022c" title="董事会下设专门委员会成员情况" helpId="101001110"/>
    <m:section xlName="_SEC_1e3a9c0a15ba40d1bda51574352f1bf7" title="专门委员会召开会议情况" tupleConcept="clcid-mr:DongShiHuiXiaSheZhuanMenWeiYuanHuiZhaoKaiHuiYiQingKuangMingXi" repeatable="1" extended="true" version="0.1" versionTime="1641488778" helpId="101001110">
      <m:item xlName="_GBC_adf76ecbe3584f07b573642215a867bd" concept="clcid-mr:ZhaoKaiHuiYiDeZhuanMenWeiYuanHuiLeiBie" label="召开会议的专门委员会类别" appId="_GBC_88389a2d52e44644a2332ba32500fe69"/>
      <m:item xlName="_GBC_7bf2cd7c3a6a4685ac9c89ee396352a0" concept="clcid-mr:BaoGaoQiNeiZhaoKaiZhuanMenWeiYuanHuiHuiYiCiShu" label="报告期内召开专门委员会会议次数" appId="_GBC_88389a2d52e44644a2332ba32500fe69"/>
      <m:placeholder xlName="_PLD_81aefc289fbf48b1865138608d8bd14f" wordText="召开日期" addr="T0R0C0S1_1"/>
      <m:placeholder xlName="_PLD_9d24b601ec70414eb969daf6b393edc8" wordText="会议内容" addr="T0R0C1S1_1"/>
      <m:placeholder xlName="_PLD_6ea19dadc3684e98a6d98faaf035a9d9" wordText="重要意见和建议" addr="T0R0C2S1_1"/>
      <m:placeholder xlName="_PLD_ef03d3ffb00740008011022cb6a96805" wordText="其他履行职责情况" addr="T0R0C3S1_1"/>
      <m:tuple xlName="_TUP_ba8ed794bebb4cad9c2e7f1db76b0a19" concept="clcid-mr:DongShiHuiXiaSheZhuanMenWeiYuanHuiQingKuangMingXi" default_row="2" addr="T0R1C">
        <m:item xlName="_GBC_572cf8b9c5a144d690bd32869e37253a" concept="clcid-mr:DongShiHuiXiaSheZhuanMenWeiYuanHuiQingKuangMingXiZhaoKaiRiQi" label="董事会下设专门委员会情况明细_召开日期" addr="T0R1C0S1_1" appId="_GBC_88389a2d52e44644a2332ba32500fe69"/>
        <m:item xlName="_GBC_a9fd303e1c574acf8c2bcbc45e110eb5" concept="clcid-mr:DongShiHuiXiaSheZhuanMenWeiYuanHuiQingKuangMingXiHuiYiNeiRong" label="董事会下设专门委员会情况明细_会议内容" addr="T0R1C1S1_1" appId="_GBC_88389a2d52e44644a2332ba32500fe69"/>
        <m:item xlName="_GBC_1bba05cf8fa040d68d943ba18213cae6" concept="clcid-mr:DongShiHuiXiaSheZhuanMenWeiYuanHuiQingKuangMingXiZhongYaoYiJianHeJianYi" label="董事会下设专门委员会情况明细_重要意见和建议" addr="T0R1C2S1_1" appId="_GBC_88389a2d52e44644a2332ba32500fe69"/>
        <m:item xlName="_GBC_433bde3502f544a7949e43b3a9d5b234" concept="clcid-mr:DongShiHuiXiaSheZhuanMenWeiYuanHuiQingKuangMingXiQiTaLvXingZhiZeQingKuang" label="董事会下设专门委员会情况明细_其他履行职责情况" addr="T0R1C3S1_1" appId="_GBC_88389a2d52e44644a2332ba32500fe69"/>
      </m:tuple>
    </m:section>
    <m:section xlName="_SEC_400f0a7634114d80939ab87276db7db7" title="存在异议事项的具体情况" rules="R2015_R9_001" helpId="101001110"/>
    <m:section xlName="_SEC_4dbac71000bd4ea4b0d0f802befda046" title="监事会发现公司存在风险的说明" helpId="101001111"/>
    <m:section xlName="_SEC_50050ec7a832485d8681c640a2df0085" title="监事会发现公司存在风险的说明" helpId="101001111" keyAction="56"/>
    <m:section xlName="_SEC_56ba2affeae548928a98e92c92a4f6b3" title="监事会发现公司存在风险的说明" helpId="101001111" keyAction="56"/>
    <m:section xlName="_SEC_5d36f6c19ead44619fb5fc47e8c54f50" title="员工情况" rules="R2015_R8_001" helpId="101001105"/>
    <m:section xlName="_SEC_fc732f9b506646da9d52a592974e5004" title="薪酬政策" rules="R2015_R8_001" helpId="101001105"/>
    <m:section xlName="_SEC_e8ed83989c604c839daf59b1ac5b558c" title="培训计划" rules="R2015_R8_001" helpId="101001105"/>
    <m:section xlName="_SEC_0b378851dc554a559cac93a43f7b5a2c" title="劳务外包情况" rules="R2015_R8_001" helpId="101001105"/>
    <m:section xlName="_SEC_56f603efa27346f7af316ef98db0d157" title="现金分红政策的制定、执行或调整情况" rules="R2015_R5_001" ignorePeriod="1" convertSummaryRule="NoConvert" helpId="101001083"/>
    <m:section xlName="_SEC_1a77bbccdee34f4bacdd389ca95234c8" title="现金分红政策的专项说明" helpId="101001056"/>
    <m:section xlName="_SEC_338bc2c40b994349907ff9b7484876e4" title="报告期内盈利且母公司可供普通股股东分配利润为正，但未提出普通股现金利润分配预案的，公司应当详细披露原因以及未分配利润的用途和使用计划" rules="R2015_R5_001" helpId="101001057"/>
    <m:section xlName="_SEC_0fef5a8a9a1f47b5be982489f74109f3" title="相关股权激励事项已在临时公告披露且后续实施无进展或变化" rules="R2015_R5_008" convertSummaryRule="NoConvert" helpId="101001067"/>
    <m:item xlName="_GBC_002ad948ce1449c2a805bfbb132b2202" concept="clcid-ci-ar:ShiFouShiYongGuQuanJiLiQingKuang" label="是否适用：股权激励情况" selectOptions="_buildInAppliance" controlType="CustomCheckbox" cRanges="{&quot;StartName&quot;:&quot;_GBC_002ad948ce1449c2a805bfbb132b2202&quot;,&quot;EndName&quot;:&quot;_SEC_329f6a9ed7434688b7c534d58a1cf4b8&quot;,&quot;CType&quot;:1,&quot;DisplayText&quot;:null}"/>
    <m:section xlName="_SEC_329f6a9ed7434688b7c534d58a1cf4b8" title="股权激励情况" rules="R2015_R5_008" tupleConcept="clcid-ie:GuQuanJiLiJiHuaQingKuangMingXi" repeatable="1" helpId="101001067" helpText="注：1.公司按照推出的股权激励计划的次数分别填写该表，如果有多次计划，可以添加表格；\n2.解锁期/行权期为该次股权激励计划的每期解锁/行权期间；\n3.对于限制性股票，授予股份数量为授予并完成股份登记的数量；对于股权期权，授予期权数量为授予日的数量。\n4.解锁或行权数量为截至报告期末，累计已解锁或行权的数量；\n5.如果对应的授予数量与解锁/行权数量不一致的，需要填写情况说明。"/>
    <m:section xlName="_SEC_12c50bf247d34661bdbc91376a5f0abc" title="其他说明  " helpId="101001067"/>
    <m:section xlName="_SEC_e76ced04f0774d5494f667355c3809ba" title="员工持股计划情况" rules="R2015_R5_008" helpId="101001067"/>
    <m:section xlName="_SEC_614d59c9502f4f76b99b0f6a5227009b" title="其他激励措施" rules="R2015_R5_008" helpId="101001067"/>
    <m:section xlName="_SEC_8787cb19f2c64d4e8ac89d031e52cc9e" title="董事、高级管理人员报告期内被授予的股权激励情况" helpId="101001135"/>
    <m:section xlName="_SEC_6f74816a3e204f028d6843f93ed4e1b2" title="董事、高级管理人员报告期内被授予的股权激励情况" helpId="101001135"/>
    <m:section xlName="_SEC_e7128a1764624077b0f90f676a73dd15" title="报告期内对高级管理人员的考评机制，以及激励机制的建立、实施情况" rules="R2015_R9_001" helpId="101001112"/>
    <m:section xlName="_SEC_4f62c5a91f184e9083e54ebccf8fe563" title="报告期内的内部控制制度建设及实施情况" helpId="101001113" helpText="公司应当披露报告期内的内部控制制度建设及实施情况。报告期内若发现公司内部控制存在重大缺陷，应当披露具体情况，包括缺陷发生的时间、对缺陷的具体描述、缺陷对财务报告的潜在影响，已实施或拟实施的整改措施、整改时间、整改责任人及整改效果。"/>
    <m:section xlName="_SEC_2ee2e77432cb43f3b2547fcae2c176b7" title="报告期内部控制存在重大缺陷情况的说明  " helpId="101001113"/>
    <m:section xlName="_SEC_01b27291a2ca4176b79ce579d14bbcee" title="报告期内对子公司的管理控制情况" helpId="101001136" helpText="公司应当披露报告期内对子公司的管理控制情况。报告期内因购买新增子公司的，公司应当详细说明在资产、人员、财务、机构、业务等方面的整合计划、整合进展、整合中遇到的问题、已采取的解决措施、解决进展以及后续解决计划。"/>
    <m:section xlName="_SEC_2d6e7b1f7b054f2fbca2d55832fe79ef" title="内部控制审计报告的相关情况说明" helpId="101001114" helpText="按照规定要求披露内部控制自我评价报告的公司，应当提供披露相关信息的网站查询索引。按照规定要求对内部控制进行审计的公司，应当提供披露内部控制审计报告的网站查询索引。\n会计师事务所出具非标准意见的内部控制审计报告或者内部控制审计报告与公司内部控制评价报告意见不一致的，公司应当解释原因。" keyAction="15" keyCode="B00002"/>
    <m:section xlName="_SEC_f84d29ebbfd8434d8d55e144204ae2b0" title="上市公司治理专项行动自查问题整改情况"/>
    <m:section xlName="_SEC_21aaf83f464849edbdaf9c267b7db780" title="其他公司治理情况"/>
    <m:item xlName="_GBC_40b93d2f11a54d2c995a8c41cdee40c4" concept="clcid-mr:ShiFouShiYongZhongDianPaiWuDanWeiHuanBaoQingKuang" label="是否适用：重点排污单位环保情况" selectOptions="_buildInAppliance" controlType="CustomCheckbox" cRanges="[{&quot;StartName&quot;:&quot;_GBC_40b93d2f11a54d2c995a8c41cdee40c4&quot;,&quot;EndName&quot;:&quot;_SEC_e9c4b4d82f3d40269ff7b48874094c71&quot;,&quot;CType&quot;:1}]"/>
    <m:section xlName="_SEC_e4de21123844444b8b85925b470201e8" title="排污信息" helpId="101022021"/>
    <m:section xlName="_SEC_a485caf329db4bdfb6117a71c849bef9" title="防治污染设施的建设和运行情况" helpId="101022021"/>
    <m:section xlName="_SEC_330826163bc24382a01aa7dd6d1a67d0" title="建设项目环境影响评价及其他环境保护行政许可情况" helpId="101022021"/>
    <m:section xlName="_SEC_9ec9ab1add164967bf9093942bd5211f" title="突发环境事件应急预案" helpId="101022021"/>
    <m:section xlName="_SEC_c86ed91ad7bf4fa69add82c31ecebd85" title="环境自行监测方案" helpId="101022021"/>
    <m:section xlName="_SEC_e452b7519a904dd5baf46757b4e56428" title="报告期内因环境问题受到行政处罚的情况" helpId="101022021"/>
    <m:section xlName="_SEC_e9c4b4d82f3d40269ff7b48874094c71" title="其他应当公开的环境信息" helpId="101022021"/>
    <m:item xlName="_GBC_d5ef790979ae4170801b0e930a2b7445" concept="clcid-mr:ShiFouShiYongZhongDianPaiWuDanWeiZhiWaiDeGongSiDeHuanBaoQingKuang" label="是否适用：重点排污单位之外的公司的环保情况" selectOptions="_buildInAppliance" controlType="CustomCheckbox" cRanges="[{&quot;StartName&quot;:&quot;_GBC_d5ef790979ae4170801b0e930a2b7445&quot;,&quot;EndName&quot;:&quot;_SEC_cc1d855503794d7a8f44a0fe0390ebd1&quot;,&quot;CType&quot;:1}]"/>
    <m:section xlName="_SEC_bac89a210931400d9e00585cc27da84b" title="因环境问题受到行政处罚的情况  ____" helpId="101022021"/>
    <m:section xlName="_SEC_94590b5110944664aca67c0b6bf297d9" title="参照重点排污单位披露其它环境信息  ____" helpId="101022021"/>
    <m:section xlName="_SEC_cc1d855503794d7a8f44a0fe0390ebd1" title="重点排污单位之外的公司未披露环境信息的原因说明" helpId="101022021"/>
    <m:section xlName="_SEC_f7a534002f704099a4b5ea4591f982dc" title="有利于保护生态、防治污染、履行环境责任的相关信息" helpId="101022021"/>
    <m:section xlName="_SEC_219d66470c5549c2b9ae6da091245f5d" title="在报告期内为减少其碳排放所采取的措施及效果" helpId="101022021"/>
    <m:section xlName="_SEC_ee27b1a72aa5419087caf130b9eefdde" title="社会责任工作情况" helpId="101001082"/>
    <m:section xlName="_SEC_e3132df5923a4a1886e35ca9514a1640" title="巩固拓展脱贫攻坚成果、乡村振兴工作具体情况" helpId="101014009"/>
    <m:section xlName="_SEC_993caead489c45a092f4575c075d1bcf" title="上市公司、持股5%以上的股东、控股股东及实际控制人在报告期内承诺事项" rules="R2015_R5_002" convertSummaryRule="NoConvert" helpId="101001058" helpText="注：公司应当披露报告期内履行完毕的，以及截至报告期末尚未履行完毕的承诺事项。"/>
    <m:section xlName="_SEC_971c56855aee43acbd29723c087f563c" title="公司资产或项目存在盈利预测，且报告期仍处在盈利预测期间，公司..." rules="R2015_R5_002" helpId="101001059"/>
    <m:section xlName="_SEC_86c8a9a047bf4390b162a151daf2ea63" title="业绩承诺的完成情况及其对商誉减值测试的影响" rules="R2015_R5_002" helpId="112002285"/>
    <m:section xlName="_SEC_64e4682d0039484ab6016e0d63651914" title="报告期内控股股东及其他关联方非经营性占用资金情况  单位..." helpId="101001060"/>
    <m:section xlName="_SEC_b410eb19cb794b80b75b15dd0963620a" title="违规担保情况" helpId="101001137"/>
    <m:section xlName="_SEC_9d3a2dd92a2447d580108acf33ecf5ea" title="公司对会计师事务所“非标准意见审计报告”的说明" rules="R2015_R5_004" helpId="101001061" helpText="公司年度财务报告被会计师事务所出具非标准意见审计报告的，公司董事会应当按照《公开发行证券的公司信息披露编报规则第 14 号—非标准审计意见及其涉及事项的处理》规定，针对非标准意见涉及的事项作出专项说明。"/>
    <m:section xlName="_SEC_848c3b6b128d4e1c85d360627256d912" title="董事公司对会计政策、会计估计变更原因及影响的分析说明" summaryGuid="_GBC_248d1bd34763417eb4d8d564f7d7ac77" helpId="101014013" helpText="公司作出会计政策、会计估计或核算方法变更的，董事会应讨论、分析变更的原因及影响。"/>
    <m:section xlName="_SEC_a2664cc90b224463a6b390e3c02032b0" title="董事会对重要前期差错更正的原因及影响的分析说明" summaryGuid="_GBC_817811c0b5e44486ab8f73569e3b7e11" helpId="101014013"/>
    <m:section xlName="_SEC_31d0510af7aa48b5949b42c21c05d191" title="与前任会计师事务所进行的沟通情况" helpId="101014013"/>
    <m:section xlName="_SEC_350b62c37aba49baa8dbca093e97c5c0" title="其他说明" helpId="101014013"/>
    <m:section xlName="_SEC_4317320322b74f4fbace375f2fdcd88e" title="聘任、解聘会计师事务所情况" checkKey="!原聘任" rules="R2015_R5_005" mandatory="true" helpId="101001062" helpText="如改聘会计师事务所，通过选项选择\n前表的单位、币种适用于后表" primarySection="_SEC_4317320322b74f4fbace375f2fdcd88e" optionText="未改聘会计师事务所" optionGroupTitle="聘任、解聘会计师事务所情况" optionTargetConcept="clcid-ie:ShiFouGaiPinKuaiJiShiShiWuSuo" optionTargetConceptValue="false">
      <m:virtualTuples>
        <m:virtualTuple id="93e15a3f-9be3-406a-9ef0-0c8f3deabf4f" tupleRef="clcid-ie:BaoJianRenBaoChouQingKuang" extendDirection="1"/>
        <m:virtualTuple id="09fa03ac-624e-4b4d-b277-0d665111d5fd" tupleRef="clcid-ie:CaiWuGuWenBaoChouQingKuang" extendDirection="1"/>
      </m:virtualTuples>
    </m:section>
    <m:section xlName="_SEC_97a44564b7ef4cbcb61f276d7a5f66c8" title="聘任、解聘会计师事务所情况" checkKey="原聘任" rules="R2015_R5_005" mandatory="true" helpId="101001062" helpText="如改聘会计师事务所，通过选项选择\n前表的单位、币种适用于后表" primarySection="_SEC_4317320322b74f4fbace375f2fdcd88e" optionText="改聘会计师事务所" optionGroupTitle="聘任、解聘会计师事务所情况" optionTargetConcept="clcid-ie:ShiFouGaiPinKuaiJiShiShiWuSuo" optionTargetConceptValue="true">
      <m:virtualTuples>
        <m:virtualTuple id="bd314cc4-ce5a-4fc7-9101-f04c6ce91016" tupleRef="clcid-ie:BaoJianRenBaoChouQingKuang" extendDirection="1"/>
        <m:virtualTuple id="08db1c99-a339-4d6e-9bb6-2f6c47e5ea86" tupleRef="clcid-ie:CaiWuGuWenBaoChouQingKuang" extendDirection="1"/>
      </m:virtualTuples>
    </m:section>
    <m:section xlName="_SEC_322c3d9669f246aa87ccb7f9dc50a714" title="聘任、解聘会计师事务所的情况说明" rules="R2015_R5_005" helpId="101001062" helpText="公司若改聘、解聘会计师事务所，则必须填写改聘、解聘的情况说明。"/>
    <m:section xlName="_SEC_9e5ff31b39074841b1732f4693c6a461" title="审计期间改聘会计师事务所的情况说明" rules="R2015_R5_005" helpId="101001062"/>
    <m:section xlName="_SEC_f15fc49cb4ff42c5a7ce2d836dd0c3fc" title="导致退市风险警示的原因" summaryGuid="_SEC_86e16cce6564483bb7b2a869ef33cc5f" helpText="年度报告披露后面临退市风险警示情形的公司，应当披露导致退市风险警示的原因以及公司拟采取的应对措施。年度报告披露后面临终止上市情形的公司、因重大违法或规范类原因面临终止上市风险的公司和已披露主动终止上市方案的公司，应当单独披露退市情况专项报告，并提醒投资者予以关注。"/>
    <m:section xlName="_SEC_9dd9fc587be540dab1fcdb757f5036d7" title="公司拟采取的应对措施" helpId="101001063"/>
    <m:section xlName="_SEC_a0a08509d12c43b6a3c3f5de51b245bd" title="面临终止上市的情况和原因" helpId="101001063"/>
    <m:section xlName="_SEC_40f00e43fb5a4ec79cf5293b027262f4" title="破产重整相关事项" helpId="101001068"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b7d97a978491465ca563fa610688ebef" concept="clcid-mr:BenNianDuGongSiYouWuZhongDaSuSongZhongCaiShiXiang" label="本年度公司有无重大诉讼、仲裁事项" selectOptions="2784dffa6bec4a84a1bce565442917a6" controlType="CustomCheckbox" cRanges="{&quot;StartName&quot;:&quot;_GBC_b7d97a978491465ca563fa610688ebef&quot;,&quot;EndName&quot;:&quot;_SEC_d48e48b1d43741b4bf7cdf012e359c8e&quot;,&quot;CType&quot;:1,&quot;DisplayText&quot;:null}"/>
    <m:section xlName="_SEC_85550bc7e18e4ae5950dac093e9d2f00" title="诉讼、仲裁或媒体普遍质疑事项已在临时公告披露且无后续进展" rules="R2015_R5_006" convertSummaryRule="NoConvert" helpId="101001069"/>
    <m:section xlName="_SEC_5418915b864f4e448357874add64e3f1" title="临时公告未披露或有后续进展的诉讼、仲裁情况" rules="R2015_R5_006" convertSummaryRule="NoConvert" helpId="101001069"/>
    <m:section xlName="_SEC_d48e48b1d43741b4bf7cdf012e359c8e" title="重大诉讼、仲裁事项的说明" rules="R2015_R5_006" helpId="101001069"/>
    <m:section xlName="_SEC_ab4d5b987db046049f25c9a37c5fcef6" title="上市公司及其董事、监事、高级管理人员、控股股东、实际控制人、..." rules="R2015_R5_007" helpId="101001065"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a173054d21f9405fa83bf7d1309bfdc4" title="报告期内公司及其控股股东、实际控制人诚信状况的说明" helpId="101001066" helpText="公司应当披露报告期内公司及其控股股东、实际控制人的诚信状况，包括但不限于：是否存在未履行法院生效法律文书确定的义务、所负数额较大的债务到期未清偿等情况。"/>
    <m:section xlName="_SEC_9b2b3d5bc53a45ad87e57bafa9cc658c" title="已在临时公告披露且后续实施无进展或变化的事项" rules="R2015_R5_009" convertSummaryRule="NoConvert" helpId="101001071"/>
    <m:section xlName="_SEC_c2c70cd3f9974feb98c2265569f9b212" title="已在临时公告披露，但有后续实施的进展或变化的事项" rules="R2015_R5_009" convertSummaryRule="NoConvert" helpId="101001071"/>
    <m:section xlName="_SEC_18ede113eb9d4e58b96677300bb03f7d" title="临时公告未披露的事项" rules="R2015_R5_009" convertSummaryRule="NoConvert" helpId="101001071"/>
    <m:section xlName="_SEC_5101ea14b3704066958f40b02b8e01b2" title="已在临时公告披露且后续实施无进展或变化的事项" rules="R2015_R5_009" convertSummaryRule="NoConvert" helpId="101001070"/>
    <m:section xlName="_SEC_212a9f990eed40aea6f3097b326c6b3f" title="已在临时公告披露，但有后续实施的进展或变化的事项  （空..." helpId="101001070"/>
    <m:section xlName="_SEC_0cf43ef9267042f5910eeb382017750a" title="临时公告未披露的事项" rules="R2015_R5_009" convertSummaryRule="NoConvert" helpId="101001070"/>
    <m:section xlName="_SEC_2377f3c46fe8488f9d7f53b4f8ba80b1" title="涉及业绩约定的，应当披露报告期内的业绩实现情况" rules="R2015_R5_009" helpId="101001070"/>
    <m:section xlName="_SEC_51b6cf40b087426eb6434404a0feb888" title="已在临时公告披露且后续实施无进展或变化的事项" rules="R2015_R5_009" convertSummaryRule="NoConvert" helpId="101001073"/>
    <m:section xlName="_SEC_6fb162dfa53544919d9b59362cf9fe07" title="已在临时公告披露，但有后续实施的进展或变化的事项" rules="R2015_R5_009" convertSummaryRule="NoConvert" helpId="101001073"/>
    <m:section xlName="_SEC_c27b95cb91e04e0cb1142e21dcff5adc" title="临时公告未披露的事项" rules="R2015_R5_009" convertSummaryRule="NoConvert" helpId="101001073"/>
    <m:section xlName="_SEC_1159433f604446c4a73e7743924d5bde" title="已在临时公告披露且后续实施无进展或变化的事项" rules="R2015_R5_009" convertSummaryRule="NoConvert" helpId="101001074"/>
    <m:section xlName="_SEC_ce119db951414db2a004501c8a65a54b" title="已在临时公告披露，但有后续实施的进展或变化的事项" rules="R2015_R5_009" convertSummaryRule="NoConvert" helpId="101001074"/>
    <m:section xlName="_SEC_5a41258e75f8445f9f091dbefa9eab6b" title="临时公告未披露的事项" rules="R2015_R5_009" convertSummaryRule="NoConvert" helpId="101001074"/>
    <m:item xlName="_GBC_5a345568387542318c17a9fa2dcc2dbc"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5a345568387542318c17a9fa2dcc2dbc&quot;,&quot;EndName&quot;:&quot;_SEC_84a8738de72f4643b004fedfb8ad7253&quot;,&quot;CType&quot;:1}]"/>
    <m:section xlName="_SEC_acc96c7a218b4430b82abf109861b9ba" title="存款业务" helpId="101001072"/>
    <m:section xlName="_SEC_078413d2d27141afa04009ababb6fbe2" title="贷款业务" helpId="101001072"/>
    <m:section xlName="_SEC_bd430a09c0134b328db57ee393a4296f" title="授信业务或其他金融业务" helpId="101001072"/>
    <m:section xlName="_SEC_84a8738de72f4643b004fedfb8ad7253" title="其他说明" helpId="101001072"/>
    <m:section xlName="_SEC_fdaa9d4446c44111831efafcc3898613" title="其他" rules="R2015_R5_009" helpId="101001075"/>
    <m:section xlName="_SEC_0543ebbac7a94a11b10d8648f7254d13" title="托管情况" isSupervision="true" convertSummaryRule="NoConvert" helpId="101001076"/>
    <m:section xlName="_SEC_d3e1b22be78242a687413a4836e3009d" title="承包情况                         ..." convertSummaryRule="NoConvert" helpId="101001076"/>
    <m:section xlName="_SEC_7309f241ae4444d2a7c93aa358e3eb6f" title="租赁情况                         ..." convertSummaryRule="NoConvert" helpId="101001076"/>
    <m:item xlName="_GBC_b799a3ac65f846e088fcfb2dd2591ede" concept="clcid-ci-ar:ShiFouShiYongDanBaoQingKuang" label="是否适用：担保情况" selectOptions="_buildInAppliance" controlType="CustomCheckbox" cRanges="{&quot;StartName&quot;:&quot;_GBC_b799a3ac65f846e088fcfb2dd2591ede&quot;,&quot;EndName&quot;:&quot;_SEC_2430c7d32ec94e8094e76c237c9505e6&quot;,&quot;CType&quot;:1,&quot;DisplayText&quot;:null}"/>
    <m:section xlName="_SEC_2430c7d32ec94e8094e76c237c9505e6" title="担保情况" rules="R2015_R5_010" convertSummaryRule="NoConvert" helpId="101001077" helpText="注：1、报告期内担保发生额和报告期末担保余额包括子公司的对外担保，其担保金额为该子公司对外担保金额乘以公司持有该公司的股份比例。公司及其子公司的对外担保应在此处填写明细情况。\n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m:section xlName="_SEC_1e15b8524c82495dad9c5426489ba6b9" title="委托理财总体情况" helpId="101001081" helpText="具体类型包括但不限于银行理财产品、券商理财产品、信托理财产品、其他类（如公募基金产品、私募基金产品）等。\n发生额是指报告期内该类委托理财单日最高余额 "/>
    <m:section xlName="_SEC_c74546ff2eb54c40a95f3d7a5ec247ac" title="委托理财总体其他情况" helpId="101001081" helpText="具体类型包括但不限于银行理财产品、券商理财产品、信托理财产品、其他类（如公募基金产品、私募基金产品）等。 "/>
    <m:section xlName="_SEC_b54bd17bb0da4771a60d17a9a56131e4" title="单项委托理财情况" helpId="101001081" helpText="具体类型包括但不限于银行理财产品、券商理财产品、信托理财产品、其他类（如公募基金产品、私募基金产品）等。 "/>
    <m:section xlName="_SEC_758c95ca546e4d8d9735adf2c606a653" title="单项委托理财其他情况" helpId="101001081" helpText="具体类型包括但不限于银行理财产品、券商理财产品、信托理财产品、其他类（如公募基金产品、私募基金产品）等。 "/>
    <m:section xlName="_SEC_7452a82862434316834423d06c71379a" title="委托理财减值准备" helpId="101001081" helpText="具体类型包括但不限于银行理财产品、券商理财产品、信托理财产品、其他类（如公募基金产品、私募基金产品）等。 "/>
    <m:section xlName="_SEC_9a8143f870bc4e57b202f414052a0b80" title="委托贷款总体情况" helpId="101001081" helpText="具体类型包括但不限于银行理财产品、券商理财产品、信托理财产品、其他类（如公募基金产品、私募基金产品）等。 "/>
    <m:section xlName="_SEC_34e1ed3df0e1441ebcf87d7eb2c64ec3" title="委托贷款总体其他情况" helpId="101001081" helpText="具体类型包括但不限于银行理财产品、券商理财产品、信托理财产品、其他类（如公募基金产品、私募基金产品）等。 "/>
    <m:section xlName="_SEC_b6646f10bd22442798f985fd4ebdd061" title="单项委托贷款情况" helpId="101001081" helpText="具体类型包括但不限于银行理财产品、券商理财产品、信托理财产品、其他类（如公募基金产品、私募基金产品）等。 "/>
    <m:section xlName="_SEC_5b2e19ddb1654e038c545d348ccbd530" title="单项委托贷款其他情况 " helpId="101001081" helpText="具体类型包括但不限于银行理财产品、券商理财产品、信托理财产品、其他类（如公募基金产品、私募基金产品）等。"/>
    <m:section xlName="_SEC_0b6195f8785f4def8fa24b4658c28dab" title="委托贷款减值准" helpId="101001081" helpText="具体类型包括但不限于银行理财产品、券商理财产品、信托理财产品、其他类（如公募基金产品、私募基金产品）等。"/>
    <m:section xlName="_SEC_3420a5610d744b6da7aed50323c980c9" title="其他情况" helpId="101001081"/>
    <m:section xlName="_SEC_9d125c8ad0cb430d9249029482fa1530" title="其他重大合同或交易" convertSummaryRule="NoConvert" helpId="101001079"/>
    <m:section xlName="_SEC_5c3258d364b244e3bd64f661e4156e0c" title="" helpId="101001499"/>
    <m:section xlName="_SEC_a2a63736db144f209cddfd7a97491880" title="报告期内，公司股份总数及股本结构未发生变化" checkKey="!变动增减" helpId="101001084" primarySection="_SEC_a2a63736db144f209cddfd7a97491880"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afterEmptyParagraphs="1"/>
    <m:section xlName="_SEC_53e2de514d5a42c09f61aba291e1ae77" title="股份变动情况表(未完成股改)" rules="R2015_R6_001" checkKey="!未发生变化&amp;!有限售条件股份" helpId="101001084" primarySection="_SEC_a2a63736db144f209cddfd7a97491880"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SEC_a3956f57fcc041c88cfbf8c43b765028" title="股份变动情况表(已完成或不涉及股改)" rules="R2015_R6_001" checkKey="!未发生变化&amp;!未上市流通股份" helpId="101001084" primarySection="_SEC_a2a63736db144f209cddfd7a97491880" optionText="股份有变化,已完成股权分置改革或不涉及股权分置改革" activeContentOption="_GBC_0a78890f5a2649239feff4f311c10c4b" optionGroupTitle="公司股份变化情况" optionTargetConcept="clcid-ci-ar:ShiFouShiYongGuFenBianDongQingKuangBiao" optionTargetConceptValue="true" otherKeyActions="{&quot;KeyCode&quot;:&quot;SF_SSE&quot;,&quot;KeyAction&quot;:47,&quot;KeyActionTitle&quot;:null,&quot;OtherActions&quot;:null}"/>
    <m:section xlName="_SEC_cff93b3516844dffa00c7117b3d7105d" title="股份变动情况说明" rules="R2015_R6_001" convertSummaryRule="NoConvert" helpId="101001084"/>
    <m:section xlName="_SEC_a02e0bd8061b48758da5b49301b9d61c" title="股份变动对最近一年和最近一期财务指标的影响" rules="R2015_R6_001" convertSummaryRule="NoConvert" helpId="101001084"/>
    <m:section xlName="_SEC_0585cd9d958541589e59afceb5c63546" title="公司认为必要或证券监管机构要求披露的其他内容" rules="R2015_R6_001" convertSummaryRule="NoConvert" helpId="101001084"/>
    <m:item xlName="_GBC_c7cc39830d364bf68db1ac8777908a9e" concept="clcid-ci-ar:ShiFouShiYongXianShouGuFenBianDongQingKuangBiao" label="是否适用：限售股份变动情况表" selectOptions="_buildInAppliance" controlType="CustomCheckbox" cRanges="{&quot;StartName&quot;:&quot;_GBC_c7cc39830d364bf68db1ac8777908a9e&quot;,&quot;EndName&quot;:&quot;_SEC_b581ae438cd94fb9a75a700daa2c1a5a&quot;,&quot;CType&quot;:1,&quot;DisplayText&quot;:null}"/>
    <m:section xlName="_SEC_b581ae438cd94fb9a75a700daa2c1a5a" title="限售股份变动情况" rules="R2015_R6_001" convertSummaryRule="ConvertDefinedText" convertText="报告期内，本公司限售股份无变动情况。" helpId="101001085" helpText="注：若同一股东因不同限售原因或限售期限持有几类限售股份的，应当区别不同的限售原因或解除限售日期填写上表。"/>
    <m:section xlName="_SEC_314fe0a7461349b58ad8d67ad9671220" title="截至报告期内证券发行情况" helpId="101001087"/>
    <m:section xlName="_SEC_55d557f291e34d7aa9de8836ddc0e9d1" title="公司普通股股份总数及股东结构变动及公司资产和负债结构的变动情况" helpId="101001088" helpText="对报告期内因送股、转增股本、配股、增发新股、向特定对象发行股票（非公开发行）、权证行权、实施股权激励计划、企业合并、可转换公司债券转股、减资、内部职工股上市、债券发行或其他原因引起公司股份总数及股东结构的变动、公司资产和负债结构的变动，应当予以说明。"/>
    <m:section xlName="_SEC_7d189716ca09434ba6cf788f2153af73" title="现存的内部职工股情况" helpId="101001089"/>
    <m:section xlName="_SEC_ec591f1129e84625a91f2b73f19be202" title="股东总数" rules="R2015_R6_002" convertSummaryRule="NoConvert" helpId="101001090"/>
    <m:section xlName="_SEC_f0d49341729546c79e65e551f2f6d5d7" title="前十名股东持股情况(已完成或不涉及股改)" checkKey="!非流通股" rules="R2015_R6_002"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SEC_282126bbfd9d47368718ab8d92fe2d08" title="持有公司5%以上股份的前十名股东持股情况(未完成股改)" rules="R2015_R6_002" checkKey="!无限售"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未完成股权分置改革" activeContentOption="_GBC_cd193222db29400da21cffb776dc6e00" optionGroupTitle="前十名股东持股情况" optionTargetConcept="clcid-cgi:GuQuanFenZhiGaiGeZhuangTai" optionTargetConceptValue="未完成股权分置改革"/>
    <m:section xlName="_SEC_7b16ab72c87b46c1aaa4818a9a422005" title="战略投资者或一般法人因配售新股成为前10名股东" rules="R2015_R6_002" convertSummaryRule="NoConvert" helpId="101001091"/>
    <m:section xlName="_SEC_603e90843919477b9c48becc10c16844" title="控股股东情况法人" rules="R2015_R6_003" helpId="101001093"/>
    <m:section xlName="_SEC_c171a23a3658485db3b86f3cfcc2a64d" title="控股股东情况自然人" rules="R2015_R6_003" helpId="101001093"/>
    <m:section xlName="_SEC_70bc1c568fef4bfc833da7470401e558" title="公司不存在控股股东情况的特别说明" rules="R2015_R6_003" helpId="101001093"/>
    <m:section xlName="_SEC_8c6549023dc64c378601b5bc20deede9" title="报告期内控股股东变更情况索引及日期" rules="R2015_R6_003" helpId="101001093"/>
    <m:section xlName="_SEC_4121b38278ee4945bfa8eb87dafa9db1" title="公司与控股股东之间的产权及控制关系的方框图" rules="R2015_R6_003" summaryGuid="_SEC_bacacc822ab84d988176e36c04384c34" helpId="101001093"/>
    <m:section xlName="_SEC_d1e4bdc329624f1ba319634a4fbdd195" title="实际控制人情况法人" rules="R2015_R6_003" helpId="101001094"/>
    <m:section xlName="_SEC_82a067868b0b4b5eb99879535e2300c5" title="实际控制人情况自然人" rules="R2015_R6_003" helpId="101001094"/>
    <m:section xlName="_SEC_5c0bf2f1ddf34e8c983cdf9fa31c1df0" title="公司不存在实际控制人情况的特别说明" rules="R2015_R6_003" helpId="101001094"/>
    <m:section xlName="_SEC_8e248c9fca7b490e93849e8f5dce6a71" title="报告期内实际控制人变更情况索引及日期" rules="R2015_R6_003" helpId="101001094"/>
    <m:section xlName="_SEC_3098fbbbd09c4e7088990d33b36bcf2e" title="公司与实际控制人之间的产权及控制关系的方框图" rules="R2015_R6_003" summaryGuid="_SEC_300eaeeb987646e0957a4590c0a98138" helpId="101001094"/>
    <m:section xlName="_SEC_d9354c7b8b8643b2a3e90cc40a27dfa8" title="实际控制人通过信托或其他资产管理方式控制公司" rules="R2015_R6_003" helpId="101001094" helpText="注：信托合同或者其他资产管理安排的主要内容包括信托或其他资产管理的具体方式，信托管理权限（包括公司股份表决权的行使等），涉及的股份数量及占公司已发行股份的比例，信托或资产管理费用，信托资产处理安排，合同签订的时间、期限及变更、终止的条件，以及其他特别条款等。"/>
    <m:section xlName="_SEC_4d2866150700497eb747371eabd1ca73" title="控股股东及实际控制人其他情况介绍" rules="R2015_R6_003"/>
    <m:section xlName="_SEC_edf66ea387584a9794efab65ab32b380" title="公司控股股东或第一大股东及其一致行动人累计质押股份数量占其所..." helpId="101001078"/>
    <m:section xlName="_SEC_01bab7f76d4648508f5b4ff20d1575e4" title="其他持股在百分之十以上的法人股东单位：元 币种：人民币法..." rules="R2015_R6_004" helpId="101001095"/>
    <m:section xlName="_SEC_b808e6e3153a4b77b1658dde828b8d1f" title="股份限制减持情况说明" helpId="101001096" helpText="报告期间，上市公司首次公开发行股票、再融资、发行股份购买资产或者构成重组上市的重大资产重组申请或者相关披露文件存在虚假记载、误导性陈述或者重大遗漏，被中国证监会立案稽查的，应当披露控股股东、实际控制人、重组方及其他承诺主体股份限制减持情况。"/>
    <m:section xlName="_SEC_6f21f858a57f4c2e973f75020ab20ef4" title="股份回购实施情况" repeatable="2" helpId="101001080">
      <m:virtualTuples>
        <m:virtualTuple id="e3ddf0a7-e642-4b64-b497-8a870f98ac68" tupleRef="clcid-cgi:HuiGouGuFenFangAnJuTiShiShiQingKuangMingXi" extendDirection="2"/>
      </m:virtualTuples>
    </m:section>
    <m:item xlName="_GBC_0076278996ac412e9bff14977615c2e3" concept="clcid-ci-ar:ShiFouShiYongYouXianGuXiangGuanQingKuang" label="是否适用：优先股相关情况" selectOptions="_buildInAppliance" controlType="CustomCheckbox" cRanges="{&quot;StartName&quot;:&quot;_GBC_0076278996ac412e9bff14977615c2e3&quot;,&quot;EndName&quot;:&quot;_SEC_1f4c3b16eb8249c9aa17b43c56667c20&quot;,&quot;CType&quot;:1,&quot;DisplayText&quot;:null}"/>
    <m:section xlName="_SEC_d81cfbae03894de391d5b2bb871118b5" title="报告期内优先股发行与上市情况" rules="R2015_R7_001" helpId="101001097"/>
    <m:section xlName="_SEC_0791d556c49f4711879953dbedeccaa5" title="优先股股东情况" tupleConcept="clcid-cgi:QianShiMingYouXianGuGuDongQingKuangMingXi" repeatable="1" helpId="101001098"/>
    <m:section xlName="_SEC_92087aa06ee04325b57e7d2913d5dcab" title="其他情况说明" rules="R2015_R7_001" helpId="101001098"/>
    <m:section xlName="_SEC_2863d003e0f2449a97840eb723838cda" title="优先股利润分配的情况" rules="R2015_R7_001" helpId="101001100"/>
    <m:section xlName="_SEC_a7dbc4ba242746fb9d8124674caa6d34" title="报告期内盈利且母公司未分配利润为正，但未对优先股进行利润分配..." rules="R2015_R7_001" helpId="101001100"/>
    <m:section xlName="_SEC_41d7a10a80244c3dbbdb022efa2b9735" title="其他说明" rules="R2015_R7_001" helpId="101001100"/>
    <m:section xlName="_SEC_366e1c443eae4cc4861db57a9934969a" title="回购情况" rules="R2015_R7_001" helpId="101001513"/>
    <m:section xlName="_SEC_54807ca471dd46119f30996bdd6f17bc" title="转换情况" rules="R2015_R7_001" helpId="101001101"/>
    <m:section xlName="_SEC_6dc65b8b95854c388343f4752a03aad6" title="报告期内存在优先股表决权恢复的，公司应当披露相关表决权的恢复" rules="R2015_R7_001" helpId="101001102"/>
    <m:section xlName="_SEC_3cb025727b4d48989ade06d3bb5fd238" title="公司对优先股采取的会计政策及理由" rules="R2015_R7_001" helpId="101001103"/>
    <m:section xlName="_SEC_1f4c3b16eb8249c9aa17b43c56667c20" title="其他" rules="R2015_R7_001"/>
    <m:item xlName="_GBC_804ac0b5f8c94edbbb148299204e0a43" helpId="112500014" concept="clcid-ci-ar:ShiFouShiYongZhaiQuanXiangGuanQingKuang" label="是否适用：债券相关情况" selectOptions="_buildInAppliance" controlType="CustomCheckbox" cRanges="[{&quot;StartName&quot;:&quot;_GBC_804ac0b5f8c94edbbb148299204e0a43&quot;,&quot;EndName&quot;:&quot;_SEC_1baf511e52ae45aca3071cdf1c8d6889&quot;,&quot;CType&quot;:1}]"/>
    <m:item xlName="_GBC_59ea52cccb5743b8993b033f15a125ce" concept="clcid-ci-ar:ShiFouShiYongQiYeZhaiQuanXiangGuanQingKuang" label="是否适用：企业债券相关情况" selectOptions="_buildInAppliance" controlType="CustomCheckbox" cRanges="[{&quot;StartName&quot;:&quot;_GBC_59ea52cccb5743b8993b033f15a125ce&quot;,&quot;EndName&quot;:&quot;_SEC_a65b8a23bd564ec6a1f5380710a043e1&quot;,&quot;CType&quot;:1}]">
      <m:axisValue occRef="企业债券"/>
    </m:item>
    <m:section xlName="_SEC_3cef2e0e458241afaba25111018371b0" title="企业债券基本情况" convertSummaryRule="NoConvert" helpId="101001119"/>
    <m:section xlName="_SEC_432f8fd4e8344411a04ec49b394e0580" title="企业债券 公司对债券终止上市交易风险的应对措施" helpId="101001119"/>
    <m:section xlName="_SEC_18dfa0afa6f244e5bd171b2f04e57060" title="企业债券逾期未偿还债券" helpId="101001119"/>
    <m:section xlName="_SEC_e7f2963116e248228101917e486115b1" title="报告期内债券付息兑付情况" helpId="101001119"/>
    <m:section xlName="_SEC_276d5dde6469451aa8390b92769dba49" title="企业债券发行人或投资者选择权条款、投资者保护条款的触发和执行情况" helpId="101001124"/>
    <m:section xlName="_SEC_0693c9be4adf4928a05eafe585e15a6b" title="为债券发行及存续期业务提供服务的中介机构" helpId="101001125"/>
    <m:section xlName="_SEC_1d5fb4ad9f494bb3ad2e78ff9de48cce" title="上述中介机构发生变更的情况" helpId="101001125">
      <m:axisValue occRef="非金融企业债务融资工具"/>
    </m:section>
    <m:section xlName="_SEC_f0573f607cfc48089f88cca76cb2f3ed" title="报告期末募集资金使用情况" helpId="101001122">
      <m:axisValue occRef="非金融企业债务融资工具"/>
    </m:section>
    <m:section xlName="_SEC_cb2a7992e0664eb3ac52017d9e30c76d" title="募集资金用于建设项目的进展情况及运营效益" helpId="101001122">
      <m:axisValue occRef="非金融企业债务融资工具"/>
    </m:section>
    <m:section xlName="_SEC_8bd1723493dc4b278727f7cce298e463"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7ba8e125c08b4251999ae588f479e32c" title="其他说明  ____">
      <m:axisValue occRef="非金融企业债务融资工具"/>
    </m:section>
    <m:section xlName="_SEC_e4557f2d0f2d483c9e11cbd485f3c635" title="企业债券信用评级结果调整情况" helpId="101001123">
      <m:axisValue occRef="非金融企业债务融资工具"/>
    </m:section>
    <m:section xlName="_SEC_a46ef382c6fa4abd8f153e51b5642f2c" title="其他说明  ____">
      <m:axisValue occRef="非金融企业债务融资工具"/>
    </m:section>
    <m:section xlName="_SEC_4fadf3fd651440f898a7ba92c7226b3f" title="企业债券_担保情况、偿债计划及其他偿债保障措施在报告期内的执行和变化情况及其影响" helpId="101001126">
      <m:axisValue occRef="非金融企业债务融资工具"/>
    </m:section>
    <m:section xlName="_SEC_a65b8a23bd564ec6a1f5380710a043e1" title="企业债券其他情况的说明"/>
    <m:item xlName="_GBC_bcf1d09cd7a14ac8aa0f16e88665e56b" concept="clcid-ci-ar:ShiFouShiYongGongSiZhaiQuanXiangGuanQingKuang" label="是否适用：公司债券相关情况" selectOptions="_buildInAppliance" controlType="CustomCheckbox" cRanges="[{&quot;StartName&quot;:&quot;_GBC_bcf1d09cd7a14ac8aa0f16e88665e56b&quot;,&quot;EndName&quot;:&quot;_SEC_a4da4c17711b43f49c06a8533ae79872&quot;,&quot;CType&quot;:1}]"/>
    <m:section xlName="_SEC_0e7a8a5c53e0419f8a0d520c476ac2ce" title="公司债券基本情况" convertSummaryRule="NoConvert" helpId="101001119"/>
    <m:section xlName="_SEC_11881939bafc4aab8709afccd332e8fc" title="公司对债券终止上市交易风险的应对措施  ____" helpId="101001119"/>
    <m:section xlName="_SEC_1b0dae6576804a5596ae7d88958390d5" title="逾期未偿还债券" helpId="101001119"/>
    <m:section xlName="_SEC_1d08c39e45464006979f747766efd8a3" title="报告期内债券付息兑付情况" helpId="101001119"/>
    <m:section xlName="_SEC_d4452fac6b174a9cb27f486c43780760" title="发行人或投资者选择权条款、投资者保护条款的触发和执行情况" helpId="101001124"/>
    <m:section xlName="_SEC_33c58a1245344ebb8a5764f472a83cd2" title="为债券发行及存续期业务提供服务的中介机构" helpId="101001125"/>
    <m:section xlName="_SEC_e8ca31103e4c45e2a08d2895cf27289d" title="上述中介机构发生变更的情况" helpId="101001125">
      <m:axisValue occRef="非金融企业债务融资工具"/>
    </m:section>
    <m:section xlName="_SEC_0bfd68ec3f2645769362e4db40772a6c" title="报告期末募集资金使用情况" helpId="101001122">
      <m:axisValue occRef="非金融企业债务融资工具"/>
    </m:section>
    <m:section xlName="_SEC_d6026e9214d04cb7a9dc34a50ae5c13c" title="募集资金用于建设项目的进展情况及运营效益" helpId="101001122">
      <m:axisValue occRef="非金融企业债务融资工具"/>
    </m:section>
    <m:section xlName="_SEC_252428b516c742f4b4a0f16b726d2558"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a46a7c423b3741e584589a7eaf04e9a7" title="其他说明  ____">
      <m:axisValue occRef="非金融企业债务融资工具"/>
    </m:section>
    <m:section xlName="_SEC_315f518ec83e47ceb0c581d8d7f8cc24" title="信用评级结果调整情况" helpId="101001123">
      <m:axisValue occRef="非金融企业债务融资工具"/>
    </m:section>
    <m:section xlName="_SEC_f1595c68a4e544cf9445b549765a37be" title="其他说明  ____">
      <m:axisValue occRef="非金融企业债务融资工具"/>
    </m:section>
    <m:section xlName="_SEC_c036dc32e44f45118966d10c7daf25b2" title="担保情况、偿债计划及其他偿债保障措施在报告期内的执行和变化情况及其影响" helpId="101001126">
      <m:axisValue occRef="非金融企业债务融资工具"/>
    </m:section>
    <m:section xlName="_SEC_a4da4c17711b43f49c06a8533ae79872" title="公司债券其他情况的说明"/>
    <m:item xlName="_GBC_21de753b4a2c4a71b5fb871bd9451069" concept="clcid-ci-ar:ShiFouShiYongYinXingJianZhaiQuanShiChangFeiJinRongQiYeZhaiWuRongZiGongJuXiangGuanQingKuang" label="是否适用：银行间债券市场非金融企业债务融资工具相关情况" selectOptions="_buildInAppliance" controlType="CustomCheckbox" appId="_GBC_804ac0b5f8c94edbbb148299204e0a43" cRanges="[{&quot;StartName&quot;:&quot;_GBC_21de753b4a2c4a71b5fb871bd9451069&quot;,&quot;EndName&quot;:&quot;_SEC_ab53e54893bb410d830bf2e12a9a8407&quot;,&quot;CType&quot;:1}]">
      <m:axisValue occRef="非金融企业债务融资工具"/>
    </m:item>
    <m:section xlName="_SEC_e8aa889d661c4243b69b12bda43f961d" title="非金融企业债务融资工具基本情况" convertSummaryRule="NoConvert" helpId="101001119"/>
    <m:section xlName="_SEC_b6b8e1fe09e143b3b593fcef2e3591d7" title="非金融企业债务融资工具 公司对债券终止上市交易风险的应对措施" helpId="101001119"/>
    <m:section xlName="_SEC_ec68ba7b23074e9a92ef2660cc3f394e" title="非金融企业债务融资工具逾期未偿还债券" helpId="101001119"/>
    <m:section xlName="_SEC_a7c7136d29b24d059dec3fac8596f3c7" title="非金融企业债务融资工具 报告期内债券付息兑付情况" helpId="101001119">
      <m:axisValue occRef="非金融企业债务融资工具"/>
    </m:section>
    <m:section xlName="_SEC_dcb15d25bfb340c49b0abadf5d91df53" title="非金融企业债务融资工具发行人或投资者选择权条款、投资者保护条款的触发和执行情况" helpId="101001124"/>
    <m:section xlName="_SEC_50b7630cd2374541a408cb783d784f0d" title="为债券发行及存续期业务提供服务的中介机构" helpId="101001125">
      <m:axisValue occRef="非金融企业债务融资工具"/>
    </m:section>
    <m:section xlName="_SEC_b4210872ec174f03a71ac3827fd16a44" title="上述中介机构发生变更的情况" helpId="101001125">
      <m:axisValue occRef="非金融企业债务融资工具"/>
    </m:section>
    <m:section xlName="_SEC_46477385b4784686898946545b395110" title="报告期末募集资金使用情况 " helpId="101001122">
      <m:axisValue occRef="非金融企业债务融资工具"/>
    </m:section>
    <m:section xlName="_SEC_10ca9d12a6ac4909a1e359f122a9303f" title="募集资金用于建设项目的进展情况及运营效益" helpId="101001122">
      <m:axisValue occRef="非金融企业债务融资工具"/>
    </m:section>
    <m:section xlName="_SEC_15756df1b0aa4555a34361afaab96704"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392f89e5dbe0405bb5d2da87429592e5" title="其他说明  ____">
      <m:axisValue occRef="非金融企业债务融资工具"/>
    </m:section>
    <m:section xlName="_SEC_2ce56c151f3f43b6a8052497e595bbe8" title="企业债券信用评级结果调整情况" helpId="101001123">
      <m:axisValue occRef="非金融企业债务融资工具"/>
    </m:section>
    <m:section xlName="_SEC_f005a7a320c64800b590b206a016b72f" title="其他说明  ____">
      <m:axisValue occRef="非金融企业债务融资工具"/>
    </m:section>
    <m:section xlName="_SEC_701ae8d3fd11421e8e58e707d779b71d" title="企业债券_担保情况、偿债计划及其他偿债保障措施在报告期内的执行和变化情况及其影响" helpId="101001126">
      <m:axisValue occRef="非金融企业债务融资工具"/>
    </m:section>
    <m:section xlName="_SEC_ab53e54893bb410d830bf2e12a9a8407" title="非金融企业债务融资工具其他情况的说明"/>
    <m:section xlName="_SEC_7da7b9c4fc7b4726b8969053f9fc0f1c" title="公司报告期内合并报表范围亏损超过上年末净资产10%亏损情..." helpId="101001133" keyAction="42" keyCode="2"/>
    <m:section xlName="_SEC_f51f490193e84e438b03b0fea83deda0" title="报告期末除债券外的有息债务逾期情况  ____" helpId="101001130" helpText="公司应当披露报告期末除债券外的有息债务逾期情况，包括但不限于金额、发生原因及处置进展。"/>
    <m:section xlName="_SEC_1d2c79f5623a432b86a5eff8405dac4e" title="报告期内违反法律法规、公司章程、信息披露事务管理制度规定的情..." helpId="101001131"/>
    <m:section xlName="_SEC_1baf511e52ae45aca3071cdf1c8d6889" title="截至报告期末公司近2年的会计数据和财务指标" helpId="101001127" helpText="表里的“扣除非经常性损益后净利润”指的是“归属于上市公司股东的扣除非经常性损益的净利润”。"/>
    <m:item xlName="_GBC_9680c57d3e6a4ee9b01aefbd4b8545db" concept="clcid-ci-ar:ShiFouShiYongKeZhuanHuanGongSiZhaiQuanQingKuang" label="是否适用：可转换公司债券情况" selectOptions="_buildInAppliance" controlType="CustomCheckbox" cRanges="[{&quot;StartName&quot;:&quot;_GBC_9680c57d3e6a4ee9b01aefbd4b8545db&quot;,&quot;EndName&quot;:&quot;_SEC_a6207aced3474a108d95eb7cd3be30a7&quot;,&quot;CType&quot;:1}]"/>
    <m:section xlName="_SEC_8d04a146c600466c88e27fd05cb55cf3" title="转债发行情况" convertSummaryRule="NoConvert"/>
    <m:item xlName="_GBC_6a8eda7be111431bb27877dccef03813" concept="clcid-ci-ar:ShiFouShiYongBaoGaoQiZhuanZhaiChiYouRenJiDanBaoRenQingKuang" label="是否适用：报告期转债持有人及担保人情况" selectOptions="_buildInAppliance" controlType="CustomCheckbox" cRanges="[{&quot;StartName&quot;:&quot;_GBC_6a8eda7be111431bb27877dccef03813&quot;,&quot;EndName&quot;:&quot;_SEC_0897570e9f464854aa85ddde6b262ed2&quot;,&quot;CType&quot;:1}]"/>
    <m:section xlName="_SEC_0897570e9f464854aa85ddde6b262ed2" title="转债持有人及担保人情况" repeatable="1" tupleConcept="clcid-cgi:BaoGaoQiZhuanZhaiChiYouRenJiDanBaoRenQingKuangMingXi"/>
    <m:section xlName="_SEC_fc5c14798b574f809af3c637b2a54f88" title="报告期转债变动情况" convertSummaryRule="NoConvert"/>
    <m:item xlName="_GBC_17fac391a9434849b418b1c91de8d200" concept="clcid-ci-ar:ShiFouShiYongBaoGaoQiZhuanZhaiLeiJiZhuanGuQingKuang" label="是否适用：报告期转债累计转股情况" selectOptions="_buildInAppliance" controlType="CustomCheckbox" cRanges="[{&quot;StartName&quot;:&quot;_GBC_17fac391a9434849b418b1c91de8d200&quot;,&quot;EndName&quot;:&quot;_SEC_89aef7a704694ed59cbfd1a37489ce94&quot;,&quot;CType&quot;:1}]"/>
    <m:section xlName="_SEC_89aef7a704694ed59cbfd1a37489ce94" title="转债累计转股情况" tupleConcept="clcid-cgi:BaoGaoQiZhuanZhaiLeiJiZhuanGuQingKuangMingXi" repeatable="1"/>
    <m:item xlName="_GBC_0fe6da18026a4a54834707bcfb7e8798" concept="clcid-ci-ar:ShiFouShiYongZhuanGuJiaGeLiCiDiaoZhengQingKuang" label="是否适用：转股价格历次调整情况" selectOptions="_buildInAppliance" controlType="CustomCheckbox" cRanges="[{&quot;StartName&quot;:&quot;_GBC_0fe6da18026a4a54834707bcfb7e8798&quot;,&quot;EndName&quot;:&quot;_SEC_1129e6b3e49649d69212a4fc99681245&quot;,&quot;CType&quot;:1}]"/>
    <m:item xlName="_GBC_d5ffd32180a94138bafb48697c550d25" indRef="244" concept="clcid-ci-ar:DanWeiZhuanGuJiaGeLiCiTiaoZhengQingKuang" label="单位：转股价格历次调整情况" selectOptions="_buildInScales" controlType="Combobox" cellType="Scale" appId="_GBC_0fe6da18026a4a54834707bcfb7e8798"/>
    <m:item xlName="_GBC_5daf1a3a24844cb29df06aabe132cbfd" indRef="245" concept="clcid-ci-ar:BiZhongZhuanGuJiaGeLiCiTiaoZhengQingKuang" label="币种：转股价格历次调整情况" selectOptions="_buildInISO4217" controlType="Combobox" cellType="Measure" appId="_GBC_0fe6da18026a4a54834707bcfb7e8798"/>
    <m:section xlName="_SEC_1129e6b3e49649d69212a4fc99681245" title="转股价格历次调整情况" tupleConcept="clcid-cgi:ZhuanGuJiaGeLiCiDiaoZhengQingKuangMingXi" repeatable="1"/>
    <m:section xlName="_SEC_c80aa4d34ae342609dd463b1810e4513" title="公司的负债情况、资信变化情况及在未来年度还债的现金安排" convertSummaryRule="NoConvert"/>
    <m:section xlName="_SEC_a6207aced3474a108d95eb7cd3be30a7"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SEC_cc37a84cf19b441f93487bfd1de48f00"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需要编制合并报表" optionGroupTitle="是否需要合并报表" optionTargetConcept="clcid-ci-ar:ShiFouXuYaoHeBingBaoBiao" optionTargetConceptValue="true" keyAction="15" keyCode="A00001;A00002;A00003"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
    <m:section xlName="_SEC_c3e436c225714a739a972fb466106bc3"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无需编制合并报表" optionGroupTitle="是否需要合并报表" optionTargetConcept="clcid-ci-ar:ShiFouXuYaoHeBingBaoBiao" optionTargetConceptValue="false" keyAction="57" otherKeyActions="{&quot;KeyCode&quot;:&quot;A00001;A00002;A00003&quot;,&quot;KeyAction&quot;:15,&quot;KeyActionTitle&quot;:null,&quot;OtherActions&quot;:null}|{&quot;KeyCode&quot;:null,&quot;KeyAction&quot;:14,&quot;KeyActionTitle&quot;:null,&quot;OtherActions&quot;:null}|{&quot;KeyCode&quot;:&quot;2&quot;,&quot;KeyAction&quot;:42,&quot;KeyActionTitle&quot;:null,&quot;OtherActions&quot;:null}"/>
    <m:section xlName="_SEC_38812834cfb34e9393dcbecc309c8615" title="需要编制合并报表" checkKey="合并" primarySection="_SEC_38812834cfb34e9393dcbecc309c8615" optionText="需要编制合并报表" optionGroupTitle="是否需要合并报表" optionTargetConcept="clcid-ci-ar:ShiFouXuYaoHeBingBaoBiao" optionTargetConceptValue="true" keyAction="15" keyCode="A00004;A00005" otherKeyActions="{&quot;KeyCode&quot;:null,&quot;KeyAction&quot;:14,&quot;KeyActionTitle&quot;:null,&quot;OtherActions&quot;:null}|{&quot;KeyCode&quot;:null,&quot;KeyAction&quot;:57,&quot;KeyActionTitle&quot;:null,&quot;OtherActions&quot;:null}|{&quot;KeyCode&quot;:null,&quot;KeyAction&quot;:88,&quot;KeyActionTitle&quot;:null,&quot;OtherActions&quot;:null}|{&quot;KeyCode&quot;:&quot;2&quot;,&quot;KeyAction&quot;:42,&quot;KeyActionTitle&quot;:null,&quot;OtherActions&quot;:null}"/>
    <m:section xlName="_SEC_30256d2487bb41efb90c73c08a8dc83d" title="无需编制合并报表" checkKey="!合并" primarySection="_SEC_38812834cfb34e9393dcbecc309c8615" optionText="无需编制合并报表" optionGroupTitle="是否需要合并报表" optionTargetConcept="clcid-ci-ar:ShiFouXuYaoHeBingBaoBiao" optionTargetConceptValue="false" keyAction="15" keyCode="A00004;A00005"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quot;KeyCode&quot;:null,&quot;KeyAction&quot;:88,&quot;KeyActionTitle&quot;:null,&quot;OtherActions&quot;:null}"/>
    <m:section xlName="_GBC_d6533048a32749eaa7738390457b7f24" title="需要编制合并报表" checkKey="合并" primarySection="_GBC_d6533048a32749eaa7738390457b7f24" optionText="需要编制合并报表"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afterEmptyParagraphs="2"/>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14" otherKeyActions="{&quot;KeyCode&quot;:null,&quot;KeyAction&quot;:57,&quot;KeyActionTitle&quot;:null,&quot;OtherActions&quot;:null}|{&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primarySection="_GBC_3b1dcbfa33024cc0a5c2f3d693817342" optionText="需要编制合并报表" activeContentOption="_GBC_3b1dcbfa33024cc0a5c2f3d693817342"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m:section xlName="_SEC_33bf4bd2f94147df9d7dc077fea673f3" title="无需编制合并报表" checkKey="!合并" primarySection="_GBC_3b1dcbfa33024cc0a5c2f3d693817342"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section xlName="_GBC_c49d72d4b04e4ead97addb731e9b6458" title="公司基本情况" ignorePeriod="1" convertSummaryRule="NoConvert" helpId="112001003" helpText="注：说明公司注册地、总部地址、业务性质、主要经营活动以及财务报告批准报出日。 \n注：简要说明本期的合并财务报表范围及其变化情况，并与“本附注八合并范围的变更” 、“本附注九、在其他主体中的权益”索引。"/>
    <m:section xlName="_GBC_6d12949d3695402592266a78137dcfb5" title="财务报表的编制基础" ignorePeriod="1" helpId="112001007"/>
    <m:section xlName="_GBC_69ae6baeacb44e8fa17b0b984abbf6ab" title="持续经营" ignorePeriod="1"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ignorePeriod="1" helpId="112001010" helpText="注：公司根据实际生产经营特点制定的具体会计政策和会计估计，应在本节开始部分对相关事项进行提示。"/>
    <m:section xlName="_GBC_a0afbb5b3a444bce84ee78a2a282cb28" title="遵循企业会计准则的声明" rules="" ignorePeriod="1" helpId="112001010"/>
    <m:section xlName="_GBC_2d7f332501c8461ea731797db5588ee5" title="会计期间" rules="" ignorePeriod="1" helpId="112001010"/>
    <m:section xlName="_GBC_b045784ca7904d52a060134ffec0d88c" title="营业周期" rules="" ignorePeriod="1" helpId="112001012" helpText="注：公司对营业周期不同于12个月，并以营业周期作为资产和负债的流动性划分标准的，应说明营业周期及确定依据。"/>
    <m:section xlName="_GBC_13b1061968754e20bebf2099281ed54f" title="记账本位币" rules="" ignorePeriod="1"/>
    <m:section xlName="_GBC_f44e1e76b2a3457ea36bc088adcbb4c3" title="同一控制下和非同一控制下企业合并的会计处理方法" rules="" ignorePeriod="1" convertSummaryRule="NoConvert"/>
    <m:section xlName="_GBC_c23be25e527044f689b710dabd312b04" title="合并财务报表的编制方法" rules="" ignorePeriod="1"/>
    <m:section xlName="_GBC_a6643877dd0341e39dee12c064dc6fdc" title="合营安排分类及共同经营会计处理方法" rules="" ignorePeriod="1"/>
    <m:section xlName="_GBC_9f2dfe6521c4434b9ad3e7bb1a8a52b7" title="现金及现金等价物的确定标准" rules="" ignorePeriod="1"/>
    <m:section xlName="_GBC_cff1e1487c3242a8a1be0ce9c2b7a554" title="外币业务和外币报表折算" rules=""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
    <m:section xlName="_SEC_362fa257dbf6485a955cc6289ec1ce23" title="应收票据的预期信用损失的确定方法及会计处理方法" helpId="112001015"/>
    <m:section xlName="_SEC_8c5112e0a6de47a6af2fe2c06199a1a9" title="应收账款的预期信用损失的确定方法及会计处理方法" helpId="112001015"/>
    <m:section xlName="_SEC_53a8085b738a461ab82c366601a4ec80" title="应收款项融资"/>
    <m:section xlName="_SEC_ef6a22d43b7f4cfca911abd1cd64c22b" title="其他应收款预期信用损失的确定方法及会计处理方法" helpId="112001015"/>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9bd5a4d97fa44c929350119c9f058793" title="合同资产的确认方法和减值测试方法" helpId="112001015"/>
    <m:section xlName="_SEC_360193ac6f414512ae2c1e2912c3ae6e" title="合同资产预期信用损失的确定方法及会计处理方法" helpId="112001015"/>
    <m:section xlName="_GBC_a1a86a762feb43c3bed478ce8a19ae7c" title="持有待售资产" ignorePeriod="1" helpId="112001017" helpText="注：说明划分为持有待售资产的确认标准。"/>
    <m:section xlName="_SEC_e844286f55704dad967ec5918d6d8015" title="债权投资" helpId="112001015"/>
    <m:section xlName="_SEC_c45e287df635454da1fc932b5d7bc19c" title="其他债权投资" helpId="112001015"/>
    <m:section xlName="_SEC_90d4e338ecdf40dbbf3e9d454acdaa20" title="长期应收款" helpId="112001015"/>
    <m:section xlName="_GBC_d82c12cf13554acd90dfb7880244798c" title="长期股权投资" ignorePeriod="1" helpId="112001018" helpText="注：说明共同控制、重要影响的判断标准，长期股权投资的初始投资成本确定、后续计量及损益确认方法。"/>
    <m:section xlName="_GBC_20b1c487c1e348188269523d7d980194" title="成本计量模式" checkKey="!公允价值计量&amp;!不适用" ignorePeriod="1"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m:section xlName="_GBC_6983d9e24ed54c18a335cb0386f36c2c" title="不适用" checkKey="!公允价值计量&amp;!成本计量" ignorePeriod="1" primarySection="_GBC_20b1c487c1e348188269523d7d980194" optionText="不适用" optionGroupTitle="投资性房地产计量模式" optionTargetConcept="clcid-pte:TouZiXingFangDiChanJiLiangMoShi" optionTargetConceptValue="不适用"/>
    <m:section xlName="_GBC_2b2036270bc84711804cd256998442a6" title="公允价值计量模式" checkKey="!成本计量&amp;!不适用" ignorePeriod="1"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62771796da549e1b2a02fb7d497f077" title="固定资产确认条件" ignorePeriod="1" helpId="112001019"/>
    <m:section xlName="_GBC_7c749a57d4094b3386978c34c3487e2a" title="固定资产折旧方法" ignorePeriod="1"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ignorePeriod="1"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c609e6522cb94604b2ba3e771a8bd22e" title="使用权资产"/>
    <m:section xlName="_GBC_0a8b293ff9e94173b2e385f4ef2a8c89" title="无形资产会计处理方法" ignorePeriod="1" convertSummaryRule="NoConvert" helpId="112001024"/>
    <m:section xlName="_GBC_da2f3f0531094e5e9dcd987c45223bec" title="非金融长期资产减值" ignorePeriod="1" helpId="112001025" helpText="注：说明长期股权投资、采用成本模式计量的投资性房地产、固定资产、在建工程、采用成本模式计量的生产性生物资产、油气资产、无形资产、商誉、等长期资产的减值测试方法及会计处理方法。"/>
    <m:section xlName="_GBC_fffe6f948ebb468ba812d16acce5c0b9" title="长期待摊费用会计处理方法" ignorePeriod="1" convertSummaryRule="NoConvert" helpId="112001026" helpText="注：说明长期待摊费用的性质、摊销方法及摊销年限。"/>
    <m:section xlName="_SEC_cf70b80a8aab43fe9ea65f35584a808d" title="合同负债"/>
    <m:section xlName="_GBC_8ec8855eb4d5447ab785e4bd4b0b73aa" title="职工薪酬" ignorePeriod="1"/>
    <m:section xlName="_SEC_59f78615a7b840fb9a34d42105d99413" title="租赁负债"/>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SEC_61f33e672a394985bb61a08db1fab3a1" title="收入确认和计量所采用的会计政策"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502969bc54cf47dd9cfa68a9ddc4e556" title="同类业务采用不同经营模式导致收入确认会计政策存在差异的情况"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27ff142af5d04d4aac9aad3af48e3716" title="合同成本" helpId="112002273" helpText="注：说明与合同成本有关的资产金额确定的方法、摊销方法和减值测试方法。"/>
    <m:section xlName="_GBC_b03bd816e50b42ae97b660897ca33234" title="政府补助会计处理方法" ignorePeriod="1" convertSummaryRule="NoConvert" helpId="112002267" helpText="注：说明政府补助的类型及会计处理方法。具体包括：区分与资产相关政府补助和与收益相关政府补助的具体标准，若政府文件未明确规定补助对象，说明将该政府补助划分为与资产相关或与收益相关的判断依据；披露政府补助采用的是总额法还是净额法，如果是总额法，还应披露与政府补助相关的递延收益的摊销方法以及摊销期限的确认方法；政府补助的确认时点。"/>
    <m:section xlName="_GBC_01f1973e44f24cd99b90200f8205be13" title="递延所得税资产/递延所得税负债会计处理方法" ignorePeriod="1" convertSummaryRule="NoConvert" helpId="112001031" helpText="注：说明递延所得税资产和递延所得税负债的确认依据。"/>
    <m:section xlName="_SEC_665d95d9f6c04c32831b2a4fc303e11c" title="经营租赁的会计处理方法  " helpText="未执行新租赁准则的公司填写。"/>
    <m:section xlName="_SEC_4631e38dda7d4704843f77e4a8e70808" title="融资租赁的会计处理方法  " helpText="未执行新租赁准则的公司填写。"/>
    <m:section xlName="_SEC_3c4d5ea1c121414c9a99ab28798ae32c" title="新租赁准则下租赁的确定方法及会计处理方法  ____"/>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与会计处理方法，套期有效性评估方法，企业的风险管理策略以及如何应用该策略来管理风险，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ignorePeriod="1"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ignorePeriod="1" helpId="112001033" helpText="注：说明受重要影响的报表项目名称和金额。"/>
    <m:section xlName="_SEC_26cb0ff2f40c4cec8cc5f95eaa49a269" title="首次执行新金融工具准则、新收入准则、新租赁准则调整首次执行当年年初财务报表相关项目情况"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26cb0ff2f40c4cec8cc5f95eaa49a269" optionText="需要编制合并报表" optionGroupTitle="是否需要合并报表" optionTargetConcept="clcid-ci-ar:ShiFouXuYaoHeBingBaoBiao" optionTargetConceptValue="true"/>
    <m:section xlName="_SEC_6a75960de1f24e5aa2984a88268a2d78" title="首次执行新金融工具准则、新收入准则、新租赁准则调整首次执行当年年初财务报表相关项目情况"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26cb0ff2f40c4cec8cc5f95eaa49a269" optionText="无需编制合并报表" optionGroupTitle="是否需要合并报表" optionTargetConcept="clcid-ci-ar:ShiFouXuYaoHeBingBaoBiao" optionTargetConceptValue="false"/>
    <m:section xlName="_SEC_f61c4970a1ac4db989642e895ccb27eb" title="首次执行新会计准则追溯调整前期比较数据的说明" helpText="上市公司对首次执行新会计准则的影响数进行追溯调整并调整前期比较数据时，应披露调整所涉及的比较期财务报表项目名称和调整金额。"/>
    <m:section xlName="_GBC_f9189f2c315949f484bded540173f7a8" title="其他" ignorePeriod="1" helpId="112001034"/>
    <m:section xlName="_GBC_21c965fa52af49a9865023fb4e05671a" title="主要税种及税率" ignorePeriod="1" convertSummaryRule="NoConvert" helpId="112001036" axisType="Column"/>
    <m:section xlName="_GBC_8efa381cc976417f9135f0c744d05452" title="税收优惠及批文" ignorePeriod="1" convertSummaryRule="NoConvert" helpId="112001036" helpText="注：说明主要税收优惠政策及依据。"/>
    <m:section xlName="_GBC_9fdef48633e142f68e18dc5da08c2deb" title="其他说明" ignorePeriod="1"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
    <m:section xlName="_SEC_5d6c5a8a108d4b628932fa3be459b540" title="交易性金融资产" helpId="112001041"/>
    <m:section xlName="_SEC_2f4f1660c2f84fe39c4b376a5cc1b1a7" title="衍生金融资产" helpId="112001042" helpText="注：说明衍生金融工具形成原因以及相关会计处理等。"/>
    <m:section xlName="_SEC_4f1c8160429242738fa8e81ef0aab280" title="应收票据分类列示" rules="R2015_R11_003" convertSummaryRule="NoConvert" helpId="112001044"/>
    <m:section xlName="_SEC_aafb834414ab47688643694210fed9bf" title="期末公司已质押的应收票据" rules="R2015_R11_003" convertSummaryRule="NoConvert" helpId="112001044"/>
    <m:section xlName="_SEC_45d50989d4a042519489cf69f1b044ed" title="期末公司已背书或贴现且在资产负债表日尚未到期的应收票据" rules="R2015_R11_003" convertSummaryRule="NoConvert" helpId="112001044"/>
    <m:section xlName="_SEC_c28e226da8c4479fa309249d7ef50c92" title="期末公司因出票人未履约而将其转应收账款的票据" rules="R2015_R11_003" convertSummaryRule="NoConvert" helpId="112001044"/>
    <m:section xlName="_SEC_63927a21dd56431cb79b634520f50ece" title="按坏账计提方法分类披露"/>
    <m:section xlName="_SEC_2e0b02c8d30f4e60bebed0d7a5a961af" title="按单项计提坏账准备"/>
    <m:placeholder xlName="_PLD_c5822df72e094b5083c45a32639c6995"/>
    <m:item xlName="_GBC_6007da8f43a241c5b804069722b7b005" concept="clcid-ci-ar:ShiFouShiYongAnZuHeJiTiHuaiZhangZhunBeiDeYingShouPiaoJuXiangXiQingKuang" label="是否适用：按组合计提坏账准备的应收票据详细情况" selectOptions="_buildInAppliance" controlType="CustomCheckbox" cRanges="[{&quot;StartName&quot;:&quot;_GBC_6007da8f43a241c5b804069722b7b005&quot;,&quot;EndName&quot;:&quot;_SEC_d03b77239d74458c9d9042e93508a1b3&quot;,&quot;CType&quot;:1}]"/>
    <m:section xlName="_SEC_d03b77239d74458c9d9042e93508a1b3" title="按组合计提坏账准备" repeatable="1" tupleConcept="clcid-pte:AnZuHeJiTiHuaiZhangZhunBeiDeYingShouPiaoJuXiangXiMingXi"/>
    <m:section xlName="_SEC_04c40b625aee4c7d8e38c7f456e27b56" title="如按预期信用损失一般模型计提坏账准备，请参照其他应收款披露"/>
    <m:section xlName="_SEC_3dab029b25824ad8a8695b0e58b6c454" title="应收票据坏账准备的情况"/>
    <m:section xlName="_SEC_3428d5e0a1974f66bdc18edf0b310417" title="本期实际核销的应收票据情况"/>
    <m:section xlName="_SEC_9045c8983bbe475395a63669d8f42a68" title="应收票据其他说明" rules="R2015_R11_003" convertSummaryRule="NoConvert" helpId="112001044"/>
    <m:section xlName="_SEC_839f797b2ddf4a12a40452a1e747a584" title="按账龄披露" helpId="112001045" helpText="表中的“期末账面余额”指的是包含单项计提和组合计提的期末账面余额。"/>
    <m:section xlName="_SEC_d442ddfe6a1a43ab9b3b8367ba47ed02" title="按坏账计提方法分类披露" helpId="112001045"/>
    <m:section xlName="_SEC_ef7cfc3c8ebf4f0dbd12a60dde63ca04" title="按单项计提坏账准备"/>
    <m:placeholder xlName="_PLD_21b31dda4e9f44bd901ccb9e126e1392"/>
    <m:item xlName="_GBC_600909a2591c4c1187685fb640783e4a" concept="clcid-ci-ar:ShiFouShiYongAnZuHeJiTiHuaiZhangZhunBeiDeYingShouZhangKuanXiangXiQingKuang" label="是否适用：按组合计提坏账准备的应收账款详细情况" selectOptions="_buildInAppliance" controlType="CustomCheckbox" cRanges="[{&quot;StartName&quot;:&quot;_GBC_600909a2591c4c1187685fb640783e4a&quot;,&quot;EndName&quot;:&quot;_SEC_04cea84e35a1467eb05df185ad69482a&quot;,&quot;CType&quot;:1}]"/>
    <m:section xlName="_SEC_04cea84e35a1467eb05df185ad69482a" title="按组合计提坏账准备" repeatable="1" tupleConcept="clcid-pte:AnZuHeJiTiHuaiZhangZhunBeiDeYingShouZhangKuanXiangXiMingXi"/>
    <m:section xlName="_SEC_54bb5413eca24d3ab39af65d518cb352" title="如按照一般预计信用损失模型计提坏账，请参照其他应收款的披露方式披露"/>
    <m:section xlName="_SEC_06b1384525ce4743a061a4c6762d5977" title="应收账款坏账准备的情况" helpId="112001045"/>
    <m:section xlName="_SEC_3a74ab07636f4f7aaaa3aefe56fdcd36" title="本期坏账准备收回或转回金额重要的" rules="R2015_R11_004" convertSummaryRule="NoConvert" helpId="112001045" helpText="注：说明转回或收回原因，确定原坏账准备计提比例的依据及其合理性。"/>
    <m:section xlName="_SEC_232653caa33f43eface8372ffe3a60eb" title="本报告期实际核销的应收账款情况" rules="R2015_R11_004" convertSummaryRule="NoConvert" helpId="112001045"/>
    <m:section xlName="_SEC_71c89f02128446e2b4ea3a2dfb767bd2"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SEC_c714bd6e3e0e4f269266374f899ea672" title="因金融资产转移而终止确认的应收账款" rules="R2015_R11_004" helpId="112001045" helpText="注：说明金融资产转移的方式、终止确认的应收款项金额，及与终止确认相关的利得或损失。"/>
    <m:section xlName="_SEC_304899e10c75409c8a53fa6208e46b9c" title="转移应收账款且继续涉入的，分项列示继续涉入形成的资产、负债的金额" rules="R2015_R11_004" helpId="112001045" helpText="注：说明金融资产转移的方式，分项列示继续涉入形成的资产、负债的金额。"/>
    <m:section xlName="_SEC_46308b28e0464ca38e1d9a9e55371ee9" title="应收账款其他说明" rules="R2015_R11_004" helpId="112001045"/>
    <m:section xlName="_SEC_27b579e617f043faa86b5afdc54a44ce" title="应收款项融资"/>
    <m:section xlName="_SEC_c3a77c7d5fc54cf3891eeb30bc294643" title="预付款项按账龄列示" rules="R2015_R11_005" convertSummaryRule="NoConvert" helpId="112001047"/>
    <m:section xlName="_SEC_8a85592946074248a7ee474e6adb363e"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SEC_b4786b512c5648f09f6aeb396ccb9ee7" title="预付款项的说明" rules="R2015_R11_005" convertSummaryRule="NoConvert" helpId="112001047"/>
    <m:section xlName="_SEC_832356e7ad3a4fd389aa33f3370163f0" title="其他应收款分类列示"/>
    <m:section xlName="_SEC_9f746d8f63c24963bbf193ceb3ce319d" title="其他应收款分类列示其他说明"/>
    <m:section xlName="_SEC_e7556b18b03f4947b14c0b36c675ff06" title="应收利息" convertSummaryRule="NoConvert" helpId="112001049"/>
    <m:section xlName="_SEC_2b1aed9928154ce3b72406656569e1a0" title="逾期利息" convertSummaryRule="NoConvert" helpId="112001049"/>
    <m:section xlName="_SEC_d2c4f1952afe44258e5612ef28731834" title="坏账准备计提情况"/>
    <m:section xlName="_SEC_f928a6e9e75047f3b72b49250b05ba14" title="应收利息的说明" helpId="112001049"/>
    <m:section xlName="_SEC_531f695428244731b7e3fcf9986e03c5" title="应收股利" helpId="112001050"/>
    <m:section xlName="_SEC_9503084ad1734739bb1a74f5476ec07c" title="应收股利" convertSummaryRule="NoConvert" helpId="112001050"/>
    <m:section xlName="_SEC_bfa6d1d8f0d04386aa81c3673c519221" title="坏账准备计提情况"/>
    <m:section xlName="_SEC_e50f0bae57ac4f97bb5148c612a8ca48" title="应收股利的说明" convertSummaryRule="NoConvert" helpId="112001050"/>
    <m:section xlName="_SEC_9cd4f6309fba4b598ec2f3a0a4e083ad" title="按账龄披露" helpId="112001051" helpText="表里的“期末账面余额”指的是包含单项计提和组合计提的期末账面余额。"/>
    <m:section xlName="_SEC_8efe5956682a453f8d45e3b621bac05e" title="按款项性质分类情况" rules="R2015_R11_006" helpId="112001051"/>
    <m:section xlName="_SEC_cb69c8378cb54035bc6be62addb6389d" title="坏账准备计提情况" helpId="112001051"/>
    <m:section xlName="_SEC_45844149369c46558d6ab8922854ba5c" title="本期坏账准备计提金额以及评估金融工具的信用风险是否显著增加的采用依据" helpId="112001051"/>
    <m:section xlName="_SEC_a0703d114f284b949a0f05190dd2265b" title="其他应收款坏账准备的情况"/>
    <m:section xlName="_SEC_41a6e023af3e46b9a7c491c4e27287af" title="本报告期实际核销的其他应收款情况" rules="R2015_R11_006" convertSummaryRule="NoConvert" helpId="112001051"/>
    <m:section xlName="_SEC_5bc3cdcc54c14afd8dfbd379ebf214df" title="按欠款方归集的期末余额其中前五名的其他应收款单位情况" rules="R2015_R11_006" helpId="112001051"/>
    <m:section xlName="_SEC_7f884e5815904873b956a469c8376ddc" title="按应收金额确认的政府补助" rules="R2015_R11_006" helpId="112001051" helpText="注：公司未能在预计时点收到预计金额的政府补助，应说明原因。"/>
    <m:section xlName="_SEC_b4e92d47ce454acbba1241413cf48897" title="因金融资产转移而终止确认的其他应收款" rules="R2015_R11_006" helpId="112001051" helpText="注：说明金融资产转移的方式、终止确认的其他应收款金额，及与终止确认相关的利得或损失。"/>
    <m:section xlName="_SEC_92e24bbe4f564b40858a76aac5222baf" title="转移其他应收款且继续涉入形成的资产、负债金额的说明" rules="R2015_R11_006" helpId="112001051" helpText="注：说明金融资产转移的方式、分项列示继续涉入形成的资产、负债的金额。"/>
    <m:section xlName="_SEC_ca3c9a9eec87490e8f1dd55c9f575f92" title="其他应收款其他说明" rules="R2015_R11_006" helpId="112001051"/>
    <m:section xlName="_SEC_db208c50ef2347fc8318ac3ce516f8f3" title="存货分类 " rules="R2015_R11_007" convertSummaryRule="NoConvert" helpId="112001053" axisType="Column"/>
    <m:section xlName="_SEC_f5d204839da647b4984ba81ca9593f3b" title="存货跌价准备" rules="R2015_R11_007" convertSummaryRule="NoConvert" helpId="112001053" helpText="注：说明确定可变现净值的具体依据及本期转回或转销存货跌价准备的原因。" axisType="Column"/>
    <m:section xlName="_SEC_d2aec934b2134662ac27a795f9f8441b" title="存货期末余额含有借款费用资本化金额的说明" rules="R2015_R11_007" helpId="112001053"/>
    <m:section xlName="_SEC_4d5b81a46b124a7fbda36ca1f8fc6761" title="合同履约成本本期摊销金额的说明" helpId="112001053"/>
    <m:section xlName="_SEC_68a62211b3d64c9c8661fa3d3a6d8409" title="存货其他说明"/>
    <m:section xlName="_SEC_815287361ca746f4be20e0fedf7c209d" title="合同资产情况" helpId="112002274"/>
    <m:section xlName="_SEC_c92b1cbb8a324c50a897bfb29d008812" title="报告期内账面价值发生重大变动的金额和原因" helpId="112002274"/>
    <m:section xlName="_SEC_5ad264313cea4d8a8ec9ff73b52c45f4" title="本期合同资产计提减值准备情况" helpId="112002274"/>
    <m:section xlName="_SEC_258cf02a2dfe4d43b5c502f3869566d2" title="合同资产其他说明" helpId="112002274"/>
    <m:section xlName="_SEC_b6937eac78c94ad8b39ce1ee1104d8c4" title=""/>
    <m:section xlName="_SEC_96b35c860772417291874bfe65770128" title="一年内到期的非流动资产"/>
    <m:section xlName="_SEC_cb1f0c52ccb6441287eb043720aaedbf" title="一年内到期的非流动资产期末重要的债权投资"/>
    <m:section xlName="_SEC_5007efc3f00c4111a777e47f97d502e5" title="一年内到期的非流动资产其他说明"/>
    <m:section xlName="_SEC_76a189d16ac5453184dfe42bd0fa9e73" title="其他流动资产" rules="R2015_R11_008" helpId="112001235"/>
    <m:section xlName="_SEC_14d51d39f7d5436a8f41f898c206e930" title="债权投资情况" helpId="112001059"/>
    <m:section xlName="_SEC_9590e8ecc5d3406198e45c28b530ea74" title="期末重要的债权投资" helpId="112001059"/>
    <m:section xlName="_SEC_5933b4ff0aa1441d91a30454dd600143" title="减值准备计提情况" helpId="112001059"/>
    <m:section xlName="_SEC_040e62d42619437596c68d45a7cf057c" title="本期减值准备计提金额以及评估金融工具的信用风险是否显著增加的采用依据" helpId="112001059"/>
    <m:section xlName="_SEC_81d8c27b48964e40adc85851e95f5fe8" title="债券投资其他说明" helpId="112001059"/>
    <m:section xlName="_SEC_45dbf962086b4d8eb08561c0bbb52ee7" title="其他债权投资情况" helpId="112001059"/>
    <m:section xlName="_SEC_44eeb7a9a2664cfb8bc2bf6709356388" title="期末重要的其他债权投资" helpId="112001059"/>
    <m:section xlName="_SEC_43c61e1bfcad49d9a2d7d8b43d392735" title="减值准备计提情况" helpId="112001059"/>
    <m:section xlName="_SEC_dd9ad0da12d84bd799c60de7b6243679" title="本期减值准备计提金额以及评估金融工具的信用风险是否显著增加的..." helpId="112001059"/>
    <m:section xlName="_SEC_dc2e57efff8f4436957f51feebac7226" title="其他债权投资其他说明" helpId="112001059"/>
    <m:section xlName="_SEC_03910fcb1d7b4c9e888090eddf49d0f5" title="长期应收款" rules="R2015_R11_009" helpId="112001061"/>
    <m:section xlName="_SEC_e3a77e97bfdc4d80b28798b16620a97a" title="按减值计提方法分类披露"/>
    <m:section xlName="_SEC_cac91801a7df45b898da28991af8099b" title="本期坏账准备计提金额以及评估金融工具的信用风险是否显著增加的..."/>
    <m:section xlName="_SEC_c0276803b0764169b1c7aa5897007892" title="因金融资产转移而终止确认的长期应收款" rules="R2015_R11_009" helpId="112001061" helpText="注：说明金融资产转移的方式、终止确认的长期应收款金额，及与终止确认相关的利得或损失。"/>
    <m:section xlName="_SEC_89a60922f7cb457c9329be8065df91e2" title="转移长期应收款且继续涉入形成的资产、负债金额" rules="R2015_R11_009" helpId="112001061" helpText="注：说明金融资产转移的方式、分项列示继续涉入形成的资产、负债的金额。"/>
    <m:section xlName="_SEC_2121861ee4514c94a9ddd15a509ae12d" title="长期应收款的其他说明" rules="R2015_R11_009" helpId="112001061"/>
    <m:item xlName="_GBC_94e2c461d3d34280a0a5f1e908656d3e" concept="clcid-ci-ar:ShiFouShiYongChangQiGuQuanTouZi" label="是否适用：长期股权投资" selectOptions="_buildInAppliance" controlType="CustomCheckbox" cRanges="{&quot;StartName&quot;:&quot;_GBC_94e2c461d3d34280a0a5f1e908656d3e&quot;,&quot;EndName&quot;:&quot;_SEC_07adbbba1b734992ad3a62949a0cb211&quot;,&quot;CType&quot;:1,&quot;DisplayText&quot;:null}"/>
    <m:section xlName="_SEC_07adbbba1b734992ad3a62949a0cb211" title="长期股权投资" rules="R2015_R11_010" helpId="112001063"/>
    <m:section xlName="_SEC_28824f064b6848578824ba80aeb4ac54" title="其他权益工具投资情况" helpId="112001057"/>
    <m:section xlName="_SEC_a20f5a6c87a7486f84aaaae7561d335d" title="非交易性权益工具投资的情况" helpId="112001057"/>
    <m:section xlName="_SEC_646eb5e4608348a5bc5c6dea7ef6971a" title="其他权益工具投资其他说明" helpId="112001057"/>
    <m:section xlName="_SEC_d085182d12d941b88dd5666cf5452533" title="其他非流动金融资产" helpId="112001041"/>
    <m:section xlName="_SEC_93f7cfdc7a9549c68b787aff064a41f3" title="其他非流动金融资产其他说明"/>
    <m:section xlName="_SEC_2bd90f9d006148798131ef3c25314fb9" title="成本计量模式" rules="R2015_R11_011" checkKey="!公允价值计量" convertSummaryRule="NoConvert" helpId="112001064" primarySection="_SEC_2bd90f9d006148798131ef3c25314fb9" optionText="成本计量模式" optionGroupTitle="投资性房地产计量模式" optionTargetConcept="clcid-pte:TouZiXingFangDiChanJiLiangMoShi" optionTargetConceptValue="成本计量模式"/>
    <m:section xlName="_SEC_a051cc5b16ae41feb35dbabfee3cadf5" title="不适用" checkKey="!公允价值计量&amp;!成本计量" primarySection="_SEC_2bd90f9d006148798131ef3c25314fb9" optionText="不适用" optionGroupTitle="投资性房地产计量模式" optionTargetConcept="clcid-pte:TouZiXingFangDiChanJiLiangMoShi" optionTargetConceptValue="不适用"/>
    <m:section xlName="_SEC_42ca4cabede641b2a0558cee2b73b5da" title="公允价值计量模式" rules="R2015_R11_011" checkKey="!成本计量" convertSummaryRule="NoConvert" helpId="112001064" primarySection="_SEC_2bd90f9d006148798131ef3c25314fb9" optionText="公允价值计量模式" optionGroupTitle="投资性房地产计量模式" optionTargetConcept="clcid-pte:TouZiXingFangDiChanJiLiangMoShi" optionTargetConceptValue="公允价值计量模式"/>
    <m:section xlName="_SEC_5a2e9b07ae1e469294cb2be5aaf61c28" title="固定资产"/>
    <m:section xlName="_SEC_5797700860144c4b9ca0b9b62b2dc148" title="固定资产分类列示其他说明"/>
    <m:section xlName="_SEC_b17fc34a023f4384a425600555740cb6"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SEC_784fb493affa41d8985f9e8a71213cf9" title="暂时闲置的固定资产情况" rules="R2015_R11_012" convertSummaryRule="NoConvert" helpId="112001065"/>
    <m:section xlName="_SEC_c3ab5ff0dac4435c868c4dc1a729acc7" title="通过融资租赁租入的固定资产情况" rules="R2015_R11_012" convertSummaryRule="NoConvert" helpId="112001065" helpText="未执行新租赁准则的公司填写。"/>
    <m:section xlName="_SEC_1de7436e811c4703bed7fb7f0316bba2" title="通过经营租赁租出的固定资产" rules="R2015_R11_012" helpId="112001065" helpText="未执行新租赁准则的公司填写。"/>
    <m:section xlName="_SEC_c2e9651d58cd49b88e40954aae3cbf5b" title="未办妥产权证书的固定资产情况" rules="R2015_R11_012" convertSummaryRule="NoConvert" helpId="112001065"/>
    <m:section xlName="_SEC_7134408257214aea8ca71da966442d44" title="固定资产说明" rules="R2015_R11_012" convertSummaryRule="NoConvert" helpId="112001065"/>
    <m:section xlName="_SEC_e623ea972f7d45dc8b0c9f9862e5b400" title="固定资产清理"/>
    <m:section xlName="_SEC_1629a0ede2124140bc15f9e5c0174d2b" title="在建工程分类列示"/>
    <m:section xlName="_SEC_082962860e3f4336bda3f7cfa776d8ee" title="在建工程分类列示其他说明"/>
    <m:section xlName="_SEC_a02b3ec882b24e089808f0414c70e5ec" title="在建工程情况" rules="R2015_R11_012" convertSummaryRule="NoConvert" helpId="112001067"/>
    <m:section xlName="_SEC_56f783d4f9274dee9510145d6c965ff7" title="重大在建工程项目变动情况" rules="R2015_R11_012" convertSummaryRule="NoConvert" helpId="112001067" helpText="注：资金来源，一般包括募股资金、金融机构贷款和其他来源等。"/>
    <m:section xlName="_SEC_0ebc618dc5604e8db1776ea7ed9e27ad" title="在建工程减值准备" rules="R2015_R11_012" convertSummaryRule="NoConvert" helpId="112001067"/>
    <m:section xlName="_SEC_557cdec50a6747d28443c626668ac476" title="在建工程的说明" rules="R2015_R11_012" convertSummaryRule="NoConvert" helpId="112001067"/>
    <m:section xlName="_SEC_57646d76c9b54fbc8b0c285f81791103" title="工程物资" convertSummaryRule="NoConvert" helpId="112001069"/>
    <m:section xlName="_SEC_90a77fb9192246418dabc2bc031e38c0"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SEC_30033325948d42e88d046d357344a3ff"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SEC_559ebba506dc45c6ba746173e6e553db" title="生产性生物资产的说明" convertSummaryRule="NoConvert" helpId="112001070"/>
    <m:section xlName="_SEC_1c42b01146a94d2891a3a0557341368e" title="油气资产" convertSummaryRule="NoConvert" helpId="112001071">
      <m:virtualTuples>
        <m:virtualTuple id="391f4d5d-e2bb-4e43-a73b-1a879022eeed" tupleRef="clcid-pte:YouQiZiChanMingXi" extendDirection="2" splitWidth="1"/>
      </m:virtualTuples>
    </m:section>
    <m:section xlName="_SEC_56ef077439914c3f97ba31c1af9eef32" title="使用权资产" tagAction="1" helpId="112001060">
      <m:virtualTuples>
        <m:virtualTuple id="06aa4ced-53cd-4ab4-88f8-025c43637847" tupleRef="clcid-pte:ShiYongQuanZiChanMingXi" extendDirection="2"/>
      </m:virtualTuples>
    </m:section>
    <m:section xlName="_SEC_dc6f356c9a9a424bba90c1f6f28b2ab0" title="无形资产情况" rules="R2015_R11_013" helpId="112001072">
      <m:virtualTuples>
        <m:virtualTuple id="dd625539-1bb3-40f2-b0d4-0097d3143f41" tupleRef="clcid-pte:WuXingZiChanMingXi" extendDirection="2" splitWidth="1"/>
      </m:virtualTuples>
    </m:section>
    <m:section xlName="_SEC_1b15a58332a3426ebeab40769f9c3df1" title="未办妥产权证书的土地使用权情况：" rules="R2015_R11_013" helpId="112001072"/>
    <m:section xlName="_SEC_eb6a679b93d847e9a41997ee579c0c0b" title="无形资产说明" rules="R2015_R11_013" helpId="112001072"/>
    <m:section xlName="_SEC_cf72b8a1a8b94a6db030e4d63349f86b" title="公司开发项目支出" helpId="112001073"/>
    <m:section xlName="_SEC_c1b37e49b4784cd69e2bf4154039a71f" title="商誉" rules="R2015_R11_014" convertSummaryRule="NoConvert" helpId="112001075">
      <m:virtualTuples>
        <m:virtualTuple id="bf8ed6aa-ae15-4993-8398-515f52281749" tupleRef="clcid-pte:ShangYuMingXi" extendDirection="2"/>
        <m:virtualTuple id="e6c0dcae-d755-44a5-a666-fedd5169d53f" tupleRef="clcid-pte:ShangYuJianZhiZhunBeiMingXi" extendDirection="2"/>
      </m:virtualTuples>
    </m:section>
    <m:section xlName="_SEC_a4ccbe4057b4410cb2b998d6b11165cd" title="长期待摊费用" convertSummaryRule="NoConvert" helpId="112001076"/>
    <m:section xlName="_SEC_c648f0f0efdc4d4c85ff3f48a55f50ee" title="递延所得税资产和递延所得税负债不以抵销后的净额列示" rules="R2015_R11_015" helpId="112001077" helpText="注： \n表(2)按暂时性差异的类别列示未经抵销的递延所得税资产或递延所得税负债期初余额、期末余额，以及相应的暂时性差异金额\n表(4)列示由于未来能否获得足够的应纳税所得额具有不确定性，因此没有确认为递延所得税资产的可抵扣暂时性差异和可抵扣亏损。\n表(5)无法在资产负债表日确定全部可抵扣亏损情况的，可只填写能确定部分的金额及其到期年度，并在备注栏予以说明。"/>
    <m:section xlName="_SEC_94657e8367544e5fa63e4b88008d6713" title="递延所得税资产和递延所得税负债的说明" rules="R2015_R11_015" convertSummaryRule="NoConvert" helpId="112001077"/>
    <m:section xlName="_SEC_61a5a51558394b4f935a5e79bf462096" title="其他非流动资产"/>
    <m:section xlName="_SEC_5e661212a7bc42d1ac34de3b0e67574d" title="短期借款分类" convertSummaryRule="NoConvert" helpId="112001079" axisType="Column"/>
    <m:section xlName="_SEC_b35d2ea88a124242b0bd88394a858993" title="已到期未偿还的短期借款情况" convertSummaryRule="NoConvert" helpId="112001079"/>
    <m:section xlName="_SEC_7331bb834b364e3baab9f33a89c455ca" title="短期借款的说明" helpId="112001079"/>
    <m:section xlName="_SEC_76cb151d14e6437cbef4c8c5df1588bd" title="交易性金融负债" helpId="112001080"/>
    <m:section xlName="_SEC_55cf02a075b245feae9823bc0e924f07" title="衍生金融负债" helpId="112001081" helpText="注：说明衍生金融工具形成原因及相关会计处理等。"/>
    <m:item xlName="_GBC_c0116f9cd6f34dcfa483a1f112dac85a" concept="clcid-ci-ar:ShiFouShiYongYingFuPiaoJu" label="是否适用：应付票据" selectOptions="_buildInAppliance" controlType="CustomCheckbox" cRanges="{&quot;StartName&quot;:&quot;_GBC_c0116f9cd6f34dcfa483a1f112dac85a&quot;,&quot;EndName&quot;:&quot;_SEC_42d38d00af52480383edb08e04ca3f9e&quot;,&quot;CType&quot;:1,&quot;DisplayText&quot;:null}"/>
    <m:section xlName="_SEC_42d38d00af52480383edb08e04ca3f9e" title="应付票据" rules="R2015_R11_017" convertSummaryRule="NoConvert" helpId="112001083"/>
    <m:section xlName="_SEC_6983b90893c6404eb7c7286ec627bbd3" title="应付账款情况" rules="R2015_R11_018" convertSummaryRule="NoConvert" helpId="112001084"/>
    <m:section xlName="_SEC_f6472fc9df314a45ae6f3743495113f0" title="重要的账龄超过1年的应付账款单位：元币种：人民币项目期末..." rules="R2015_R11_018" helpId="112001084"/>
    <m:section xlName="_SEC_11f269c09d754458a6354680b3ca0c0b" title="应付账款的其他说明" rules="R2015_R11_018" convertSummaryRule="NoConvert" helpId="112001084"/>
    <m:section xlName="_SEC_6c51b7b8aad944a6a7343a7c4468bc35" title="预收账款情况" convertSummaryRule="NoConvert" helpId="112002200"/>
    <m:section xlName="_SEC_1558d55950074b35a4413fcf746a38ce" title="账龄超过1年的重要预收款项" helpId="112002200"/>
    <m:section xlName="_SEC_edc815d452784f559d4667a474aec74d" title="预收账款的其他说明" convertSummaryRule="NoConvert" helpId="112002200"/>
    <m:section xlName="_SEC_50463584535c4393bb0c203aa88e74ea" title="合同负债" helpId="112002275"/>
    <m:section xlName="_SEC_6fed4fed5399438cae08eee39c94b152" title="报告期内账面价值发生重大变动的金额和原因" helpId="112002275"/>
    <m:section xlName="_SEC_d59a32c92f4547b59d45698ae473a887" title="合同负债其他说明" helpId="112002275"/>
    <m:section xlName="_SEC_8ac62232cfc54f38aff1f89058d89f36" title="应付职工薪酬列示：" helpId="112001085"/>
    <m:section xlName="_SEC_1cb33e613a2043aba490a4f493078cdf" title="短期薪酬列示" helpId="112001085"/>
    <m:section xlName="_SEC_09e47a9c2ace47f19c4a16776060c867" title="设定提存计划列示" helpId="112001085"/>
    <m:section xlName="_SEC_edbce81fdb28449ba35de2db232257b2" title="应付职工薪酬说明" helpId="112001085"/>
    <m:section xlName="_SEC_be9a46a3e37649b39960634f96204c34" title="应交税费" convertSummaryRule="NoConvert" helpId="112001086" axisType="Column"/>
    <m:section xlName="_SEC_89b79d5c0cf746108f038a99e63ca62a" title="其他应付款分类列示"/>
    <m:section xlName="_SEC_6345efe048154a68a2b9789f203377af" title="其他应付款分类列示其他说明"/>
    <m:section xlName="_SEC_387989ce789d404fab98beb488dfa010" title="应付利息" helpId="112001087"/>
    <m:section xlName="_SEC_8fa7e393d06b440f9c82ae0d64899eaa" title="应付股利" helpId="112001088"/>
    <m:section xlName="_SEC_63718a543ca94cc0ab86d1bd47798003" title="其他应付款" helpId="112001089"/>
    <m:section xlName="_SEC_2c0a95e5ecb74946b3dc14c7a20e5997" title="持有待售负债" helpId="112001091" helpText="注：说明划分为持有待售的负债的原因等。"/>
    <m:section xlName="_SEC_7d69c48a60a34405b349ddceb0a418a8" title="1年内到期的非流动负债" helpId="112001092"/>
    <m:section xlName="_SEC_028ee94ad65744bca4ead55dc3233ca9" title="其他流动负债" helpId="112001093"/>
    <m:section xlName="_SEC_f5491fa163be4d50a9964567324132ed" title="短期应付债券的增减变动" convertSummaryRule="NoConvert" helpId="112001093"/>
    <m:section xlName="_SEC_72acc7f2df254db9a8e7b1d2c0a85c65" title="其他流动负债说明" helpId="112001093"/>
    <m:section xlName="_SEC_bb20abc8fd5f49a68916f9dc55e11723" title="长期借款分类 " convertSummaryRule="NoConvert" helpId="112001094" axisType="Column"/>
    <m:section xlName="_SEC_b151024fbb7f40ea95abd833b296ecf2" title="长期借款的说明" helpId="112001094"/>
    <m:section xlName="_SEC_9fc1d89fd58b4dd7a11252f59005bfc6" title="应付债券" helpId="112001095"/>
    <m:section xlName="_SEC_bd8994c3194244c3a4761d3ba9630357" title="应付债券的增减变动" helpId="112001095">
      <m:virtualTuples>
        <m:virtualTuple id="05b1f0af-c01f-4fce-96b8-29a3faf0470e" tupleRef="clcid-pte:YingFuZhaiQuanMingXi" defaultRows="0" extendDirection="2"/>
      </m:virtualTuples>
    </m:section>
    <m:section xlName="_SEC_757001457d924ad38aa4781484c5ba39" title="可转换公司债券的转股条件、转股时间说明：" helpId="112001095"/>
    <m:section xlName="_SEC_a518acf97f30496fb599ce9199c16315" title="划分为金融负债的其他金融工具说明" helpId="112001095"/>
    <m:section xlName="_SEC_a77cb0c0ba82436b82a7d5bb3bde2ada" title="应付债券其他说明" helpId="112001095"/>
    <m:section xlName="_SEC_02d134bf8d8d4eb58c0ae104046b1ba8" title="租赁负债" helpId="112002270"/>
    <m:section xlName="_SEC_f3d4542e7833456492aa3f1fb43c4fd5" title="长期应付款分类列示"/>
    <m:section xlName="_SEC_a0c78ab4e7864eb6ad0f9eb868ed1718" title="长期应付款分类列示其他说明"/>
    <m:section xlName="_SEC_7376b335bb274b24970a93a74d17b7c6" title="按款项性质列示长期应付款" helpId="112001096"/>
    <m:section xlName="_SEC_0a84e0b09fc64975bf9a126557085875" title="专项应付款" convertSummaryRule="NoConvert" helpId="112001098"/>
    <m:item xlName="_GBC_24f9546075204a64926cf2cb24e64f0e" concept="clcid-ci-ar:ShiFouShiYongChangQiYingFuZhiGongXinChou" label="是否适用：长期应付职工薪酬" selectOptions="_buildInAppliance" controlType="CustomCheckbox" cRanges="{&quot;StartName&quot;:&quot;_GBC_24f9546075204a64926cf2cb24e64f0e&quot;,&quot;EndName&quot;:&quot;_SEC_bdb4f6c5fc6642808a65fce4599aa115&quot;,&quot;CType&quot;:1,&quot;DisplayText&quot;:null}"/>
    <m:section xlName="_SEC_9e1dffe6ae18444d97446014b297dd69" title="长期应付职工薪酬" helpId="112001097"/>
    <m:section xlName="_SEC_5a389db9711a4a889c729ab40da926ed" title="设定受益计划变动情况" helpId="112001097"/>
    <m:section xlName="_SEC_bdb4f6c5fc6642808a65fce4599aa115" title="长期应付职工薪酬的其他说明" helpId="112001097"/>
    <m:section xlName="_SEC_f21973cd15af4f4f8cba4c68d4e9e36f" title="预计负债" convertSummaryRule="NoConvert" helpId="112001099"/>
    <m:section xlName="_SEC_77e89ee1eab949ef9b025afd8f005609" title="递延收益" rules="R2015_R11_019" helpId="112001100"/>
    <m:section xlName="_SEC_8d3befcc5cef4618a8781744946ac9ad" title="涉及政府补助的负债项目" rules="R2015_R11_019" convertSummaryRule="NoConvert" helpId="112001100"/>
    <m:section xlName="_SEC_7cd38d14438443479401d71c7f066fdf" title="递延收益其他说明" rules="R2015_R11_019" helpId="112001100"/>
    <m:section xlName="_SEC_e6f817e4d74a4d95acbb17b048314a10" title="其他非流动负债" convertSummaryRule="NoConvert" helpId="112001235"/>
    <m:section xlName="_SEC_8a6ae55fcdf4458585bca7ece234d93f" title="股本" convertSummaryRule="NoConvert" helpId="112001101"/>
    <m:section xlName="_SEC_6fed13d34fa44eddb1a893d7efc5d06b" title="期末发行在外的优先股、永续债等其他金融工具基本情况"/>
    <m:section xlName="_SEC_e75bf2a97679482fb5fa8f87d691b026" title="期末发行在外的优先股、永续债等金融工具变动情况表  发行..."/>
    <m:section xlName="_SEC_f0c4a2ce10914cf8a15ec22984f96cce" title="其他权益工具本期增减变动情况、变动原因说明，以及相关会计处理"/>
    <m:section xlName="_SEC_2737fbc9d66c421eae61476b09f44108" title="其他说明"/>
    <m:section xlName="_SEC_39b8590a9e5d496db1d2cf229fd840e9" title="资本公积" convertSummaryRule="NoConvert" helpId="112001105"/>
    <m:section xlName="_SEC_ac3bac3dee6b41e2a9bd601e8215a41b" title="库存股" convertSummaryRule="NoConvert" helpId="112001103"/>
    <m:section xlName="_SEC_b7abde66ee9f475b9c7a82f58ed72510" title=""/>
    <m:section xlName="_SEC_84ba198e06284c06a5fcfe80ab43de2c" title="专项储备" convertSummaryRule="NoConvert" helpId="112001104" axisType="Column"/>
    <m:section xlName="_SEC_e4999705883d4533b90d93a828deecc9" title="盈余公积" convertSummaryRule="NoConvert" helpId="112001108"/>
    <m:item xlName="_GBC_0ccb002da9b649db91afd1ca2a9330f8" concept="clcid-ci-ar:ShiFouShiYongWeiFenPeiLiRun" label="是否适用：未分配利润" selectOptions="_buildInAppliance" controlType="CustomCheckbox" cRanges="{&quot;StartName&quot;:&quot;_GBC_0ccb002da9b649db91afd1ca2a9330f8&quot;,&quot;EndName&quot;:&quot;_SEC_099bae2e74dd4c638d827dd234536518&quot;,&quot;CType&quot;:1,&quot;DisplayText&quot;:null}"/>
    <m:section xlName="_SEC_099bae2e74dd4c638d827dd234536518" title="未分配利润;" helpId="112001109"/>
    <m:section xlName="_SEC_4f278fa30cb04e56a01c1330e71747dc" title="营业收入和营业成本" rules="R2015_R11_020" helpId="112001110"/>
    <m:section xlName="_SEC_d9ef661e0f91486dad560fa19c2c09e5" title="营业收入扣除情况表" helpText="不存在应扣除营业收入（扣除金额填0）的，也应当简要说明。判断依据篇幅过长的，可索引年度报告正文披露内容。" optionTargetConcept="clcid-ci-ar:KouFeiQianHouJingliRunShiFouWeiFuZhi" optionTargetConceptValue="true" keyAction="6" keyCode="SFFZ_KCFJCSYJLR"/>
    <m:section xlName="_SEC_020e88e24a604d8684cb34b724e2379b" title="合同产生的收入的情况" tagAction="1" helpId="112001110">
      <m:virtualTuples>
        <m:virtualTuple id="47b64d54-c0cb-4c7a-a1b2-733bbb651abd" tupleRef="clcid-pte:HeTongChanShengDeShouRuFenBuMingXi" extendDirection="2"/>
      </m:virtualTuples>
    </m:section>
    <m:section xlName="_SEC_865a1cfefc5c4d048224b9061806c0cd" title="履约义务的说明" helpId="112001110"/>
    <m:section xlName="_SEC_982b67e019e6431a8776b813c56bff19" title="分摊至剩余履约义务的说明" helpId="112001110"/>
    <m:section xlName="_SEC_bf9c8800b7bc4046a57c9b28cfebe1e9" title="营业收入和营业成本的其他说明"/>
    <m:section xlName="_SEC_f69e6c0ae3f44fea9945d377a149f8ef" title="税金及附加" rules="R2015_R11_021" convertSummaryRule="NoConvert" helpId="112001112" axisType="Column"/>
    <m:section xlName="_SEC_5d1ca8a31f664ab6b4c2e40e3350a771" title="成本费用" rules="R2015_R11_022" convertSummaryRule="NoConvert" helpId="112001111"/>
    <m:section xlName="_SEC_7f6cbd459a55483f8da09e1ad1378e98" title="管理费用" rules="R2015_R11_023" helpId="112001111"/>
    <m:section xlName="_SEC_82bf03b829d641c299349e9d5db687f0" title="研发费用" helpId="112001111"/>
    <m:section xlName="_SEC_e64e0ff353b940238889b35d13a33128" title="财务费用" rules="R2015_R11_024" helpId="112001111"/>
    <m:section xlName="_SEC_e9bc7b10fbe24a58a2a8e3ac1ff96a97" title="其他收益" helpId="112002269"/>
    <m:section xlName="_SEC_153dc505def641b68896504f5596ef5b" title=""/>
    <m:section xlName="_SEC_1b8fb7a0e4a44723ab3a865986917571" title="净敞口套期收益" helpId="112002272"/>
    <m:section xlName="_SEC_ba248bb644d24508b56cf476e57a1ad1" title="公允价值变动收益" rules="R2015_R11_025" convertSummaryRule="NoConvert" helpId="112001113"/>
    <m:section xlName="_SEC_f3aa22c360ad4d4fa144dfe2d37137a3" title="信用减值损失" helpId="112002271" keyAction="89"/>
    <m:section xlName="_SEC_0711b4002bfe46319954a4204926581c" title="资产减值损失" rules="R2015_R11_027" helpId="112001115" keyAction="89"/>
    <m:section xlName="_SEC_467f7368f09741c792396e7413b66bc2" title="资产处置收益" helpId="112002268"/>
    <m:section xlName="_SEC_f6bd1fb85aac4d5fae732da5669c7d98" title="营业外收入情况" rules="R2015_R11_028" convertSummaryRule="NoConvert" helpId="112001116"/>
    <m:section xlName="_SEC_7da34acddedf41ad98cc013fa3418dfa" title="计入当期损益的政府补助" rules="R2015_R11_028" convertSummaryRule="NoConvert" helpId="112001116"/>
    <m:section xlName="_SEC_784c1ba1d166453d9ae358ccd8c78ff4" title="营业外收入说明" rules="R2015_R11_028" convertSummaryRule="NoConvert" helpId="112001116"/>
    <m:section xlName="_SEC_c9367abe549f4ea783abbf3c125e949f" title="营业外支出" convertSummaryRule="NoConvert" helpId="112001117"/>
    <m:section xlName="_SEC_dedc71a0d12742a59ac6ee5cfbfa509f" title="所得税费用" convertSummaryRule="NoConvert" helpId="112001119"/>
    <m:section xlName="_SEC_abcda0c67180436c970991051af2777d" title="其他综合收益" helpId="112001121"/>
    <m:section xlName="_SEC_db9c62b020ec4e9ea32fddcc998663ec" title="收到的其他与经营活动有关的现金" rules="R2015_R11_029" convertSummaryRule="NoConvert" helpId="112002201"/>
    <m:section xlName="_SEC_69836e8867b347e7b3fe206eca280b9d" title="支付的其他与经营活动有关的现金" rules="R2015_R11_030" convertSummaryRule="NoConvert" helpId="112002201"/>
    <m:section xlName="_SEC_bffd728d3f034a24a21a18f895399812" title="收到的其他与投资活动有关的现金" convertSummaryRule="NoConvert" helpId="112002201"/>
    <m:section xlName="_SEC_aafc72f0aabb4b5faeb8c5be6629eee5" title="支付的其他与投资活动有关的现金" convertSummaryRule="NoConvert" helpId="112002201"/>
    <m:section xlName="_SEC_cee5e63128ad411498f4c0e9e303807b" title="收到的其他与筹资活动有关的现金" convertSummaryRule="NoConvert" helpId="112002201"/>
    <m:section xlName="_SEC_7f5832ab98b14401b69843c0f895b85e" title="支付的其他与筹资活动有关的现金" convertSummaryRule="NoConvert" helpId="112002201"/>
    <m:section xlName="_SEC_f8be5b6afa1a4e6a83d098555e296b4b" title="现金流量表补充资料" helpId="112001123">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SEC_971240b1511b4283b56dedb17a919272" title="取得子公司支付的现金净额" helpId="112001123"/>
    <m:section xlName="_SEC_c13aa60d3ee2485187cd10bae50b72d3" title="处置子公司收到的现金净额" helpId="112001123"/>
    <m:section xlName="_SEC_4dd83b47da414fd18ef87a83dbc8a22a" title="现金和现金等价物的构成" helpId="112001123"/>
    <m:section xlName="_SEC_cbb5e6d5041b434cbee55fb14e7590da" title="所有者权益变动表项目注释" convertSummaryRule="NoConvert" helpId="112001124"/>
    <m:section xlName="_SEC_a24445b9d34342ec921f5b1164f97e32" title="所有权或使用权受到限制的资产" helpId="112001235" axisType="Column"/>
    <m:section xlName="_SEC_d0d3f1cb74c546a2a03e13993b313207" title="外币货币性项目" resetControlTag="true" helpId="112001118" axisType="Column" keyAction="48" keyCode="currency" otherKeyActions="{&quot;KeyCode&quot;:&quot;_GBC_a8a2206abe64476f90c2dfa9e05b581d&quot;,&quot;KeyAction&quot;:49,&quot;KeyActionTitle&quot;:null,&quot;OtherActions&quot;:null}"/>
    <m:section xlName="_SEC_72e212d6db4945c88ff1963281a9b51a" title="按照套期类别披露套期及相关套期工具、被套期风险的相关的定性定" helpId="112001120"/>
    <m:section xlName="_SEC_669a56494e84421f926c6125ba0e65ac" title="政府补助" helpId="112002270"/>
    <m:section xlName="_SEC_c84db925a3024ae68b5f3a3d1775752e" title="合并财务报表项目注释其他需要说明的事项" helpId="112001122"/>
    <m:item xlName="_GBC_f305adddf4654659bd28ceedc072aa05" concept="clcid-ci-ar:ShiFouShiYongFeiTongYiKongZhiXiaQiYeHeBing" label="是否适用：非同一控制下企业合并" selectOptions="_buildInAppliance" controlType="CustomCheckbox" cRanges="{&quot;StartName&quot;:&quot;_GBC_f305adddf4654659bd28ceedc072aa05&quot;,&quot;EndName&quot;:&quot;_SEC_657a82cc36f44929827b8af7e658a158&quot;,&quot;CType&quot;:1,&quot;DisplayText&quot;:null}"/>
    <m:section xlName="_SEC_dc451f082d624eb08a17dd4ff91af9ca" title="本期发生的非同一控制下企业合并" helpId="112001125" helpText="注：分步实现企业合并且在本期取得控制权的交易，应分别说明前期和本期取得股权的时点、成本、比例及方式。"/>
    <m:section xlName="_SEC_87b59ec06d09487eac65b149f5d5042b" title="合并成本及商誉" repeatable="2" helpId="112001126">
      <m:virtualTuples>
        <m:virtualTuple id="dc40489a-919e-4301-8c5f-ee7896369dc8" tupleRef="clcid-pte:FeiTongYiKongZhiXiaQiYeHeBingChengBenJiShangYuMingXi" extendDirection="2"/>
      </m:virtualTuples>
    </m:section>
    <m:section xlName="_SEC_39a3f440a8fd4395a73a74d18fd58cb5" title="被购买方于购买日可辨认资产、负债" repeatable="2"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m:virtualTuples>
    </m:section>
    <m:section xlName="_SEC_f29b4af6832b4cd79fad52bf63b86044" title="购买日之前持有的股权按照公允价值重新计量产生的利得或损失" helpId="112001130"/>
    <m:section xlName="_SEC_85a4a3102e7b40d8a701773e48e38230" title="购买日或合并当期期末无法合理确定合并对价或被购买方可辨认资产..." helpId="112001131"/>
    <m:section xlName="_SEC_657a82cc36f44929827b8af7e658a158" title="非同一控制下企业合并其他说明"/>
    <m:item xlName="_GBC_698d1a451f094ec0bf9c3a278d26a0d3" concept="clcid-ci-ar:ShiFouShiYongTongYiKongZhiXiaQiYeHeBing" label="是否适用：同一控制下企业合并" selectOptions="_buildInAppliance" controlType="CustomCheckbox" cRanges="{&quot;StartName&quot;:&quot;_GBC_698d1a451f094ec0bf9c3a278d26a0d3&quot;,&quot;EndName&quot;:&quot;_SEC_f7d823a863ab4f79bee2af71216d2355&quot;,&quot;CType&quot;:1,&quot;DisplayText&quot;:null}"/>
    <m:section xlName="_SEC_ea3636e32791444f819a80e31f1a98e9" title="本期发生的同一控制下企业合并" helpId="112001132"/>
    <m:section xlName="_SEC_edaaabff5d0c497e892b28e2eb8a8694" title="合并成本" repeatable="2" helpId="112001133">
      <m:virtualTuples>
        <m:virtualTuple id="986fe223-72fe-4432-9239-c0d0b7b4149b" tupleRef="clcid-pte:TongYiKongZhiXiaQiYeHeBingChengBenMingXi" extendDirection="2"/>
      </m:virtualTuples>
    </m:section>
    <m:section xlName="_SEC_3cd340c85c3541dcbc338d9d67d159e4" title="被合并方的资产、负债" repeatable="2" helpId="112001135" helpText="注：资产、负债项目可根据重要性原则分类汇总列示；单项不重大的企业合并可汇总列示。">
      <m:virtualTuples>
        <m:virtualTuple id="85eb503a-1b77-4cac-a1bf-b8abba4f2f6a" tupleRef="clcid-pte:BeiHeBingFangDeZiChanFuZhaiMingXi" extendDirection="2"/>
      </m:virtualTuples>
    </m:section>
    <m:section xlName="_SEC_f7d823a863ab4f79bee2af71216d2355" title="被合并方的资产、负债的说明" helpId="112001135"/>
    <m:section xlName="_SEC_612fd89e631e4e869313fae62c4eb055" title="反向购买" helpId="112001137" helpText="注：上市公司保留的资产、负债构成业务的，同时还应按照非同一控制下企业合并披露相关信息。"/>
    <m:section xlName="_SEC_2a4ee8d8c08040448e991803ec2047d5" title="处置子公司" helpId="112001139"/>
    <m:section xlName="_SEC_2dea1a083cd44a3498f7ec333a953a20" title="是否存在通过多次交易分步处置对子公司投资且在本期丧失控制权的" helpId="112001139"/>
    <m:section xlName="_SEC_f9b0cb7de2e542ab89fc93d4bad1a3a5" title="一揽子交易" helpText="注：分别说明前期和本期处置股权的时点、价款、比例及方式。"/>
    <m:section xlName="_SEC_f2bc2f265c9c43ad96db1ccb944034a0" title="非一揽子交易" helpId="112001139" helpText="注：分别说明前期和本期处置股权的时点、价款、比例及方式。"/>
    <m:section xlName="_SEC_06f741a2d2b342998a5d1499d841b2b1" title="其他原因的合并范围变动" helpId="112001141"/>
    <m:section xlName="_SEC_ca392f46fede4abc8729431a3728c4bb"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4c0599836d204e25b4d5d4f8434a2c4c"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4c0599836d204e25b4d5d4f8434a2c4c&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m:virtualTuples>
    </m:section>
    <m:item xlName="_GBC_2bff91875b7a49f3929c4613048756c1" concept="clcid-ci-ar:ShiFouShiYongZaiHeYingQiYeHuoLianYingQiYeZhongDeQuanYi" label="是否适用：在合营企业或联营企业中的权益" selectOptions="_buildInAppliance" controlType="CustomCheckbox" cRanges="{&quot;StartName&quot;:&quot;_GBC_2bff91875b7a49f3929c4613048756c1&quot;,&quot;EndName&quot;:&quot;_GBC_1f803def681a42ba91cdde709a067b3f&quot;,&quot;CType&quot;:1,&quot;DisplayText&quot;:null}"/>
    <m:section xlName="_GBC_49e4a749316a464e89485cda5774fc07" title="重要的合营企业或联营企业" rules="R2015_R11_031" helpId="112001149"/>
    <m:section xlName="_GBC_10d60417c84d41c1b3386073557d9d05" title="重要合营企业的主要财务信息" rules="R2015_R11_031" repeatable="2" helpId="112001150">
      <m:virtualTuples>
        <m:virtualTuple id="597dff05-272b-4d7d-ab87-8880769a1248" tupleRef="clcid-pte:ZhongYaoHeYingQiYeDeZhuYaoCaiWuXinXiMingXi" defaultRows="2" extendDirection="2" splitWidth="1"/>
      </m:virtualTuples>
    </m:section>
    <m:section xlName="_GBC_ac3eed998bbd4658ab651a88daefefb1" title="重要联营企业的主要财务信息" rules="R2015_R11_031" repeatable="2" helpId="112001150">
      <m:virtualTuples>
        <m:virtualTuple id="29d2d25d-d27c-4108-a9df-751f4154b0ff" tupleRef="clcid-pte:ZhongYaoLianYingQiYeDeZhuYaoCaiWuXinXiMingXi" defaultRows="2" extendDirection="2" splitWidth="1"/>
      </m:virtualTuples>
    </m:section>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SEC_c2e6f9f8026e4755b0d598a62dfd0d45" title=""/>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SEC_4da82436ee754a98b1f572e1fb4440db" title="其他关联方情况" rules="R2015_R11_032" helpId="112001167"/>
    <m:section xlName="_SEC_b6443abb06dd41c7944d441c27c48f7d" title="采购商品/接受劳务情况表" rules="R2015_R11_032"/>
    <m:section xlName="_SEC_0bdaba437cb6402f9ab2a655956dbb9b" title="出售商品/提供劳务情况" rules="R2015_R11_032" helpId="112001168"/>
    <m:section xlName="_SEC_2cd4d729a4f5443b98e8d2f79dcdd221" title="关联受托管理/承包及委托管理/出包情况" rules="R2015_R11_032" helpId="112001168" helpText="注：托管资产类型包括：股权托管、其他资产托管。"/>
    <m:section xlName="_SEC_5900c0566dab441987567990bccbe124" title="关联租赁情况" rules="R2015_R11_032" helpId="112001168"/>
    <m:section xlName="_SEC_efa05712c0bd499d89e4752caaaebdd6" title="关联担保情况" rules="R2015_R11_032" helpId="112001168"/>
    <m:section xlName="_SEC_e662f655e98144708ee022291e4d2c28" title="关联方资金拆借" rules="R2015_R11_032" helpId="112001168"/>
    <m:section xlName="_SEC_d9d6435f8ac54597b97d51dd0f61d03f" title="关联方资产转让、债务重组情况" rules="R2015_R11_032"/>
    <m:section xlName="_SEC_3b5cc9d011f04ea3b064e0de02da00f5" title="关键管理人员报酬" rules="R2015_R11_032" helpId="112001168"/>
    <m:section xlName="_SEC_3ee0d5867a8b45ac909e0cf39151d6d4" title="其他关联交易" rules="R2015_R11_032" convertSummaryRule="NoConvert" helpId="112001168"/>
    <m:section xlName="_SEC_7fd751377539429292ed4eb39a787549" title="上市公司应收关联方款项" rules="R2015_R11_032" convertSummaryRule="NoConvert" helpId="112001168" helpText="注：关联交易约定以净额结算的，应收关联方款项可以抵销后金额填列。"/>
    <m:section xlName="_SEC_84b9cc5f716e4a019a46df88b355093c" title="上市公司应付关联方款项" rules="R2015_R11_032" convertSummaryRule="NoConvert" helpId="112001168" helpText="注：关联交易约定以净额结算的，应付关联方款项可以抵销后金额填列。"/>
    <m:section xlName="_SEC_af8d9e9e43fe4f6c94313043ab032c00" title="关联方承诺" rules="R2015_R11_032" helpId="112001168"/>
    <m:section xlName="_SEC_a11f8a68634b4b4a8cc63a6200f2d79c"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568be9a6805040a8b9fbd5c5d07b45dd" concept="clcid-ci-ar:ShiFouShiYongZhongYaoChengNuoShiXiang" label="是否适用：重要承诺事项" selectOptions="_buildInAppliance" controlType="CustomCheckbox" cRanges="{&quot;StartName&quot;:&quot;_GBC_568be9a6805040a8b9fbd5c5d07b45dd&quot;,&quot;EndName&quot;:&quot;_SEC_5ebba82f117d48db8c37854cf072cc17&quot;,&quot;CType&quot;:1,&quot;DisplayText&quot;:null}"/>
    <m:section xlName="_SEC_5ebba82f117d48db8c37854cf072cc17" title="资产负债表日存在的重大承诺" helpId="112002263" helpText="注：与合营企业投资相关的未确认承诺索引至“附注九、在其他主体中的权益”部分相应内容。"/>
    <m:section xlName="_SEC_6da34404b73540309fc9634730ac0066" title="资产负债表日存在的或有事项" helpId="112002204" helpText="注：与合营企业或联营企业投资相关的或有负债索引至“附注九、在其他主体中的权益”部分相应内容。"/>
    <m:section xlName="_SEC_07f5db79000646bfa85b73f1179896b8" title="公司没有需要披露的或有事项，也应予以说明" helpId="112002206"/>
    <m:section xlName="_SEC_95ab34fb3b4a4254a4373a5a29c6b84d" title="承诺及或有事项的其他情况说明" helpId="112001166"/>
    <m:section xlName="_SEC_3654dcc239a241d4891042df05a6f256" title="重要的非调整事项" helpId="112001176"/>
    <m:section xlName="_SEC_a0182471338a435e9bfa33dc5b5d68ed" title="资产负债表日后利润分配情况说明" convertSummaryRule="NoConvert" helpId="112001177"/>
    <m:section xlName="_SEC_6346fe8809f74901abff74c752033e25" title="资产负债表日后事项-销售退回说明" helpId="112001178" helpText="注：说明在资产负债表日后发生重要销售退回的相关情况及对报表的影响。"/>
    <m:section xlName="_SEC_776c6ddc183543f7a3beb6d8a088d64e" title="其他资产负债表日后事项说明" helpId="112001166"/>
    <m:section xlName="_SEC_4c087918288648c6a9deb057067a9fc5" title="会计差错更正(追溯重述)" convertSummaryRule="ConvertDefinedText" convertText="无" helpId="112001180"/>
    <m:section xlName="_SEC_77642b56d283484890d54c9ec194b354" title="未来适用法本报告期是否发现采用未来适用法的前期会计差错：（..." helpId="112001180"/>
    <m:section xlName="_SEC_010853a024e74ff2955558ced7301626"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SEC_a959a47edc2446e5acfd29b49364046c"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SEC_1d69b9d18d514fd19619562c4673a46d" title="其他资产置换资产说明" helpId="112001183" helpText="注：说明重要资产置换、转让及出售的情况，包括资产账面价值、转让金额、对财务状况与经营成果的影响、转让原因等。"/>
    <m:section xlName="_SEC_e99af52cf73147c3943e3f4044942350" title="年金计划主要内容及重大变化" convertSummaryRule="NoConvert" helpId="112001185" helpText="注：说明年金计划的主要内容及重要变化。"/>
    <m:section xlName="_SEC_83c382ff9499445b86fea4e0e1e5715d" title="终止经营" convertSummaryRule="NoConvert" helpId="112001187"/>
    <m:section xlName="_SEC_dfc3b46bd4f54afdb4c7d8f4cdf9baf2" title="分部信息报告分部的确定依据与会计政策" rules="R2015_R11_033" helpId="112001188"/>
    <m:section xlName="_SEC_c88228a13efc40bf8facbaa3643e4cb3" title="报告分部的财务信息" rules="R2015_R11_033" helpId="112001188" helpText="注：报告分部的财务信息应结合公司具体情况披露，包括主营业务收入、主营业务成本等信息。"/>
    <m:section xlName="_SEC_3849a00c602340b897b4e927f6a3c0d9" title="公司无报告分部的，或者不能披露各报告分部的资产总额和负债总额的，应说明原因" rules="R2015_R11_033" helpId="112001188"/>
    <m:section xlName="_SEC_83dbb92e05854ff09d00691d7141ac0b" title="分部信息其他说明" rules="R2015_R11_033" helpId="112001188"/>
    <m:section xlName="_SEC_ba4247a6c1994dc98e0b1c339dfe0f23" title="其他重要事项说明" rules="" convertSummaryRule="NoConvert" helpId="112001190" helpText="注：说明其他对投资者决策有影响的重要交易和事项，包括具体情况、判断依据及相关会计处理。"/>
    <m:section xlName="_SEC_626a705e9bde404ab67dae61d8e62116" title="其他"/>
    <m:section xlName="_SEC_9c6dac1b3bd94073bae16a9f5e7fe960" title="按账龄披露" helpText="表中“期末账面余额”指的是包含单项计提和组合计提的期末账面余额。"/>
    <m:section xlName="_SEC_131d28c67a9247ee8559c47dff9a25ad" title="按坏账计提方法分类披露"/>
    <m:section xlName="_SEC_8c8d26b6244849bea9eb936271eeb8f9" title="按单项计提坏账准备"/>
    <m:placeholder xlName="_PLD_23aec57fe4b34ac2aa7d42cb52467101"/>
    <m:item xlName="_GBC_70ac43d24876403083fb1d281c12cd7e" concept="clcid-ci-ar:ShiFouShiYongMuGongSiYingShouZhangKuanAnZuHeJiTiHuaiZhangZhunBei" label="是否适用：母公司应收账款按组合计提坏账准备" selectOptions="_buildInAppliance" controlType="CustomCheckbox" cRanges="[{&quot;StartName&quot;:&quot;_GBC_70ac43d24876403083fb1d281c12cd7e&quot;,&quot;EndName&quot;:&quot;_SEC_8d0ccf9e1dd949dba37f2f7800d0070a&quot;,&quot;CType&quot;:1}]"/>
    <m:section xlName="_SEC_8d0ccf9e1dd949dba37f2f7800d0070a" title="按组合计提坏账准备" repeatable="1" tupleConcept="clcid-pte:AnZuHeJiTiHuaiZhangZhunBeiDeYingShouZhangKuanXiangXiMingXi"/>
    <m:section xlName="_SEC_204080107f654b539d9fcb8781629182" title="如按照一般预计信用损失模型计提坏账，请参照其他应收款的披露方式披露"/>
    <m:section xlName="_SEC_d03baee572c2484a8896573f749f99a5" title="应收账款坏账准备的情况"/>
    <m:section xlName="_GBC_4659654dc3bf4a4eba447daf2829f609" title="本期转回或收回情况" convertSummaryRule="NoConvert" helpId="112002207" helpText="注：说明转回或收回原因，确定原坏账准备计提比例的依据及其合理性。"/>
    <m:section xlName="_GBC_72fe1bcd09e2470f910107f1e159af49" title="本报告期实际核销的应收账款情况" convertSummaryRule="NoConvert" helpId="112002207"/>
    <m:section xlName="_SEC_93f8cf3ec4204ee79716a5cc7e9c978b"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axisValue occRef="母公司"/>
    </m:section>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74a857229cce4d58b9294f2d79542480" title="其他应收款分类列示">
      <m:axisValue occRef="母公司"/>
    </m:section>
    <m:section xlName="_SEC_1a3871c3656a46aa979e92498f91509a" title="其他应收款分类列示其他说明"/>
    <m:section xlName="_SEC_e39fae55cd97406480ebaf5b6cc99a7a" title="应收利息" convertSummaryRule="NoConvert" helpId="112001049"/>
    <m:section xlName="_SEC_0eba643091a6470aada89466b37489ac" title="逾期利息" convertSummaryRule="NoConvert" helpId="112001049">
      <m:axisValue occRef="母公司"/>
    </m:section>
    <m:section xlName="_SEC_db389788aeeb4531b9fed1397a2cd7fe" title="坏账准备的期初期末调节表"/>
    <m:section xlName="_SEC_420c39c62dbc49c58e111f47e5cba702" title="应收利息的说明" helpId="112001049"/>
    <m:section xlName="_SEC_97c2573729ab4e7fad4323aaa9228ada" title="应收股利" helpId="112001050"/>
    <m:section xlName="_SEC_dd6d08748fed41928b221e9407607582" title="重要的账龄超过1年的应收股利" convertSummaryRule="NoConvert" helpId="112001050"/>
    <m:section xlName="_SEC_1be97d9195ef4b7391f2b818d70c754f" title="坏账准备的期初期末调节表"/>
    <m:section xlName="_SEC_4b48a7a88233455db21eb1078781bdde" title="应收股利的说明" convertSummaryRule="NoConvert" helpId="112001050"/>
    <m:section xlName="_SEC_9f001837707a4e748573115d0229b591" title="按账龄披露" helpText="表里的这里的“期末账面余额”指的是包含单项计提和组合计提的期末账面余额。"/>
    <m:section xlName="_SEC_71c0adb787a04266be2102ec385a07d9" title="按款项性质分类情况" helpId="112002209"/>
    <m:section xlName="_SEC_fa119e5c9017431b9876ee9427039406" title="坏账准备的期初期末调节表"/>
    <m:section xlName="_SEC_fbab0742fc2c44e3ad68d85a2a28dba0" title="本期坏账准备计提金额以及评估金融工具的信用风险是否显著增加的采用依据"/>
    <m:section xlName="_SEC_f423d6eb34fc4ed68280e4e283cb023a" title="坏账准备的情况"/>
    <m:section xlName="_SEC_95497f8a3ba04097840502fb3e809791" title="本报告期实际核销的其他应收款情况" convertSummaryRule="NoConvert" helpId="112002209"/>
    <m:section xlName="_SEC_6f759e5be9a9426cadf575a65a7d3434" title="按欠款方归集的期末余额前五名的其他应收款情况" helpId="112002209"/>
    <m:section xlName="_SEC_c503ea1b9c7e4198b86f2abbf23b2ab9" title="按应收金额确认的政府补助" helpId="112002209" helpText="注：公司未能在预计时点收到预计金额的政府补助，应说明原因。"/>
    <m:section xlName="_SEC_7f211e4933374e0fb33af86ebc3ae729" title="因金融资产转移而终止确认的其他应收款" helpId="112002209" helpText="注：说明金融资产转移的方式、终止确认的其他应收款金额，及与终止确认相关的利得或损失。"/>
    <m:section xlName="_SEC_f556994e476e4a6caca86b06f3c7242b" title="转移其他应收款且继续涉入的，分项列示继续涉入形成的资产、负债..." helpId="112002209" helpText="注：说明金融资产转移的方式、分项列示继续涉入形成的资产、负债的金额。"/>
    <m:section xlName="_SEC_57c4dfafa9d0491a91f70b4527c847b3" title="其他应收款其他说明" helpId="112002209"/>
    <m:item xlName="_GBC_57a2f87498c64eab83308bdf3afc6268" concept="clcid-ci-ar:ShiFouShiYongMuGongSiChangQiGuQuanTouZi" label="是否适用：母公司长期股权投资" selectOptions="_buildInAppliance" controlType="CustomCheckbox" cRanges="{&quot;StartName&quot;:&quot;_GBC_57a2f87498c64eab83308bdf3afc6268&quot;,&quot;EndName&quot;:&quot;_SEC_fd3a826cdca04967a4205d04f587b774&quot;,&quot;CType&quot;:1,&quot;DisplayText&quot;:null}"/>
    <m:section xlName="_SEC_315fa330edb445329400b10ee17c89ff" title="长期股权投资按成本法核算" helpId="112002211"/>
    <m:section xlName="_SEC_f8a5b8b7954e47eb81f4b0c9ee167266" title="对子公司投资" helpId="112002211"/>
    <m:section xlName="_SEC_4a653049f75d481585b4f9d9da6a8d0e" title="对联营、合营企业投资" helpId="112002211"/>
    <m:section xlName="_SEC_fd3a826cdca04967a4205d04f587b774" title="长期股权投资的说明" helpId="112002211"/>
    <m:section xlName="_SEC_167f1b451fcb4d4d88898ec4d506ea2d" title="营业收入" helpId="112001233"/>
    <m:section xlName="_SEC_a0a33d96e9f9469a9966c7cb475fdfc4" title="合同产生的收入的情况" tagAction="1">
      <m:virtualTuples>
        <m:virtualTuple id="c00faedc-b21b-4096-b766-861489d6619f" tupleRef="clcid-pte:HeTongChanShengDeShouRuFenBuMingXi" extendDirection="2"/>
      </m:virtualTuples>
    </m:section>
    <m:section xlName="_SEC_52d2e3e0b9aa4fa7a4925852d3c67b9d" title="履约义务的说明"/>
    <m:section xlName="_SEC_b803be9d61b44303b6da1e3330ef906c" title="分摊至剩余履约义务的说明"/>
    <m:section xlName="_SEC_7467cf4c7aa441d78594101b88f0996b" title="营业收入和营业成本其他说明"/>
    <m:section xlName="_SEC_0ba2a4db50ed47afbd78e67c0a069c58" title=""/>
    <m:section xlName="_SEC_f254d1d0764b4d7ab6b701d7ac057625" title="母公司会计报表附注的其他说明事项"/>
    <m:section xlName="_GBC_08eb8d7076584daebd23121ab43f25e0" title="当期非经常性损益明细" helpId="112001192" helpText="1.各非经常性损益项目按税前金额列示。\n2.非经常性损益项目中的损失类应以负数填写。\n3.自定义科目全部填入“其他符合非经常性损益定义的损益项目”，并在该项目附注中说明具体情况。"/>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256af937a96e4869ba07cb19341957bb" concept="clcid-ci-ar:ShiFouShiYongJingNeiWaiHuiJiZhunZeXiaHuiJiShuJuChaYi" label="是否适用：境内外会计准则下会计数据差异" selectOptions="_buildInAppliance" controlType="CustomCheckbox" cRanges="{&quot;StartName&quot;:&quot;_GBC_256af937a96e4869ba07cb19341957bb&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ee292353ab9b4a589b48f1e0cbc5adcd" title="落款" convertSummaryRule="NoConvert" helpId="110002018"/>
    <m:section xlName="_GBC_e51b54728b2e4e53b95b0611d0df9b06" title="修订信息 " convertSummaryRule="NoConvert"/>
  </m:document>
  <m:conditions>
    <m:precondition id="CON_2e20f21b73314e2d921b2888af32a08c" desc="营业收入_上期数大于0" test=" $_GBC_5ebde18133164216a6c99035161c7140 &gt;  0 "/>
    <m:precondition id="CON_d8de86f81b2140de8a37d918b4747e08" desc="扣后净利润_上期数大于0" test=" $_GBC_a89db29d79504811b2a5d1ef6d713485 &gt;  0 "/>
    <m:precondition id="CON_116b71a5b5c94e03ab2e8693ea4df5f9" desc="资产上年末数大于0" test=" $_GBC_b23fbc7fb51948cd8997e5c561f41d20 &gt;  0 "/>
    <m:precondition id="CON_692ddb8eaf594c948980380dc70a48a6" desc="经营现金流量_上期数大于0" test=" $_GBC_3580c100c5e64054bce341c2c408ce6a &gt;  0 "/>
    <m:precondition id="CON_2a36030ab2224155b4f4c0375142b398" desc="股东权益上年末数大于0" test=" $_GBC_372089a3972948e186a3237b13934229 &gt;  0 "/>
    <m:precondition id="CON_a9e4321bc9954f11bdcb3a640bfd2c9f" desc="基本每股收益上期数大于0" test=" $_GBC_1f907667c5644352a16b5b1868d2e674 &gt;  0 "/>
    <m:precondition id="CON_95d2bc8632d64a819dc00dae39c4540e" desc="归属净利润大于0" test=" $_GBC_6d6bf686bd404031a3159ad1561b60a6 &gt;  0 "/>
    <m:precondition id="CON_ce9c1ad9ebcb45c1ba72b28a708ac184" desc="稀释每股收益上期数大于0" test=" $_GBC_c9b84c4b16fa4acab5831271e1136d40 &gt;  0 "/>
    <m:precondition id="CON_39de6ccf65bc4b22aa001ade02ffff26" desc="扣后基本每股收益上期数大于0" test=" $_GBC_a375080d2f814b808c4e26cab0bcd442 &gt;  0 "/>
    <m:precondition id="CON_bcdec2cb4c2a49c89b62f64fa59a7a6a" desc="营业成本_上期数大于0" test=" $_GBC_8889b0339e48412e9c5caa7cac6a7c8d &gt;  0 "/>
    <m:precondition id="CON_0aa117885d584b7b9eec886b467ba4a9" desc="销售费用_上期数大于0" test=" $_GBC_1027bfb7f8fa4d3f83a3f6c77aa8ea45 &gt;  0 "/>
    <m:precondition id="CON_48ee4b96fc444226974949ece23f844f" desc="管理费用_上期数大于0" test=" $_GBC_6bb9dd37bafb4a7bba0663a6049602a0 &gt;  0 "/>
    <m:precondition id="CON_e800b638c60e4a66bf667806dd24162e" desc="财务费用_上期数大于0" test=" $_GBC_ab4b66cfb86d481e8c18e63ea8cbccbd &gt;  0 "/>
    <m:precondition id="CON_42612fb938f64b5dac5c858145ca3483" desc="研发费用_上期数大于0" test=" $_GBC_61fe90da71ee49908941ceff6ddab552 &gt;  0 "/>
    <m:precondition id="CON_178b006a7dbe46129993608793e9b3a5" desc="投资现金流量_上期数大于0" test=" $_GBC_94bb913302ea4174b792aece8f634a4c &gt;  0 "/>
    <m:precondition id="CON_f2f01ac6634846e69744977733797dd8" desc="筹资现金流量_上期数大于0" test=" $_GBC_125a8270b6ca4f25a7036ff5bb863317 &gt;  0 "/>
  </m:conditions>
</m:mapping>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柳州两面针股份有限公司</clcid-cgi:GongSiFaDingZhongWenMingCheng>
  <clcid-mr:GongSiFuZeRenXingMing xmlns:clcid-mr="clcid-mr">林钻煌 </clcid-mr:GongSiFuZeRenXingMing>
  <clcid-mr:ZhuGuanKuaiJiGongZuoFuZeRenXingMing xmlns:clcid-mr="clcid-mr">王为民</clcid-mr:ZhuGuanKuaiJiGongZuoFuZeRenXingMing>
  <clcid-mr:KuaiJiJiGouFuZeRenXingMing xmlns:clcid-mr="clcid-mr">游发禄 
</clcid-mr:KuaiJiJiGouFuZeRenXingMing>
  <clcid-cgi:GongSiFaDingDaiBiaoRen xmlns:clcid-cgi="clcid-cgi">林钻煌</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-41,526.84</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3,491,364.67</clcid-pte:FeiJingChangXingSunYiZhongGeZhongXingShiDeZhengFuBuTie>
  <clcid-pte:FeiJingChangXingSunYiZhongGeZhongXingShiDeZhengFuBuTieShuoMing xmlns:clcid-pte="clcid-pte"/>
  <clcid-pte:JiRuDangQiSunYiDeDuiFeiJinRongQiYeShouQuDeZiJinZhanYongFeiFeiJingChangXingSunYiXiangMu xmlns:clcid-pte="clcid-pte">24,131,752.04</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-2,328,559.44</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230,920.52</clcid-pte:FeiJingChangXingSunYiXiangMuZhongShaoShuGuDongQuanYiYingXiangE>
  <clcid-pte:FeiJingChangXingSunYiXiangMuZhongShaoShuGuDongQuanYiYingXiangEShuoMing xmlns:clcid-pte="clcid-pte"/>
  <clcid-pte:FeiJingChangXingSunYiDeKouChuXiangMuDuiSuoDeShuiDeYingXiang xmlns:clcid-pte="clcid-pte">-6,439,531.21</clcid-pte:FeiJingChangXingSunYiDeKouChuXiangMuDuiSuoDeShuiDeYingXiang>
  <clcid-pte:FeiJingChangXingSunYiDeKouChuXiangMuDuiSuoDeShuiDeYingXiangShuoMing xmlns:clcid-pte="clcid-pte"/>
  <clcid-pte:KouChuDeFeiJingChangXingSunYiHeJi xmlns:clcid-pte="clcid-pte">6,958,414.27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-24,503,226.85</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8q16gPFi14D99jMJQ/r5SWcmngtZeRPMlTipx05k9lPJBvWWhBzs2iPdcS6Ts4k+h+Cxk01VG3WR3K+Oz72L+nrEl4hV6Hj49fglirgkAGVFRAERyOBt+FsLHVSV2jKHchgNFa4+I/13cl5zqTW1xMhqFS3y1FqHdWuhpXkrTJw4SMJnld8NdDpilQfNQozmPcYx5KM8EdqJTCqThRUJjjikeHjdWPFfRDsOLVSmuK1I9n9uWV1zu3MmQYyM5Fqlu3y/6VLOR4QxopVlN4UdZBd0qn73S+pMEiaXFygQyJHS+hfeeKCwmky29vR58gH0H4MBEprno9d6ivlcBB/lc7prJ/J+deMDqxNwCla3kyM/EGSJc0EG1WheFZr+xqgihCyOdmA3rHucH0tj3yCpQjsf8sQ1IyzCM2vlLaTZJHHvHjvtIm1f5V4T2nOxYd6K/xRnpR8XtDir5kwNQV7MCWefJBE0OrlwqKvVcNn8b/X6N6BgeUUMK5gGabp4AU8BUTKmte3TPKEiG5H+G+Agzvt3iSU3lqvNoCgeIVJjFy1yMdedKZOyMx7Xd4dkAzf02YlCSiTdLCayaDKnOGF0Rycgp9ILI7SVkvG6G60zROTiF9GyGwo/hiunU3Y7w23Ku5HIg2P30wg+P+BdjCwltEdwy9T0FUzu01laZLgvyurXyKejhY/JUWGxNsicZmH5XrAMLvlgp0veCmUsvFVBoMYG4Ojwqg3XX8PkSsswwkAyEtpXn9HmqKyLpoxVoxvLfYX69BOIxTjmxzhmKc6HpHavRkIrGbua29X+buQIGHsRAOcq7oV+vPkcaY5VY0mvfsTC3HbDwM4GOzGOV1mUPYoRZZdTJSRqihhb8W7Fvlm+mvy6M2u2wgIEonxXEBYs5PoU8jnageeWkY08wgykifHG1l/K5toB7fPBn8JeRjO4eWADWg7mSGJCqSP9kw2iJX29F2QlYzfjZRP1XIullmC+7jnAKGioL+hhZL6dHW3kGDnptmuETq49VF4cKdqtMNGt1RYfwjimqJZ5D8hfzuJQRkR/TAOMQuyNnDxgP2YOR554WRZkg3qAQwf/+OBFNzuHomRKPM3jZP79a1sDrig8Z3m8VA+VeayqIWmWsDbzL+IfNFJzJJSeQlhLsQVz6rFeJ+6LYS4UhTzGBQPsJxy+F7uwkG4TJxZwI5TZX6memOWXr9hRBt1JlP7wio/zr6SiTTLlsiO29vc2xcrw4vhrI3tJ1vyh/IL8XjN3yHs2HIHAl3DvB5oMakrdFEhsCcgoh3dY7BUeLNO2RlJXPmyveXqIu1gwrOSww++up4N0837Uob+Dhjm9UFf3qHCFVwDtxAjmuV+QLezeVaoqDrhirAlKEI4qNI+9NDmcgLbhyGS3g6VPwE1Qw/dO1MDdpvqMUMgyaYfhbVHq1YeGuLhoNMuwrQxcf6wTwHoR9AVuntFSimkQvGNt/8a8f/X0W26r9Nip6nQKTFK/8ol9nwN3fhmzQ++s2MZ0qIxUQwbTF0VGoz5RC7HBW3LhD8gBS5XIpaNTc18HRdLxA8oS4+jFGVk3iBSc4B/NJu9ZeGGduqHAs9lnteVJi1G8WavNjt+y1krc84TmQM/AltPCBMjT7hx7ydnC3Kyb4slhQC3atIj2bYUvnoMFrFSC74AkNjjevNFOVx8JZ53VQwRtrKHKSQzcJdL0YzEhpPYcWz3v6fmkO9wAAtOg38A/+vEwnzPKEpfX5Kf5j/P2I9xGWqlGSEN4XfPf2lNXWpnvTur/7OAUAj91PY13PHOlBXiV8O1ST8wuvKdNeCP1dLY6Q/XqT2jfXqqMTefACxv6zlC715IFvVIUX+qEZYtouQRS6nrj0yhBpQEbZMB9pUImIjH3m31PsMO41WEEdNOuwa4brYPjenoa/fVezaPwmD7a0kgbkbbJSO1csspJuAGCn0IhfcFsuLXsbD+z9sGHVRoWwVx/R6FlAKccjylmdmMIV6mESZvqi0W5SRGjizog/TWvaWARWEGtVFQrUoYgYrsc91QbS2Wiw9jdpuKfOn/EcUJ7Wy391jtjWOe9o0QpfjIfeDyRKdbznp2twJnOMV9Q+WqNh8zijYLwhB3TcLNvs/fWjgHlu+R7zFMptmfXQ50kHjZggTWS1mjz/J4kRt4i0y+bZ1WZw3Nia3VZVuARyfYaHSKEsBdXtoI1mAHaAK0DskPqVmWooT6JNg9h0ac0iVUna+hkx11gNaTiM+fBsKciF/V0vWc1bMKMBSpFHvuMYbQzWvFfi2e7EyHh0XRxTml/AV94KD7MMWkZK1/n27uB21jEhKHeXCHCZp1i7scLura+Lf49CGepSuyAaq6vr0Llxwp9OxDp+SbujDG1QDc9s7z74e5YgE2D7H1dR785UA0DznKFY/BMqD7DRHTbmG2rjr8D1gFjdR+MGpdRvq399QvKTJroIVv8V4BSbl+hMyleFHofnz1WGFia7rCdEqSQZGJMIqDmSER67EgNNO+JbktFybHxKpWpA9hBu/jCqILqStBfAA8Yav6DrtAnK78quHD43zIo8bGnTsdzy5sMDHnhZ71r3EOj3+z+QonEZZaWOwG7sVsp4KWfI4CdpR1YKhE/fuwOQaBbzw66jNu2aIGqLEwiBIbgU1hGmcF3XumiH1IVdKgtEaVa/Ewv87cwPMD2yr7J1KciLcRbTNnLRoFJWJxQq96tRaNqAplC8/ezF4c4HBcm8reOO3L2JsBPhuKdgtgQLxuw/NDPIFagZyIcC9APxh825NhQrWwMqLDpS/ujSL+V/S+4+Ywp/7MNkwGxGGIDAhfXPBjJKsj7Op5NDZ1BX/8dA5uvxAHXVp8yguJ+RFosmSylBUxGPrUtLBKc3zxiUTQANBXxnMGkXU0p73jvPfACzaEiHnH1OhETQnTpbCvjNJ3kyNzvILO619H3D296ljpzVEAgit/K9H4/yhukkWHOPnPFwbuv/8jpIIylvLsjlEl6O3Z9Szi+CE2DK9xcetWfhxGQysiCRfHF1Q1SIOFFK6dUJ3QNXYPIdTU/ZhsMr/Ghf7ohkEjOLWZZ3pUQQ9RNA2KsdtHQtenqa6RIXEZl6QRsay7XWES9qwLrSfqscAZj3SCjCmwznzU6LCAoEfo2s2A3kt12rSFvo0/LPrJlHGWBzwlvRet6HWlH6OUGv85yT/Kt/OgyalggaobQCGoxqO3fPBt/efIoIvCJgelWjUGp/32Ovqz23NOuUMX+HlA6oo7CzL1d16U+mZfcnJ2fxjTHbIAnxxNAhcLq8/FSJXxDAzEWZFMQyw8+XfCahTXQVcVAN0fPT4jUMQY7zRDuFAJSXOvN6cXpTiT3EHFDlQA+jP4upV4hu5puhU+3bxFptQbeqeHDmA77ONmF484hPBxIYZyqu1HHC0VJY5x/poH4In75WWIW8apw8dv1CmnnTIgz3aCycSRRl66sVTtm6zwMkP0pSQ1Wh9fwTt2ziLwHaLNZQeyb6lNhkIJf3PSjetBwKldqTvK9nsxixDH/WwGX5cabji5qHWQY/F+LQ+IEWVmXzoNeqAVA/Lq5M1y5/Uw3pV3167X3jHFKpZp2ohviH5uai7yvMISqQ2TcptEz4mSeeON/W4wQE1hKJPYwfZ2iFojYgMR2Nu/zycGixsGH4xk14rg+ATv51HxIDvVIXcPmhKluUm4eyqxZUaUf9dv0LLn7Qt+Yh8snP4iYhjqL7IZQvCLpm7YUQFek7kzgU5Uc9+PmWyllnFVQn/ymGpmw14hWf9CjbJoxLUnL/MYgBzzgW/b+9pw55043tfW5Guxf30gGp3whdXTCI5GYSAwztO3kHFH0BkTwaJkPJHDTE936M8lCLfbqsounrwq8MCymL2WM1Mvi7kGvuYVBwkG0W8/92rNp76bG6kQyma1LFTe2vIygIj7zu+UlPSpIV1o+7t9ByoQMwqSTxLOVquHpdlmvnJNePCd/L9XaBt4UsaNaB7OkmKSGe1WEga9gctj+jZW/GoPXeEv1k6BF/9ACjv+KMyjuKh51Foafh6BmrVqBdLHw2JuUoD4WeiJvF6KORS13X4gdE/Ldr1M+3UfUXGHXJn7fnUu6Tpr4vHbO2m46IUHq+VVXR98jfFdts5/13DHHewwnk+GEcFtabynpJaorPgwjpS5Zk5KDgWyV8yyPNmzQTKAlv9cCocRTJQg0NBNoBuTAgbDDoSYjZcvsPJJ0UDWf6DVEMdJqc7dSCxxUkqeK7dcdNbkE/TKGmqDgRylLapjhn/qB3dE9kJ3fxMnnj+P0yyiv99bEa5fFzGsiwar5UoasktxzgrBS1yLrNSl4hiJ5GHqKvWZ5E4Nc3aKnYqcowu74hyPVl+Ub22zSZKZxDSNjv+QafacZXLXjsu3DyrjiEmRH+pEj2Ldi5KWz0apPQMQCANETsG5Cp7bG72bIK+Za7MPD/JB/wmHZC3+1fjQG/Md5fOtBNKG1AjetGE2uKhNrzwJ50zPjW5l0kMilr6m+cJRdc9FA0ojfQMeoXLyiOn08oMzFXmRbZjKmRXqgbg5nE0u36f1dszNfdhIDrqZrD8hlvIdoJWXEEbyJ+REBJdX0O2sehd65gswCoaSGEPzspvZ6LNjYziDTqDkUlTCWCLEMXmsP4Lakr6A/z2ideD+if573M1erb0E5k/uTSiHHcFSrI/j5LUNW32zOb5afyK7T3dML9MmMAFRfUk8SiYIHFTuPDP1ZQPNS8wZj7ZfG9Hh8dHJLPtXKlq2UoHFqwGd1HlW1IeYO8uK/vqWseYIgNCy3HKy4dZIIUK/en16VxG/J9p2DKtDpvoPal4GAdnXAG17xoUYzeX5qay7V5Chr+xr4eY5w3AdvXkr6CjO2tnQb+G2dyDPX7xb5g1RivnG9xOOXbTJ+Kja0qW6Q58FoTy/CK9eqV1JtyENBBCbqmNn9o3gvsma2oGhKSFX2DAoKBY8NSCty/hTPT0fSpU9lv7Pf4g0A8Mn9Qrr/OMW/RCXNSYjMsaY+CqbdqKcHlQkknHeu8dGS5Cmlw/Teq6sfQsBXQ379PyIN5pHbhPTMOdjSq743fJbk2IIeFiYnhWzKLLCroH4GAEwQKD6YorScloRIlDvbmr7pDyzKf7MOIVW7uhnr/4Cy/kRSy14TIhhfJwfC27YKeNeA5hEEWkMNSfP8DzfIMxDFIrqEAu6FqkZ30XGXHTvM0wKWsLpaK/aQpIy6yz4RuOVxYJewqBxnitpvykXOqN9EuQkYLcUXsN/bfyhzw5MKgTHyqixFPzCt7d4H8Tx76JG3VbC5vXiyGhCFBYibgmDTIaE9+8IlED1/Ico1hwRAyWV9WktNfO2YxN+yYTqz4Kl4ja49lkTZM/CeFABHlTqOJaL7bvbAq7WJxkxXl/BTflkVOZRnzbZD9TojxllFGlSs+tyAmsGJayyEINpBB1ZjiJ8VyjrEg8Ug0WleAX0agFh33W/JBQWjhoXRHYTL5DIVtZr1u8YoaIVeRpAZ8FF3sQloyrxMrDuA7ooP5iuewtEpyK6FYnlj4SmWQPhnzK38ziTQ25KrJS61mby9LzdWLPtmE/eg1Bud3tJsGp0oioj6XKo/h9q7t9guVnGDqdIGaL/KstxgjpcX0tC9nkSh+XCfxlfx2FzDdAuIpEazM5OI25YwaRD9k0isZSTPY1pTiYxy4Gs1DPZPgkPYugIARUo+/pwZ+U2Lc9HHrc/X8Ir+4855qgLqreRnl645hnxkfBG6uDRqoD3NFst794TNahbZSggI8p+yn5hOFJ/Yhi9mCrIi3VenTu5IAOZ5wUAQWMXZ8u3eyL73S3Lchqc9T4gwapodFdktTlbyc3iCF/cTrLpAQYkBJ/xtAvH0RWD0qevTWiYNv08fSsGY/VYQO3OJ5fQMkVUGsZO4imx7pcXSqZAfNK17Wd2zFhB5GPcilA8cKEPGDFHRGN+oVit9fzVnfNBaSaVavU8IpSbweJ34ojDiVdb9X55PT7m0tSx9CdOJ1fKk4GQplqKRmfWDX6YoHghmrCHZ4zZpvW+f/hQciZ25dkxQU+/xpgBVXA9ujCs5aLgSdYWo6ZHHvrLILbPuFo+PzhcW/8PoHpbwtT3T0v5XaFhCZmRqH3UNEBq0YjCFMx/8TCoDJAJoo8JHTVKDQ+yG3jQalFLyYaG1Ix+8ZiAJptLuIzUio4xh19LuPlR7xKr+BXo5u10bIvljEVTCFSqI4SohtZqys/wEwBtwPqzZ6k+rBDR9d2Pcg7QkJCyC/c93j2SPeBoyA1Xj70GU2XFg3NM6+jupF6kQu9Eb3z+/ZEa0xg3bofLKKClSjcT0bzxVmlpArPmKstmYbjMVHoFILilvwkH2tDQ5Tc7hXmiD1y3xEAjUAJ5C8KCnoSR4SrSxJ8xpqoy385SmATXJl/3WaJxUmzW5dDcAhluOC2txcfuUpPyTzMDK6g64mKHXfZLZEaekEQPWC7s2tU0mZmsvNpEBKH3f1QsU8x0XKip49OBIQpebM+cgdH/sg6sXwuMllbYrOd0v2c5217s5Xg2dk/TTyTsyt7YinIuFbZ3eTZdpKqkIWT01FUBawDLgU2miNnRCKxcsFU1x1nei9LbANYM1lxJExWeGOPj9ZyHC0FMElFW4L2igTYlrW7dRE6kLdNVExbrj1EHot6lx8bjoEnitTrxG6L6+YOLvprAjhYuRiSRzsiGKHYROcRHVSSbXsWwWmu6wD54+AQqydEzQvD+cFherQ2N+3/KtEkQsmOEdoYzp4i1XrP+U7mneZVjHQ4fQ9n9PSmUsy62yRfwzs8Kfqe2u2AQG8KvCo7Auj/GdigHhsO2JRs23VZGEfcSZ4JgHbI7KLQyrrzt8KpVWjb9Q0jFD5dD3MOEDn9caMDiYLaBvMEJbnHkkIBmt5sPLlvnomxBtmVrRxsN3IjXzv+RlD2zdxr1G/5g2gvIn+YRhS2tQtpVWheVxSx0kLaSyveJBEh77SUWyZOZ6gfSS0ZKm0ia5TK8//Y5Mlq3QEt9S2Sf8zFW/myyZwinfBBDjswsQTll4LN8r3EEgT6ms1z/eW4bYUnKIJoUqvkDOvJuYVlBqbnv85ctXW8TNaWTKGNzF3yFzAEVUFl8OrvLtXx8AJcre7v6NXLwKIp6D6SdJzV9YeLtg3Hd5Leu1thrSLw8i3fRkKTm1yNuDj7ayrhsKz8+5kd0vlmASpKZdpY0lkAhMXDv86388Bmogc5b2QYn4uoVoTbbW7jilBZ7Q15+MJzDJhjabjIqvRfy2mL9X0KRuqTu6Jn/siot8QX1/rWgCKRhfkeXYTshueiYoxt8unxCbhUSJmC2FbfFq9s0aFdFvWpej+6p9aJswvVnQR2CCfHtSrCVKtugnZDvRJNFlIyghCLElaj9ivkFun6LkPjJVK5vFmoQ1waBdlxtCWjKcwsmb7kYudfPuf4mfoOd00StG7PKyNj1v0t1pFfEQZGFpKqCKL1J7r3wfiNXtOyiB/HYqLl0ht7RaeCH0igpwK+Ptzfs0v7qjDn9nCkDxeSfmHxhBkgocA05+m81FCQLHIPs5F45W+E4EBIgqbtDH2KwpVadvZQyPaDNJtZr0B9RwxhAorCNNuA3Wl1zM5+Klpnau+kQA6VQBQ+LLhrmX60K3gLdudNpOSz7ymhM+k/11AGxBR+J3n4cFksTvZNR2TGK6RUPCiQV/nqz0fBZFRv6t5k2hIW1OsVwvd7loEc4A0hvI9r3V6PPuunDeC8T6ZMjDprWl6p6HWfz/xQd23xI9IGi89CK/sTpSP2LhcZ35X5+Msh5BwzjzPQVKzPSXPPOZsVMppYk+6ahN/7cEJUuil9gZHt1b9mz/gK02PseS4Dllbt5q7homoEXEpvi+5nbcD7unoCHAwOe1qhSqm0pltkaZg1O5rLZjk+0gKOu6JVSobG+x4ByfCML0ezwhmmC3jSf+87jwJbb3YQ6mpB2Kx1PiwyUDi4ASkOiiA2735sXpqMb+8dFQiU4gNH5kn//OVp1FkgEW0p/EFrxp6Gfgo2tyyBG/+2XlHYctR532fQhrn02JK2U0mS82WbjDngUqe07oC/7ujrRKBhuMstczaounP9goNUkDzY+B8z/1+TMP1qmlMZLH67bNNBUXhKxmqOjoF478qlloipGXnFEJzIe1ixBk2s1fvoGe7nqdlkBvPHVP+WxBoVW4FrAiyGb8C3ibSJUDQehdJ8kYsDJbw4nFz8vkB5nGcYMMqNbwfF/ndIdZBMyKccXdKs42Tw84heM6gEVNQ6I3TQXeSeMj0Aix5qV+RHmTLEx2h+bf80zCYSbk1C50Qanspyor/YYwSqbb1s3EsvsDwrD/9vzbyIWumObLvTeeNkqkbGUMasd1JsFRl91JcaH4B9JcBps3OqYL5KbiWNSF+EjcaS+vFZihoeJvN6v1S+o9iTKuM0UkETUvToqiECWOdH4tFC/p+NGDLbmRV/SzqrkdBZsqvBFDZ+67xw3Rfrci4wI1UBCtvHv6rEDAzrxA2lP4xNMcPuji24raNn9lvybG3tHaeYkCmERltL2Ry94EHtmnqS1xf0Aq/yHVfSZBJUtu+ygz8r2Kyiu/SgEgl0htnfO1q0aI+bFfGrNQ3PrStbEKkwdLjwZ7+e2hPrl4uwu2MdrB8CqVeEb3QNhUseMCy7uxkIPtq7PQgdU5iiT0BC7oWw4FAPjbYlyeA7ZJzg8Mzt6LS5AihUtz02s8xivgzqiZnkHRMcpzbDJbVC6Zwz2N3w0N9ezW9FbKuJNu8X/oDGbreA09JDfjT7d7tiTXbbdRDaoT0N3G/UDTdmoBLTox6UeM6tVc6NFVbWV/5z945xNktotc4qFPapX8oO5k/jwk79+Md2cDtPvSNBaO179YC+h0lWjYHI4Kjr0HqTda++0E2EXsra+a+kYbxKy2ediziUnvt8TAo7A5tkdaeNleLx5GPAINI00ZUwPrW8TwYK3apW+DqkJ0ztE4Jgtc75OfgBfHlqmhEGJMgZuyumQD+2ngDihfLT7nFD7RzfoGzRshZqOfJocGTo3Tnpmj6cAS/PVduETpMDYj2mcFvgb0vJRipvEHKOQCYT/dPiMZ2H0b3dTJSDWg62dphuNIngy9x0kdeITK/61etOjVJ9sW/5G/mXmRW78h8al+2dA2AICuDrT9o1dqDR82E1gyC3km2/IXcZmQIFHuqz8zMBus7EYl44Wult8hTp4x/1lBEkRg3a3gyLTfKvrcS1sh7/NThrRGwOl0jnul64oq4dg4I0AO3P4jMh5Un5ezkDNGjCPF/ne/lYM1wyngM+i1QKTAHfTZWdeKyIhwjnxZYZQGF/ZP+6FF+mzmLqJ+UDA8F4DTbaUYy6uke6/IhG27wRlf5I/cVbntjSNRO24TYuLPkPS8TI10E1GB7DJWJvjgQyJnKd02qROSy6u71akSXDV8hBAa5SEZ+a+8KFzv09XNaWi9hp7sORG1BJZNJr3hoMSh5lBtchtyuak9XaSIcYcDWxkLbHr89Ivo3MAzZk6BcZ28F/kufpfNX/GSRnJJuC9+bGDhIsQ8co2qhtOK8dkTmGUAscHa1oaCojr7SE+MdkAFLxuXFq+6TPsMGNXJ6Ew2lyAEQguFgdz9U+v4fwAC9EJe3l1O7nmkBNFoz0pi+nVxoGuNj8IOHttAoDh7u9mQbR85cBzrXtWt2qbXwXxmgk6suuqUcXiKT052fKQ5Y7ffm148uYlnu95lSTGn/5SqjZOQfOB+aquG7/GEpRSOTEE+l4GphzQwwVoAjokW2xgscvOk2UvhsHcY/cWjcjZ3X0xwdSzMAnTdAfvAuP2zTCc02Gk8ky8ck4rdZ3J7SaCK9VeElKrJlsuzeQbqAhDVWKpDyq/ypkqE2ixU7D3JjftEIG28vgvjbVI3pg0dJdWXaYH8JvYiC3y1golgWTxKlaVxretx8Uv60mnc2gz+E43R4qbBzDETqQGcD87T05wztSpbepKqOZHchRmCAQ/BXWwYtRWcI7jjwnv1etWWz5SaSo8zHX46xx6q9I5sKYhjugLdBWnXwC4lPxB64tJkYW+HikcsiTzIo2RMRvcicYpBakGmW8qMRyANDxjmmPjkLgBwLgyusUzUGZZDfm/5qo8LhYdrtKqPqGSgYg4DMzjQhlDU0mJB3iXWBgnxWZKBiehDT1fCCCVuZ4BWSGKtcvub6T4iHhk4NOcMFJJga5fIb2rEjlmXhmGuuDSgKtvXAHyp/iz0xh5Bc/lgfXCSstc4Islzdz7W4qHvViH74Tzl0rIp+oGv35e8/cw4MLbJFBDnVhJIPE+Q5sTy6QsW+ZaETGN0sUArcnyhh+mxK7TbHzu7CRWhC7D+vsSWZiUgjzLDo/V9tdHJ6ywZt4WILv0UJr8Q7XusJDaohTS2do96oRnL70+h+FwSNnaLxg55b+L+jDjhUrhGWO9vYZnxAplKXh/lYP1GAN9teogIYkabFCRSsaPCZlDc0KKztvBaa4PmDphAprLCcxOIH1DKlLbX6CZCtJnA3FwwsAeKxBBG+EckZtHLR99r/KEnIXLtJ1L3/Xws9RKMTiFGORCTpAxLLNRXuJkIqv8gADsoQe/czcZoA0S1bOslXR7As4me5JrTtZy2pPgWVuuh8gFF/JKcuMv+e7cTgayu6TB+XsdMc9y1z5EHPo0XmHQVtUUW/DpppODEF8jncsxZ8n4Wsr9fbXd+utVmV5ML5SBwjiCEjV4wrYCa5PXFTyNssQd5UbAcUt+Oqbt66+CqkQSFJBfMCRQqj2ftnO3hmNBRk4LhqBH7GZnvLHn83FyM8cqb7oMlCT8Ira49UqCpWBhfKS2SKeaSfDo+pM72ZMPxFYgGYVechkWwr/7W7/57y7f/02UV4sfDkSjRADps0fODR1gf2ywpcG3gmRPxhSDGsxpeI7CcjEBbUmMBggkDA07UIdxnmaNZ1HPgIMABDAqx1LkUckYUTllU+bweZ1imKrhWtkQ8fXRisyYigLqRJMA/Jf4C9dJuYs+f2Ib6643ZI4z7vscm3zQ4n0vm/iLrUbhZCNbomgOeUMFmrLx1lHC+04zEI6WZUSGhsaPmieR1QWkZHlB8b2svIJYJP9+2DMU6bOvS8vBY1OZpECFE0yd0kBQ1c+wfKo97GaVG6Usv86bHf83VcJFH45WvTpDXBRkFtMLW64h4KNJfELDm3ev2/v0yjqSVNVUtbDYgEvX3dgzZQEHY7yC/x1IRRUvtwadYohs2NCY9/i1j/7yh2aUvyI0cSDzodN5bI8UiL/y8wHhZr4KSDo24FdpC2Q4vh+5MpEXM56S7PkvJCshiPa1qdhtaTAIMjU9rs7EtRfp96m7xMthWyqW2hEW5vUl93l4zTEOpM4FKhODWyMcRxoW59mkVGuSjZ9gVtfDsNOWZeTeUIbJiC4o5IqSCd9lov189AGz+d6y5m/4PWoRY4l3gEKDkmveHvDPXqzJH8Yi3k5Zbo3tI8E82fDH/UNihDj57f6TTGgNJlNVBdXXQIeONCdiIOXhYhJ9ODvrCLcN3RJb0pbCVteMdoCoJMfCJ2xoWYuqenHBCsr3VoHFX/Hr3ORI9ZlRHK/BUg71Qhyez28CVHMTNZt3SF9OlxLJ2ir4gLQm7BZXsmDI9sglH1wywPr6FmVlQ4Dk2R6yUkfpkOUgQ7ea+2kACS+4AqmXnJ4HJkOxzy55mbyM6a10YgkAp/SPBIZneN+EdOF3SCXnLcDiDYRrIQuIk6SfP6wP02rMHVXE5B7S11voxRssyjuAOBK9JHlY8sXFbWdlv++0AZynDzO4DqClSXm+Mm1vzYBt6D0uDNcl0+uFmAvCICK/BPiEbvXU63RULpxUhz1vxdH0QJUUFuFLrMZj4XIUslFQrjGIOIzGSuGtliupI/8zdOXdHdZg3MeDPsKC0U3Q/9OTlPDQT/LcJfS8MEwDy9QDs+wPuLfLQICpiw4aABaPFWyRz+4i190sBy13txj28q6WPxItSuZ0l4PlGzVE0Bc7o99QCS9Vo6vCSv3zyw3X1ZB0DbBZpcOdaj6q9/FS76SQcmeqf+4CWnxCUN1gIMnDd830vhKH+UDO9WfROO2hEp+e3BnWdOkt2JMvxdwC1Pv/Lkc4iK65PrlvhxgNb2626Cn0kw57HBif+FjPbF4EdjfWxV8RgfBM63hjyx8YGWkP1+dpg5zZ6dvA2j7IzGVSXNC+d6U2o4kpD+dRsokAjhLSKYNAoQhK3zkQ11MnXbt9TWN67vm1WodsFWsv/DgTMfS6hVhQnZd2ZBg99lJqioV46rpyZF5cOEsFyAlfCqTe/eSHzaTwU3WnH0XCGFWZRbGmOX4j4hbzuImTPSPUXWOo8PpGy0pRq2tpKldRDTyysh3TkmgjlUw4Gb37QEwF4GLVKZY4O0VjyGm1n4jHm0hfxoprxpCPqwGN5gADLg5Rtt5yBcpfv4/dLyAOmqOolAU0t1jpUrEqPvCPL/kzmcQbelwmpuRLnMHX7ir/bgdNiYVe33r5LmkhQPLTA8sw9qd69HZQTqRFEKFqJJJvcE/HwYBuImkjAZn9R6OFQ827p+rONNUFGu4pBi2T4R1O3Lma3bI9sO0Q/oORSpOBJlk9XEG0TvfDE+3AB6oyTooSQTm/KRdOteYzTQTKDOnwgnipCm/cbvX8/WIlpgaY+h1raEklSNPgEXOnkEvziU6TdiBqJ/6v+GS9VtxMJx9cT5mxkPwPSmN4cj04TzOly1ymqCZMmXcfj4ImajKgT+UyXf65z3MytALXaZmeEMu/Smbv88R5MUJ5Tz9k+RDcT6Y7Q2uGL4ZQqjHVn3xMgC4Zmal8p1Dpnvo5qm7eujxnkVvKiHW9+TLjBZNA9uJQBXGtH5cg1fO+QoTYbnuLw3wgb/YV7eYhFXcjZKnffTMKPFtdc26/z6ovMGXMqf76vzC2YnijsReuIvSwRGNb0i9i/94M2pHIoyjhqwWDPyo0Jt/w+CpVQI6jW4mJi6y8hAI1WbJwgKLTxHfzL55UaGGP3KnZ6CMBlKjjBaOdaDAlMQ6PDnsWton8g7zKpDnxp1wJJkg1YHZegpgOVhG3O3AP4/Eqd4s2zJ3oPQie1ZbRneufYnl1M4wrSSWdEcSePXKLW09MD5S0B3KQEIjODjxkM0DvjwzhqaWGB0rWhZrbRzq/qsnwMSicOqxVhu3L/06pfNxbG/LJfyiNLy8ZFBqKFwdFwm7XlzO8bOXZb7X6h0ydg6HJDibzhP3lgn2AXe9kt3JIAqytu5J/QtgAHLcQvK4BCKwjM08tHoLf2x3XEKfJz0f7iX20RAoFnKrOo5ahIbjx2zlEKIdr8Cn5vM7Ywh8LtWPPDG8GgCY0TgaZzMvC7BNheiwTDSv3iiQlPjuB4IX4Aeuq20CBSoXUiHIX0eivAmnmD3fuCQHhcCEAJ+PvckzG7STH7nVPjcYu1j5m5x8Xk2seMQoipUxc51YsSPdPfJu8eYVOsT861uIsdLkd+Nz3l31abLKfUSa1mluknc61Hu8+6iswYH5NbQuH/Q52y00eWlIYbvoyhlsyECToIlM0vJbXM65De3lxgdfKh8RTd1I9Ch54bYHug1O8DPmzJ8Eu63Upwvngj/7g70eoLLvWcQUHlUXt8PyyQWYvCI4Znr+3Ezwo9CumTCV6hLl4sF+slMclRaPeGcGC45zF0tOn1A5t/vsHGxaRCFHCGWHYo4I4FVUMXyDrlWEJ2M/V/qM1apM4bTPd8ZIBppKMt+J2yigaU+V8wNcRf2utg0KCPoNqNxmcdhqI6GiU7wAEeEiIDPThCDOaQJxzPsX167XSoMMMJ6UvA5clptYHNQMr04mZ02Ca0NpN3C1HWq5I8jb8/L71OQ0uJ8vQMRFkwYsm/C1QX3gqw/GRJU6+/nwNvzZW/y/PyXLvBbl0S1EH0kG3uJK18i1/F0+cr+V3oMfqPFKNDUfcIoZye7Fcd59vZLKHkjz6oiZXqpgE2gut5sa5UgMO9pjcgFCStxZtFMjkv9gr0ETekLbY4aSHrv1uBrvCHsJrjpbBmg2xu13fN1/JAgwKIqRIZZZytoJGpllCRIb1RSZZifYtHYp6hi2/5Riv4oi2kl/BJciUMDttptpK1ze4yr8bcgjOOERhja535jO4LG4OPELgEc2NeGGeJi1giKs/X9pmierlFrVbK36SguFqK0Y0f6HRAEF5ORwP0dHkD0H2cc6tFxGKeBsrdYByIyaqBRr1ba0nUzSxsxmcbLzDcNQlruR71eUi2Ofixcq4hJ7kdXTbP0/pSwVgWgDbO2wZ3D4bdlpn9UddG5j3DX+rW/3goXboLCxjb+jWrBpzHMa4UJwciqIqeZJTlHtxZjxx4SYObcIn8SXYlEkijHAS0hDLtrW3ZF9m636D6KpOfI1KjMrBXR0hG8rl69CrwadMOujH4AuBBQwsS6eOQiByZrlERRdt5+yn0Fc/Qct/5Bo4uYA3XuqMEPA6UVPBgWzaJJ14edhSyRmKo3limGc2QFHfu9M+m7vqR3RLcz+s9hcxr+sX/6Zqjk+82RLI75mTvuHJfsq7SY7ILmtEOB/6sF2RUZvp+ByoIXnDKjFAiKK4Fr7tdRQgejW0LhBO2JLR01Gt7YFQBs9C+7ay8bP6YwPLIoihV/XrcnRmWjtV6ZzAAXwW4znXxkmrCJ6L2/N/es6yb6l+F9W3hiO2iSuUcgnAbIUVeb8eedzrU/maKSRDwik9qjQrv9O9RdhiA/e8VWqYGkY2rHNu+U1w9RKkpK4keYfIJkpjBZ9GTxilP3LBJtvGKyUP8PvVIRolq6v/gwrk2fpqIXlJsPJioNYRpPMn6KZCW/rsdkTX6O0Yv2S7GQBor5VPNFw1MScSFjY/Wycc1i4L+mKwLH9PnlX3Ps6rojGLB33tY6l+RMu1j2/fJTAE7S83UuXTadOK5SewdkBFyre/gX6w/x40smaZNR7LDXNXg4wiAau5xvSHviULDtmaDDvai5X2DbBwE9GfvD5RESK6gONTV7iM4o/9rsYG0aUl0j4hVha1SgfBZXWDTg1PhlEfMd6flQvZ+BBUAKrBLnr9z3dd9xoMk+sXqYIdknZa/dUrMpunAs8vD/WZcz35hl+Qk0Uq+DzSDXWK44Y2lLOSZ/UCYWdRdvoXLuREsEjYuWxgz1iPvXCGn9qbWr0dHwCpDoHtiT/T5TQCYYawZgaFIaYq76JtjkBiBIC2hBfZVm3YU/JssARJ+O6Wj7mOLC82wK2sFnx/2eTcOsg/ywo3BcWuhADcnqETXaumbGQQyNwScTyQaq+ORy+Qvhi7cG1OXeOlz0gIaii5qsH7kBdYGpywAmIyFaVo+oTtyHSVa51vlgZQ3Uj6w1c7pfbLvtC8iYeAgGH9iGc//VCzx75ZcPyJO4CHtp1PCPFaKvBph4GwTWgotegsjEVA1V5VkCO65bme+MDporEqGAMc9aeeaKSfRS5Ex5GgR88gts6p0tESsA6vpYDK269uBkTYWB0ciCPZdBObnBB9Nmemyp/3C9KsAOGe//CplP5HqYG+4lSogeGcTbShgxtSrasy7gBd5fLZ/qZLH4gXJ9a8AddDk/cuKBbH/3gwTTffNH16TxBGLOmKn4z6NclDpjDcU691TIaODVm5kBvD1uyUZkY/1efjf6r0HgdyUsOvUpq8jUuIVMm5yB3bQw1/vOJRz6Uqry1WEhpUUkLvSL4uBZC0TPYLv7DlT7DTPYB1gaZqYDpf9/eQBPmVRxAIqtb7yrcfbToomqfF5ipkiBvuP+5zWDMeoxiJCbbingKGlCqtt+4QLbx58qcPznDbiSY0PmAV7f6eWC36Td3WSUJSZ54eiTdtK7PpqENY7Bp48Zo1y6708XA0RWJ28GypbYRaAM8RohYGtMHVKdpfu5+B3afm5ARekRnOlJgzjary2texwxkJkaG2PjTVAVCuDLsQRjob9hHxZ8v6nN8YM6SrC7+RO7HkrGST7wQpHDPKaN+x7aT8KoEVTL7p4rbkpxbbV9GDISKvS9BK55jSaM0gAzwNQW53LSExIWMGPcDE0w+F94Dyx1InJyHlFqnS9oojZP58YWmofVcCKTbDdCZ3xbt0VkpAkztKR/HTfGOKRz7wOJvarPmj3A4F8PgPqBBAKF7tt1gcgO6nq6P4vcquqKLGH6FeVqQn0ZDJJagCYPpyHGH3RXJZTKGTsiWzUHoR7ex98cH0w1ayktMsRa2s6KsUtThwrCQXnsukv3CwR4J6GaK+tnY6COejKW6K0XawQ9c6i8dq0YE/CQJ9LnfgEHL9VeTilbpjw5CB19oWDcDyN8OpqrTKf+Ohev9wBEs8zziDiC5BRdbK74U989zhNEI9HW0LOxmDhCEqZEGq8gslw3URzN1rEkZYvFVmhOBKna91ll5EFaQXTAH/Og3A//LYRC7xwCwvgVCaJM+rBa81ju8MqADDS+1rvxJv/K4nRv250OWjMi9xiShwJKG41EIqoiDKLrrMCXx0KlJrENXmaZCtUe8q/OrMcBSx2a8qMx2euj0P0UWpSCxqdzUaJRr78ZQUSY4iu2v8+Oi0+fDvaM4ofQFdlC1Tg9Pa++pJ3CLCc/2MhI5KeO8tw2ZTdBEsY577jnw2g4HXquTO83+tPRFWlWo14n3OLnQCzWInutYIoV/8Yzrw4HDCYmSx2A+SqafP2KshoDoZCv5wioKJWehrU6dCVtLobUSfatHc46WpWYafC/Zk/JSIsneI1W+dmFMojuyYDMtchu7ggzU2k8XqgQbjfg9E9nxqo39ZwV1BOsv1gT9jo1BPAQfS8dzp4jCp0a5CitjgPSnQ96ptxgCX+bXECDaknrgZ7XMyzX19mUpEvHPe7OMC3Pfu/jQ0YYY48yBFFpYHORWDj/AER7TGmcp1451j2sR1s8O6hOc4ob1hjvB0PhwT9ZvPG4gZJ3L39vpK9TcNCqJ4N2anKPQqnGb2NGHufUjYyjSDd+q3S9GaOfOntNmNbwYTKdk1/9Msr7kpkJnTXhhkbbU8M9iBZ3RvmesVuY93TdNIfRFF0O4AJn5n39LekVhy5CaHo8LWeduOP5Roylmq5F7f+eNEt9C1tdkE8pL7urML1PZKAzeldxjilwAg/ASkKUhpXth6QTwsQYGASEdJ6fmhBqKhrXBUpY989MA2OEMAupDyhrhf+x5HUV0zG0XobF+fnfOV4Mz/j2CJk2wImwyjhwM8qgOnnzWm+NUJ3D9pOxH4Ismdc3WFzEJSXWgMQsh3hQPpA3G6KRIoiq6aEIy0tUevgd5LBQT92amegMi83mn20+0qRBjtCXB9Rw+kXM1/v3Ji5XC6pInzY2vD8QSGN+hjavjbGtYzuj+pkxu9sOjO7v2H1K7Xr8LWycWD9Ylogg433nyKAjnOeRrkquXRSEhrdQSO1zchR3LozeqeEIMNLiNrFQyeoGrZ3G0A9IKBmhj1MM1f07Ol0Qohsm7rPyDnPOQ/HvghuiV9mXwsGuTdWKJWqQQK27e0V8CSANa05dqjpGGjDQvG13e8zGYKNINTcCbY5t0UAvAH2/97jsZqO+qc2XWQ2bciIsBlJt7uct4oagVINZcAIscAGtV5223Eh9zvivoja+pck4/NiqPAhwFQx+5JV9Y8vYjzmcRZFOfgI+QW1+y7Yq4BfAPcvOVp/478J2qTZN6De5kqAHHzHOabO9N21+3pSpLlx2X3mN9vphkc0eUweqSrDFZfUrxhjXjJWEvJDFiyPjGn9xLtPYNI/vP9CszV9XraeLl8ew+M4TlA1jAIzE3g+PS351ONp0tQIRAmqq2cPAYX4NfHLFcQFjYJectF4l5KXWVzYBU+VCCIZrTTjKuEQc/BH/Rszr09z/59FDMaJ2an5b2Xd9ggiqaqZGa6VIpMWWbQHvNMuWjjlNwbOZNzh/gksSt1+32LuQbnIZG6gUVvGh1dzJVQpu6Eimobu9b+3RkJxeVfS5okIOT2DTj7U0OAcInxCMkIQZBLrUVbzFNmp2JmbaFx/t3USnryy01PECkE8YuzXASgk18UFo7HT9oDG+bj6i6jusosyovF1HKiUdo9jJ9+Byg2uSxh1/8qPU0RDkT48//SgLp/eZWuoC0Z0WZ7Ehn1vs1tCliAT68Y8rsj/GH7aakERPaB6wODotXNCHUcGWv6H/62+iBRASaMeg6DfCMfN6CC97Rn9qp7or6BYz541lnGAn+d2X0DO0RdcXAicTUzyjUCRFFVk3PoAaNCfZANM8UygYgAm4ZIcvvfFVXrodtZ0K+2QbNBiD5ETplOQO6f6ke0UEao4jylfqFTo9wJ4zwmCCxs5midPDV+G6PJIWmXGVOn9LNRAuii1kSr71MxSb/yYz0NP+qqcJW5RbQXew97Bve18NxDql5B9/jadJ4tES5Kuf55LYo/jAiqwMPXMh/mbY+CRcT8ReqZZ0ZpjuRybYoQIq/59F2DKHzRghkhRFGtm+T/FD7AXc7YXAzHMOVmneVcvQWPFYAZR4tnNg1tm9PCr123V4wDoYTYW94gvy5oK620kU72T5oW34kd+Q4SMxofxV3FsGAQEKFMore1eilrMjZ4K526Q8r3yrWAQjx+eRrXnP+blbWZecWWglH9Z0LdrPyTrODRiYW8lCHvZCCQnwXM1zZaiZJjizhuh/cKC07Z8U4fNIa9B9azYEtunshRqCveVDouCJN/RIpNf0XDtPf8R30PzmNNsEsjX4X1DRoXcEz+tzmxZ+ju3/TAGAtnQzOj4M3AK1ING1hjeJsCicpc29C/DR+TSiX2+BNow1MlEhRg7xEy4HqOx1Mreo4GxQaH3hV3ZYTh2w42/nckExLBbL1zJkZNXEda2ya3jMqwDGKZJ1KhdUvGQxMtzs3Pi/1sebmbFBswdjVQpxlVnJ3P2Q+9PqJeE5sIRVgD9Th8IO8M6Tlhel6g7Exugj27AENrzlz1KZqU6ufMxCs69x/nPd3oUGUpoj5IPhNrQjnrdjV47CIjYzyZKFXXAZPMNxfDl7cmu63QqKzu+fadcLJVIeEPmmfFw87Ti1M+VeIWXzDQaamn/+I0c7x7Oa3kzH9FZK5Bz2J1XYLAXfhc+Sj5ixcyCWcRL+5qZJm/dF6FD6+NT3/4eJN/4zOxJDJ6SeL6eyW4FG2XLdj651dk895wR7Df1AUndMOlaVJI4bfmSU3AuH5S0fGT2l/dR+qblg2856pFGPem9Dz6fZFnoRPLzltnJEiQFHAKDzhsxCNq0KuaC3NEfAd2AS2DtPN9X8jOTT8nuhEITYrpaqF8WxqxMwLCwGjA4V2JKsHoSYGKLzh2eZRjBubhKF/MTzzGsD8pMCzt4oMxx543xpYl91hZ1NzmyR2KWxzkFB1gLa37ON9UK+uY9qfoDZxrsKfLczHB5IFnSXDThqYTU9V/och+9duIG20pWXYKdMhqY0ehCnSuYQMfQZWuD7OubV+Ud2442pjjEUbRpLEWsPDwQksh4u46SnnfLp6szVW0K373vIQd3Ee4tRxBxybaTgzif2n9xU28ul5nC0an6dXjXo9OerJf9SbZd5IL+YsWzhcjQDXL4LokhIdEM+3kdfvNG5pGnt3WJMFIK5AayZFziGQU8lrM7QvzA+ebGMH8qbANFbGwK+gL4vutYXacq00Tne/c51Ng9SG9DEuymzrW9KzSjQ5FUKW+woW02Q4PzYjGczywbcLDWRtgW7ZtOIldB/c2qheL2+EI2or5QZQrWzLkoYmLD+81rQN+6XqR3oJntk0mAfr1SvIEIS1/ug/pFg8JEhqm5txM1s22VSGJPM4j0eJE4lJYVAmiPNAahIFDnNBpy6YRlb+mTkc9SEPb2IEX/YgWDMM/woFnLXO2HOvfCLbQoQ/k+4GjtR9lmqAFYeqemJoLqkGcn00gm0NocPoX1OXy19uYyC5auUpJMDvRheBbMj66jJunmwI8qR6pDtn0xN9yxPax/t/M23uC1NHvp+4D9Rlhm+VNhZR9CqpTEv23A+PdIRBBE/heRBp8v3Q/Vy8MetFKoIYiyeC77+WnS9eDiCjz08gx0Hefmb7W1ukunFareL42n9fy8/Kh8oaMQRVKGdn1Kgpl+nw8nyKf9jDeLIy/UJ3nF3kXLuzfdGK9kxrr5Ye7/jBnXlEmdNQHhMZ4Tl2el8DXSKge6adXcqdAfEQ+TQonXyCiBJnpZejYWjoSsrCmCBSoWEFEnLXCuu0GtDi9jIfYLEJAjbc9c/bjnTJtXk+UUyUpMCeaA80TYaW0ROd+PPJ3ljuWw6LmSepGw4H0WXnNjvD/pud1kWVV3yMnTM0bLmFt1Yk80Bhs91HgV6cp2q7pHRs5H1N+V60l4yzvxBbGfwUEI+bmoHhEeblCUGemUBCqA29B+cYl3R1xf+d93GecpltFce9VvH6CaF+DL0DiCbLSDd+hgwcArRlEeeH0LG4nSk/q/uI5pwX1Y6/3ZKO3dp/18NHPYOjvqoiHtA7xqQBUdGwMdHTZEb+OmD0cIzoDJvwrPuhO/dKVtgkpxswdTY19AA5tV2UVuCUt7Leiog8ABZGczRL5pdPaRyMwBMikgf+Zos2PEPLVJd94Xoy4TmkTzV6GtEh6frro/oEWT+akwYHceK8P2znBso5A+qjOuWpwtSjPb1SvkONOsL6aRYP+G3VY9XQKYkg1WLZt3GKJE5jJ2NGBNmx2azslCRQHsGCIgXJdFe/WcaW5q7JegjlEDwKW6r6vLcghrPHUGZNL1OK2Wy4qOXuX2tjU98CPvMh3094KXn6nHjSsnWsa6x9S/47ctPNR3p/TYnmn3JMSguSp2Ct7EyMgVxHrRnNUWbff3hqq9rSyJ4NmqScU5PT4nxD1pad1Bnm8oWQrz1Ji1E4gOQVejKg+V3MiRnsoCdQ+xaXmvYVhUl4uG20FBWU7q6teDT1mrqbUu04XyDhX8iPgy6UCOJ0BYbGY3X3NdoK5d0ksLBliOr34P38ZFUB1B36mJSmmQkVRNKOVaMQQRjWKsjzmnYhAYV1n6B/oylx6scKtWGj6DHYUp2xAjwn2CzgelpzD9ewEUw1RVY2O+FXzcpfvynheR6JF9sYaPN/xmKZT7+4yqEMzm3Rbobe/ESIBcWccxosv10qXxEHgovEEaxvNlLtRVpUZDAoRb0TX+J9d2z9vhF+fGjLGdzQehrtE27RBcZZ+iCGWSIQ37frmg7BOn5cUuC6sq9fKoVCHy1q/4FXZ828JBB/LuUCZysIMBjB8wk3bQ9yg6rqr6qfbPEDxAZp/PmEkfFmmkymB0z/f+HEkPLv8DXuMpd0m+7digPAmez2qLaBNB87vyxzOvb2UENCOjzOtS5qpMDdC56zzXV27YCyBtpgN1bS9YdKMSGYiMWKnqRhiatdmSwO1qPGJEM/Bss5WheitTIhKzbY/OG032Rjc1lCAJEtCPFZj3ddh8/Vsg9QcdyMP0YuTbrG3j2cLPd9hgPA9Y/L+emxjq9Za6Es74M8fH79D8NFk74tzXGbJlVI431nxalYVD5Sng7zXuCzh3e+16my2LjcHv+qLG4rez1k25qKu0A1/d9lRp8fS29mHrM+idaxdhzLIjN7G4PyOlfNBh40DaJETLq83M2htoCnsOrnK6CAAUnBupSvH43ujKUIcxi7lMOt140QjPzZ9xu9nRVpRAEpO3hwDUHQOXeDMdub1dVZv41/cXuQRAaeZ2OAc+pag6FEvStRXwPp+3zQ3+n+MsIbU3nSqh4z07TdjAfVlR0FwIFKVQwzenD0uPM8hhE0J8etOpZXXUApBq46CkXgk9o540EDuEYa54LLv5d7Zs7OKLso07RJAvpxPy4c285CDV4F648Mw0zk6E0/fCU6fhdDr0csSQtyXeG2oDP+Qode2Y1CqlDZ17PlLqMzvunT8bF+KYl0qfXRL3hdCRWT43jTQVoXC0i6bdLdpcjc6sWTrES9yFpkt9Jycu1RgAAPiVE6VGHYaBgR2JP86PQVJf2uFSJvzf0ZWwLXI+3I3j/gcSG/Vl6p+vvmgS1Mg6+hx6Q6HYJmXdZNKiZij4EFMXLRiDB5/7PVUSCt1mOKyOikJFRcSI/hvOPOiLCSFckVZrJWUIjxQponXldhwx46ng4UrfS5ZCFpEaDIgsR0DkZDOYzk6G54OK9fnlGTWqlgbDrtBenhXAfq6I4TH2mqbu4l+py0f/tP09O/iPJnsgLmfMQxRq9PyqHy0wQRuKZhIVUwW9LwoZifYQBoIEm14czbUlr/XwIWPh2vUzj2C+5f36at0mXkzGDIZ1psFQ0xdzpk4NmgzVeKuYpAX8WRGLO/UhT7bKJ6+v/yQtPJ1peIghMZJsuLHIOph6CYrigzG01KsPsLrn6b8ECclz0vPmeKEAaCMQC/Triv7cjx/LZxPgCeBgIljX+FoUQBc/U9nF0acMtmGleYy9xYM9/Pcyzx2zaOlSq2Tp0lbItK+B25Q64m4spowgkNyO6dWq/OyOXIsXkHar8Xa3saMnwG924LEi7lzTEsVmO64B8TiD33fh9hLnOKPmGY1AWSAE/8NzuuL/rGdPl39ijJyt0zCL3EhSY7GynglCQlwLOjybUXF/klxBITIz8daOHZyzo6XLj/EOOSjky8BogB3okXlmLM2euOiJ7qP2YK0SiklI6nL0OUNN8h06aNLZroqoWnuXCvL9QX4Jha1ZFqptEEX2cnTWf+I/afpgR/0Lj920xwTyvdMuihyCI2VdGDCbxe9OV4D83FdVf4kL5ImBybiLcl8p7xUtk/iPvVF/+MLR6iOdYhTa2NG7G6fVjMzjelmViQlK8NDy0jYb+8SB6tXnz62ZBBZbGuJ01xFjZJ7+0BS+bLfF3SIHKMH+/+/BHj5zMtwLo1OzOkjW4xTCmqkYta8YLtEOiYBnRUbedz8xtwFlEpdnf7VF+zK5vsnabZawxqPgg/SDkJr8axh/i6dB28YZa/iqa+8QX42gPD+8z8ao9Ah28/XK0aHLdc7oAUOVqDxHfdL/wbz4BD9jY2uzjXfpQLcpBH1c1/Eo7Dnp3WrtRoqof7mVEQFczGDdwUQWEEERkwLkxgI6Qo0/kDw32k4Eu1Sf8HgpVDeFvsxDRR3V7fghWqgAtadhpUdMj9i68Zg5f4wALQk6OpSWEHDz728PlHGwlHteDiGU0CAH+lTosNehNQBW0Rv+Ammhul2ebDUHZ4cbO/55Ws+qvy6lL7p0NjD9lWAGYPWqO26fAx5PqWaTagOmgW1Q1z3Ogbwk79EeO9asZHCekuRRp/XyYmcqR+tPaFegm9yO+qJIJ1zdsQ5yJGqwEwyV+ZXpphsiAzCtqart05L2nhXefkJsBbLg9JlLiAXSQ1GJanYI3SjiT5mJq/rhmh5WzIIZnv5QyBDSyvnalK750h1LvFccvlACuT9o1MkLYlG6Xm6WTl7A5naaQWfeZK2YcxbQIL+GTfprAa1+BVVMaUVuZEvIF6TEuKmR1uOps7bhwLKOrd/I644Q9kTfGzEab+HMkgxdKvSOqEJMfu+/bYMQqMZfvnQztNnYC3/janR8DDAy2TFeT6L5kADW4i/unLXctq5ramHfJgQSEQtx4RFDd7mwrx2/Rx6YN9+T4nbhdimcZMuzg2VC2MI4kgfjYCBpV291HlQCn+efaVQPaShfi8Kl1KR1Qq7UwxNSO12q1IiEJRoh8FAyBBvLJZuNyDq4OOx42gwhrxSdRgTjorKUtKiCPaEu2d2w8XpH0H9ZqVdbgntxIsR85hlSsgsujO+KL9vnT/4yxNMz3Xp0df3GUW9EiW6xqs46EaeJvavNRCSmVMlMcWn82w1zS319kCgcCpTD1j9ibyqd51j98JD7JwTS/NAoipoMLw1Fgh2S+IDpLFfx/7ItsFE2DBhvRJ7+7bB0HNJaxi+le4CF7sKsZuogONXHALY3nQXKJxvgj9FlCQxGM8JPqPUGYCY2fnzxbEXd+9m90ZzyrmZfRivX2fWnl9JMxgml0EfH2sjarlJ2AIJ6ddAIwFVl9E3QQ6GNrJ95FIDmDsqyKK1io8X7/y13j/L9hOqR2WoaIhIijoJCBQJrNEIh3C8TP/Hj/UIRrEvhLjrE0BwenySRSXYe5TdLfv6pEwBarLLGjt1edoh1PlOSnUqsGKeIUfy2iPyMIxpp+xEysYzqQXIV8TvBrlyveSyGYt9O5d4dhjnAu/x4IZxf5VWWJGfflgBu3kQLJEvDc2MUJqqa6Ilvb08FxQujhmac9xVOAWpMOdcT827mntav5/JCmq01c5CZsdmjm9Zolr0xl9O24vmFGwoj4iXkS/hIGN1i43qlRX0tl0Z8x7os9SRYAug2f1zMhPN6VMw32E5hEt/3dTtJdAT20XMefL8DnrVUrMmpg76oKtAOsh4G8w1Ai/zxLrFxs6oRYylyeKuVrsubE4qF1/0NkrsH9BgE0Ryv+Psd/WY3qMRwC7d1rEslQYXQAQMzadRWMMk6Zvp2s9Ugz7aazdEPKUZPUDpiVGwXupVaYUMwt7J3bcEeir0u7R+ENIEffys3rEcsxqkmqpGfhQbKgQR/N4WFmwBQUdzn6YHgkWkr/6t6j+tlkbqQwOhh8ve3qFzpBJqE7uRMEJ7wWFEuX8XzuYXOD3N+6Lw2DCViQQMiz71Q8TK4zMo1/Ut9uZQInIMpMZA+zv9DPoibEAsNFtGuDo+vI56Q4jvp0YXp+rk9jkVwLkOQq5U8CqYps1WHa9x95b1EbxOebnXJ02A+AQJd1PEGnOFCiC+3vOY5+fpVdL651VQ3Pxh2aOJxwt1RaUZz4xipsgHZl98RYMDDk0gI5ysZnH+RX2TH8QnXr5p7VxKjWr8uXLh0tAXfFPtWAQT2loQsRlA466BQ5ffmidjZGQaRkIOEJt9L/GsjZBIWPemdaf8H20AyO1f7DSx56pq2Z3E/vFzfRfIkIU4LPqQMrL5dYmG9X92PU6NCWyA4ib9Cd3Uy8qixjPW9lRisqyDkiXRi4DsqpBeFTPneqQYbCr34T8rmjhcXY+JlkkQ71ld3PguYX/d293lrQsDKQBoYVTy4YDcqHnXD5JYCzWU+sLa4LAo8HtDtY/puR//uJZ8d9Em9NGPuJb7M4fDsqrz2bKa0BRKH5iFGHJHff9I4twYwayDIvDJQCT32W4fh922tX1vxFs2pXkHLe/rgv8MVObLBXBd2yZm57ZHK5a7U0bxVJeWNwKRZZ19TVg9VqRA1QNdVS3sGakN72Lb+JGvsdlDcyXu5NkHLq2CVVEjYRV+UQ/bkp1nzhpzyAmPHFwP7cpTmyWm7og/km22v0XZPdXj/JN+fGl21YXH3ZLRfk4FpS1MvUfV5xnXy/dbp9THcS+Khjj0SHG7xINPMfL0HXebUqrcOTN0gElmVSHBvshsD8/kT6M9o4C8c3irxW6EGxBJh7pDWOZSdcUridIO4I4M521GXcrJ2u2VQxPAXXT+6wZ6NiDJknJIGRdS77aZe5a7H9kLlTs0JT6E9lANuHNOV7jQfNZdJttMaBKtwJfjbpxpBGYW0Zzj+UjyO6pmI34VrE5NA0eHkKU9Fk3Xv3FcoJQe90NejL1s8QRz456VetOgtOfBCQOPZ7Xb3PRJ++9Ju6AqfgxgK62qWEOxnZIvpbnZZKYXSq7J1Y23TwJNVleh+RA9ZESNGaWjU+N4cQfDTLFgGTcUJ6Y/jGc5SVPlxDRH+QniRDGCnBfNMaBiDvujzof10tsfFyUNd0IpcrVT6rUIMAziUxyN/8AmX3scHoOSLIoKh0insUGzywWinDqKYwf/UlWB/O7KzzXQBSRdkqMTSi1PgbI4xUm/z6k9ghTKpnfKuseCM2q/fEIwqhf5swD97y2r8MXgbeDFXoATVtCMUTgydza3scv1U8l7ddyWL8ie8KQw5j1Sp9L6CHqEo6ClCsxEVzIiKzObpFH8fS3QLWHJ7tB17HHirgJQYJ9JyYsI4h81RkzmzQgmzzYGGKkOdxRvmRJ35nqta4UmvPRZPzAqobJFtvI+kvhS2z4AQ1CUq0WaNufWIx0M3ro/4oUJjPopeYqezFXwTjwxqakgm1QbfwWqKCpU7jixhzYIJcX8mID0g/ZMgmmiKrR+KAjPlha5Xp+Ij98Vlqg4JgvsrBhpMiv8DDOlBbkU5+H7UaIkMfIzY/ymHv73szRb2xd3tDccJ5cnA5Xs6fhiAvaDqPXoVRwHv/i23HzV0j86/OAqJ+vlqlVmXnhjml8cc2AG5yFTTFITXmnNb0zZC5z2Of8Cf0p44ZLYYDgL19zYBo5CkE7C51rwohFnLmmmrLMMECEOe4Y+4hWLJhsiGfzSzLemxcvJr6Qfjt+Fhu1Uo/mKagr3Q2kjX+8SGVZbyWtl2EJDm43yNL+HSmHwM3vTcniR0gqnZwMW66b22RKc7Lno7xCpN0duSOUNkVK7BgfHefkqvylSDmVmOBsOXfjrZGRzedbPg+Qd9vb6r5GzOc8JudnmNhl5V8xtYtcDBo0Njc9X/EiVoyr45SoYtB1jCvGO+/MNy/pBYfi5P9mrHaf5ltPKOemOnN1m4jBL8hmk0iwB8qMTD6YZZF5fRGxPdpa0mAbCRVz+KxsuBy9aJWXtoaF4f3FY48cxJTF6ce7qC2SbkDxciXDvDkhi+KgrK1xXtYuAfGwG73AqA1KJ7mOb+dz9oEcEI8cSV5o7MkFzsEai3sdSVOP3vIfbdHpfhb6jO17mPA389W3mj4S7ZJagt/0FnsXuGtWYdVcLyOpsRWP39yk/V+n4W8LFxaP/oaGfkHbdiANb0PBW9dRNZz6Gbaut9nBltxuqfa6tir8X7Qq7Nolr4I11kc7BYzyJSklFo6VQ1Cge673K3TktBKz5K5c6MB4CajLi7nwgKAmDi4GqovD7ahekXEKBIv1R0QzI7XU0SISGpkoToJGYWqmN3CloAmRZm+L4I5LnxqCTo9oYd2UbEmbTFhztda8maDWBzfK0u4yX3fxmwrkQH3ADrKf/jA7dw2vJRZ5s5c/OWn6mBf0JzNpM9m8gIWGO3wJfexjhxPYDV9VMPsMFkH4QIoomzCVy+1obyGSUyn2Lv4I6rReKfa8og7EM91iunWvkBZqlm3iTjRIsxaFUIvpicDoMz6FzlqoR5wasMc9hgoqa3M6O4pXM0roBHdIMCCozEFrwpIFtyI7/w14YTnB2JDrR7Sg9nOB45kzDJYp4QMGdpcelL87g/t65lYDdJPzdkQXB8mkPth/XRX3Ko31bYGtoUhvYeMOrFPMW2iHv+yMV32eLEMwtqO13r/5RBUrbng3DfxPihyc5MFOGLe/RV3AavBFTTkgI/YJywqaZV41xNRAPYq1U2C/c9QeH+9X038nMTlmMGxasDnDQ3re+x4w7JefBlpVy9PA7GoamrBeLWOI7ot1vjl9qaXP21dFGF5QROubiNkrcnydJ+UiKb2rsn7LkpAjxU4acaRDkogQFfb0I88vth4pbfm8bx8vCDxP2zVluVonVlqycuUOVwxc+5He72EYsZdkDDTKcYQk7Frh4hsiGyo3XgPJFz9DBUamjKGMJN1738m9/UVKLBliF7g55q8mPllRzRvV8pFY9+ZI+IIHVKpu4CbxoVkiZlbJiU7wNjQePfCr0ITKDZOhiXhzat0YW0bWMVWdAnuSyFIgYi4XAYAko50NryL6f9m0lZer0G+2TIj+8e52Dp7iuI7s6Neon/obGG8bnkoUN0bkl/MNZv5SiEZoFx0e1uTFBPLqQATOA9CDM+yq06OEcX3QPZoPnnnv56x+kZD1YO+Cv6FlnE4tCxTzerpmnyPBizmN8g5mNOPam59r9oUWcbemGpx0dCIDx2Ma3YgM6JGc35/EfyvQXTI0J3BRYcIfBg04k8Lugb3oMQM2AQUf9nvWeJzpCVcjUcBgJheyPCTAe5BLVnFC96ytYiFqw3BmAPFM7jbCnsF6z2ibYG1coWT0hF2rmx6IZd84I84twGK/Z/pl9y855vYc1sZ/2xzMj5oP53gqMexmIhf9QWlu88AqF3yIxcHfk5JVMc3gbD7bjApkCMrBJKmiID4rfg4N5ITpz1MFvSSJnSgAZC7Jq1zGzvOeGVpytSM5ThZBlR0JyEtXoduWosmulBQlSJRdORTKB96s2oHMLb09XJi8Hu7aV2Bo7SlEvs3Xt35JXkJLjt7so/6jmr+0ChiFdmELKKADbvD82ro0ml+oCqPK5fKDDQid9u2MCFzxon9T/AHv3GVJFFp4ZVkTtilLnUN/HjBIQZVuvNbYV2eISPzeXFjMtefvsQcpHkwt8mGYNUzvCBj/l5ObwFk37cisRaZ8vMIJC7mAlatPFq0ICDnLDLmcAwbCx0EjgpLnqFquQntwOR4KmCfdRVGtyhtecgVmpywK5SWtPut/ebfk2OU8r6Og4b6K9cH/YIGO6pybeQ0XHlJRrRDq43aNKoBjEGZ9T5dth1C06erp+uGAjKjLGApja7b9AkgCYxW3tdEg6brQcmxFzX0hmzhnO1jGMSfOrlQnppfg3JhAK9KPWQTofIoS2YYXouQ7h2twWZY4oagvwbsQyMCaRJkU6R8LsHdt0cLYWAzTdUCsI1DeaFUwoEkfkkpW5DBT+BR553udbwF0Kw6sIXIbxRon9Hvlcmc4FFOzgYrUpXyvotRO1hEc2q3jeEliKdi653SpNLkHX4p6XKxakg+g+QMxFonfuBGkxBj8uI6UIdNnzMVYBI2nfDTu7z7BmF/Hi8RlEje5DjeDKnzWT6AoVX03LhmPvgnX5F8lVgCDoumz8UW7jq1wWELYZiJt9GJEG012ppSQfwTMryJsJIClCOXTB9qIVciC96VS2o5Ykt3Xjqr41KaTI7gALj7RHGN0xfYj16fE70uDqW8oFja2lLjnGOYACyduKK8XxNaNsoD4g2fkr5itVJO7X43G96I2qySfUBYJ+Zv1vk8E8ixVqdLgQvEYGXPF9XAoOqdvoWcfvt/IRTX1U2s8YdAMiKMuRvwlBhft5ogLJyyHShRUEMsULuH8lTEROyl9HvgQpSKGWheIxDMSoslN5VO0Xd/9Oikgq+icdn9KHR6mFuonGT/Zd4ha4B7HRnk63BXOmWqsAKs/4WMX+fX9BR1gDRKTkl2xe4aB2aP06ZrGVAAPH8unUy1uhfekfzggOfOPmyroj9JgT/CqrT51NUhf+O3lHSCzHHAQuk0/FLfJuXza2ePxgy/Jxz0SgbIRGtK6gsEAJ9pQfYQCVCubbOunEAdM5KDwKtoEAu+gXlje+ZnzEfBup4M1xFYG4pOQyKWcdFZlkRvAtIfHX1L5Oxl1CZe5qtf16qc32AG3z0qwJ1IJTT0j4403OUSxyZGyyaLmNebi1fmMQMxkPfpHvI0Tb68+RF4b5FLy8PE3oLuauzKk6t6TEypw6gOX5PsAT5emHQ1lxsGqdJM96FQS+Gh5Q2QcYDGzVGjTKNn5VpsYkLpYMdVFKrn1hyDgQGHTDTeJU6TGbv6Q540GSqBONn5/9m2/Fed1KSxrXy/iZze6HAyKbQCDoKi3YvO2PJgsVyodAmyc3MGCZWng5MakSMcz7tPJgGrad1m6Gx77pwBznyJk9t71had0N96wROPBsQNNFcUKNXj5xCpBtNazfdAEilGv61RylsAhkjn1Sv/JrbW5fjehgNMGQZ1TO0JeGGJ3cyOQSKoMpZxJ4f79O89DQXbf8pdjhY7lkekJM7J1Rn7WIuxjL8/dAViMZ0B2DqL6xKyQ18vjOhckZFv6ItpQE5cD9kQW8GXe4l758fo/VxVg1OhsamR4w2kHWyhj0bAXTdT+Em+ijuGdvJ4vpnFiBEdldbeGxy1WipI+7IY95v03WtVFvIvIMydT7NLlmaFL8dqZCQ7fiBnfB4n9A0bLAmgfJ/I534ZkbCwcHDfiVjzGBiLUxsiiDb/7kjY71tHSaVfRZUaLoKBrNho954+/Z34WyfVSZr+OqFHeyUUky76my4EuBYS0EuXcrpEYZQE71EO5EWqgxfME3JEeo+NQK9ouy+WXp3SzlI2CzbKvzT3agpCWEvLE2J4j4f1RVICBwyMP2h95Aj9RpzzL6YUhzMLr6kWI/SSZ8CHjD/so2vJXua+sQYBukLelEj90Ihjgjrrqim5Qtd95nfFMXgmUgUp7ZmXBTjdpHa+bNfMwje6ykoJ/+1X40vKiOqLNi9mpc4eGL0UkiuiPgBPuEd5kwAzDQd1lwxCviPqV3z7hhokgQeWesd6XfNEYLVTqvZPA45zdtPdIEftxe2xePPoSgxT42BlKJm17lC/yE1C08P1bgxSCoBHCxZlarwUvxW5SnqpEv4rgfaScNWD+7SM7yfVdrEbJ2ym6lsRFh7slsTlHGAyIhJQ4FpZrYXZcZtfbctnfpvIS/Wmn6nQnqI1XUsW5edcFkgTC0fbM3hp1EUIgfL3MXsWNRehXOjwNucpFkLGTImsdqFXwStOm5zURzZoUSv4avtXiOCIWrCxacOAgQ3B3FGQ1kxGpKkTzzdCtjS+4uuMlcVyMjju7wQTUEaRDe4LHgm8aH2mgaVdBweJl1Px+pY204iJS7q3Kzqix4CK5xoNPwKuKlvsC7KDkKH6d9jwl8a+7TUq588tB/ymmrek1d95Iy3jdOatZ2helnWgEImVGrtPERwKnDe1OQ87IiQZqtREITURI5+8X7xpzXcBD3QtAdnrg+29iL0Vn63ee8f/8HYvhJ8Q7Dq/JmPR7y527gTfdealCkgBY9h4X+Fr4CoJ8IayHUztajobd3iUs0+bOBXSHhf6OusBIKgdNzMbuCngVAOyfKknxA0wfwRyDlJrlE3l98AzfojMG8KkRWtec9JcCx/FTe9FQocEWOUrHdNOQ3dbwpYWU8IIrIvVX+cbKpc/w63ysH4qvBY796ObseM12U0gqRDpCJKk6s+28P9jc/4c9iRYHQJLc1Q4jawpgsoJgErtr1xHF2a6va6/15OuhhOqGqMyFW1Ej5ns/XDp7TmsiCPvy8FWvMYln+0CvsBk7pan070SsKDEc6aEydahOCFe4qwLNYymYsmVbHZAIS03WpxDRd/yKa7m73PoOsJBCPG1x4MckkwaNn/m9SXBf49mJoYdGoHZPadE6Ekdgu0ffRTNmIU2ny4/Gg/rRDfmTC5wSFAMAiqS1vXig13jeSmEBtgaycUqyWqbPA9vxot2y3TO61xzTqU8XugC01egw1xedn40HTLW051As8V7hh7LbjBAd9HRuXOnrcX//40upBBSk3ax5P4OXcP+0L7TmTjp8QjRbbu+XwQMwQVXbENq6HKBXbqx+S3W587jc7hXxLN/6bYjOYnV0I62GA0mnyd6aveockO+iTTyV8NdN0ocov6foAOcK2jMsVSyh315ZwD7/xSuEPzZGMmali+DnNpsjij9cJNOC4moMrWJklYAwIFUshpOvTENMDqZs+nZA/R40QuIXcZJwtb/IC6MToma5gJcwRTtqRPSDQaJejtE2QocReGDe/FU8UUZlVQZE6qizy3W/erTwQXvvMX+ukBmKnNM7cs3pFGPOOJOfdrp7rv3ItSlsAnr/TaU1QDKSyTm6HmirK1ZauiUhmP4bqTCmG9SxojW56MBz3t0Fdgl4E8CC7wvMYX6wskXAL2YfsAPmszy1aXEpgf5DUunBpI7uAaBQnkQOMrYwpFVIVXyW02qq9bE96AEUfkUWQCJpX1m1rGYNDIRaq9+kCVKrTfgLjJ/XKxq0i1I6AF0ypjUm8zbsmRQ2VacWK9A/10R/1nFqn7WboclpACikeq39hUvVpzuqcENg0O7kAgBKTwgh/ii1/B/q/goq8UQTDflV6lIksNlT36IeWeiY/L/0HtYIBBt4qBC5T1GYbUpPNzjEp0/8qIOpt000bze8kRYF1zGs4f3sEH+XUW9P3afXmQ/ALpv0KyJIplwgcIBvvYdEsjfGMblcBZ18OyBUJfi1JDxX/9PyhZR3zLJ+12q5ocEP32qSVQIdJGxOlwWCiXoZpFycxXa+1N7+pavI33KBIUfR4GMIpCNcu3rOU5TCH8XkEePLpxrMfoLGcobHL1MXZmZLbNK8+0kRG58Vv3MEJENE9QlfETgZC3L0ND1NXqM3NK4/6Udydg6rZ2Bv7CF+ffbymkYT3zI7UjZf3IrwUav8vjt++Swc5DjxeblSdNRDwpuXeSCeiv1oh1E36UievCu5KR567YTbR2ctd3nL3TVdePMKKOHLEMc0Vw1oSJeKeX6ZKf4nBUxwtUFDyiB/bXxhJQAy8etjKLqcdKJxw2EogDPlRYAkCJVKenGAbQIV+b126ON/vyydpT5/mhmxSEIbMDlVzmvwc+L6iYVOuHEwbqVuzg6EhmHjH8BdJh88XaKKrPGqZM6penE6A+KAsDIwq0NnGY/LWyDZ8NQUm+guUlI8wcfkJ4Ck7RVdRBcd0we7i8PjoLc8zX9AkYT0rw6GaVZBlunX3koiMlki0Hmh0QdFxkH8lJoOaOT4oIV1flE5dZdqI50wEfwN9J/dsbBD7Xm72fY3fr57Q5k2C4alQbfqUfgjo5A0KZKzKw7jf4OhrO8SOKdTyNeti/n/KKPWAPOBinilLn7Fsuri71jSGoTilTzBc8P+d1pjlTRb7ERLjKeQtufZtuq/edyf0A4ucXpomv9r4iWwuyQSnijDTEes25qd9MuEPxEe3s5VXjV8K+Vf6mMI4QMxQU6bDcGmA9kLJNmyZtvVw/r7x8BPiiw/dYqbPzCNTJjrQgLJJZlnBWs2XG8BpaTeVMaclCaLPOgfpnyNSXG4wxYSWeHc4BwHG2l+3lZaJ9SMIwDdaW2NnZzy6OxGNcU5yJgX4ITrCyuZCCmBHoOKttV+NAm1BtInhoTW/znbIogwz3M9RdRUXXI5+sPoKuOtNeMnCLNA4gD9NpeT4btBDxmjNLpDiSSpdEgI2PPWaL/5VieGwk31ucznWS4AasvVP67NhDKeWICx7jlVYpOBaShiS81N7F9YZjs61FALEN+Q7uk4vqVs0IvS88fyoDTZKdklkCQ2TqRstwzPPHYi8QLMy1wOIDffj//HNze8IAx236JIAvc3tArV5UzUIY1LhbkvFtaqsdNQLbpWTf8VlHHEYaJMotqWYPfGBiLgni+LRLCYn10d6xcGBCLw6Yq27agjz6fMmjmOnVpQ7xXv4cfwcbz5igVNDxGygWEHd2IfjpZ7oDeJ7pMzwXxPqXpElNwETqC1aYa6JkL4eP2BHc3fulyjQ1bQwRtTOEnNFZ7pSDlRaa4EhpC+LZu5GdAM85StuPF2Aim6CaiaKN9kx37HsvQ4jRvZc8EnLjrJ/IHufCtrxz0bNQVRhJ5xuAFtFwD/wc85Ew+fQUSBZZjBjhiDnsUqxklCuuV4BzBjIj1lb/P7vF+174gNl7hxRvEtUmTdP5itZNZXTPRSHtLaFOPM5WlphAs0yAc7eIvciRKK43s9YlQSVwJ6nB3uqStpoCs0SNjuWARxKxaq8/yqWw7x50VChXkriyV6BMIbzbxKbOMf0qSbp525ms7cPPdxDK+CDEkvxk43yIbZ3i5Q5wlj3YEXQxvMn39kqQs8YOtJKlZoSS9d7o2HGPS2Jeta7bEdMuDgfmS/uFSqND8idAtzXkHu3Fp0pn7E/S9HK0ZhMNmcEDL0+sta8pgY5SiSQRYZbjLZgKWD2DmvhwBREEsMBtAoZ44DyjLyTYjs89Y1kzLrAgkUUzfxHZq3cR9TcvkqNAjFFnxfMHLezui33iQ34XzJ+CIhWR0qxecG1SuRaVaYEUbO3CNoadgY+A5N6xQsL7BkRnCnAWQpBiHVOjHQiOZfRY3jzYWXP2WVIvAkz3YvYTvOZzzl02CaiaFaerk1wcjZlXSl1ysB8cSntp6LjdlD5to+KxuXOdzHysvuXyVa6OeCh8VDfocHF+RmraS72KQHmPjgqHOEXupyEF4e0WupeLVBR/eAT76gcMEN6yR9maRndCqfATO4P1sxUtbmZ1HSmRiTj3BXXqUTn91knEsOcbdywKCfvmAImIzgW0SAohXvnK/QxBHAo6OC01rXsCgJgJN+Y1QUKnzB2BCDaGh0Vhj6ResJdV6Li9ad6B6VWW5JIltjLadgAjXSJpC6EwWxajaY9EWju8Tp4b7FNWYxRhODu66POmqcJF+4ScXVbZM/65xI7gTuGXkUa/xrrw2snbS0VqGo6i4dAncBzq/9uyWQ0mqq7Jrt6DJJA+wiiILN/cspnFwrWwpD48/LQf8mUlkjscVyUZktxsKI3/4bLC44AUGzv7pkHhJPKyIEZgbZdkoGzCND4HGJtUhig5g9sadn7bszq/Dx4UdkyWK/W8abviQZKu9qiNZ3JmSpnX3AV9icH75S+oddj19mMkurzUK5DVbVLDA01pNAdsnwwSx0SV/2IGFV7ZtR8O2nDpuJeoaumPcPUgm34rEXYOes2WpeQ/zKDj4tE+8hW+1OtwU9Nygtob60vdLxCx/ExHL/7DcZNYi2ZIAreVxMY/Cz7gY6fpoFm19C2TI/1pEY92woMU9CfWxLSM33qMzJvMJn41pJwm3BAv/KxxpC1/CWCFIkAP01VzJ/FjNz7gzLqlwyWewn2WRr/FuHrX9tpVpDh0yDkGogVFKflfTmqECMayDTY8M3eYa15nmUfs0weKV2ExDpPn7YiINcV8aBGGWyBptKymm1J4kuk1TZn+pxmw7GVNWqdUbXlI8S3Se9nES4KllcfWfwTYOgRbcPPzlXAPZ7zARVOrQ8dUaw1STebW1yY0C7li4FvLHJm6bdmIbp4C94AHH1cDxKppJiWqNlmBIIrR4rOJWN9V2J1a3JWU97f10Uh3d4EyMDH5Pkr6HTZqW0KANcUWYK99O9fKwZEOMxVqYD9WQsLv2kJW60CpHL/xfefLz2R9iMKd6h0tzUpOKNzYv7ySUAJm24kc0SfNMRYznrRUIoIotsBp181k9VHoHFGrrtB6GqFANShcXi3JjVUVEE31EmBJ5JN/MpWd/Bxz5XkfTkyxF6V1DEMwAAaHdbSKoHZ2ONiVpAumfEoMA8QaesDbOUee6RsHCYakPQrRHtFdScBStpfv73DBRwA4pig86lpND8Zfh67wT8LWE+2ouQ33mBeCK98OM1R//SD+PqA6qv9XzQixz8xtQasnaO2C55HEiJpVCuJKJXzFiRwyt9/NulWsMND0x6rffVhIbO0csspbfYt2u3r6ATlEjhxDkVV0rOdctolyrpX76Yr2mRqXLi1IMLuTzPhvzM44/N5tyfJ0txSLdZd0VCQROBZ5DsDkD7CV8kD2u+x3iAw/465bkvoq/XVm+242/bEyKnC0RQ+crJi/EDK5SSxRl/sJDhyuEJ3qvJ3RDOsVuMJlJXIzmzmi+ofXfL7OZ3Jqz9e8UGrw6QclxqiNe30C6VpdbYhzUnJiXvsuZ7qOdUuO8zs6h76T30h0RoCeD/3V7LL+pZLeBwQIjzbOjGb+pTmRtGmNv8btpeX6oIVT2CTkYSiaruDr1IvM8ACYU3WW2yhCotUlkh5HFblBalDK20YFC4MxeyM0Jro7mO6EYLJLeJyTJT6sJQimw2nYIK9v16g/W75c9PDyLmgzacXOHgZX5wxbDnFr7+B+c804d6GQ9/ChQTrKFFNrjYDhEAlI36JBQ7NHSTJC0gD4J1KGbS5O5vUDV9mQQOmK19vBABfK4qAWijW9sZifANrUk8sK907I8qKZ3YDGFaujKivzuj8C9JpQrFyCKwdH2Wdykk6R9T1jD58cxx4sYC0G+C72XTeWqR4RIs7j8PZJv+YuenqBH+wBq1FxubImaOOVLBmGme/+mbY2VrwEzzV/pquD9E2WFh9kCSWhgG6EHb9fFTiwPd9OTMwYFVRM5G4KvJ0f0+uutVvI2ls1wQM9CXvr/FkOEobtYNq+WB7N32IVyKNdvWGZXwMf6u+NQX/O/Z/6z0FMdN0DwA9FlYgkW77D/Lay9KGPW07ioL67y5Wvw/3M4REpXD1dnC80JoLvsoSlmcQHJaiAw2JhhzSgzzqFc3vVxMr7IeSIIuRYlbptb+tBWoneDie0HBli7Xt5L1GLEmso1+7yJRda4neWNI4SfeIvecRSTCUf+qT7hKECHSojk4O+oP6ehIdrbDgtlU6LkEn4Vn12L15eMyINzNJ7/JaHSXNXaCH8yKzIyKUsC5z8MaNBzdu3Xnt3JHRyvrBcWWDyiRjRdkvkKSsoVIE6fA3HNyXPTSOA99f+GuOdIWdOD6Ir2i2fXyRZdPnM8avzF8jpugOELiKNUQ9bJLQBOrJLBEcgHm1sC1ey9kIL70krPcN3860WwdBFFk67kvv8aejVqAMN1Fjqz95VlvWUHynK5D96rHjlgOtnUz9vRSffBa/HEwg4yvV0kMI1iHv2yA0sUUgC0BDSZv71h3G4OKfZDD9QHuDyk/sNlUsCI4Ai+VUjikJomWkpEr3BXhSjRPimGrdY3ebKpwFeY9wOTXV8x+D3iUZ/jqJ+m1z8OCRHEsgVu6CNAeU865BwW6xrmulMpeLOlMZVGIO28ixXsvVb1owdmYPy2TvNyTRVDdYplY4g6xM4ISRHCrrj6WAdy9TnwufabJjJHkB7EwARVHnMyhPj3bfnnAymcLMMiLtDvuHhXovxlaBL8+koH7YMco/ebzFapV39RwntJyrkLRwTXEx/Cf0zTAS9/nOjyDOWNVDM075erJLsUA0g8HQM9TPj52PT5cRlf2uGa4bOqkYb/rMStGtZrqZRInvPOBtiGJDnYvwwqLdsvzCuEPHvlQ1aUOQp7YT9HHeTTcJNWJXB2l+2kkmeuT8F0hZB/6vhYERlPy79mjY8grv92OqEzOLcRybKsKqUfsRKB2Gmd3Gtbhy67LspIptXL6ZTVOnoTLjfsYyzrnWCRqjIrqIWZmP6gioTEF9pti80wubdxcbcpIb2LqmElTXi3bhhbV4wd3+M2j6OAdlXSEgYVvArYpeeiYODolgS7oeJCTCyCzWiR4o6s+I62UPYMG/68sSjIxmFakGYQ+HxkxEwN76a3fT1AnAMxy1OntPdjuBSQ9/pWNcgi5Ex/dMJxffyEVIgYqETJrSLB0374YEgeJEkQsSr4tZVHjwEkgP/f4RbBrcrUNOTwOgWXzDTlnmug24ZlcliZqKV73+buzn388KbHRGY/9Pn31F5Y14zvGIvIYpPpH0+Omi6/MqTCTohYl3RDrb8bXlskFRNmxXJUbb1jpHuNZ4wRqXSygALDMp4/GApqfLtIsHW3JhOy4LVh5PjVSsf5AJ1Yj0ZOIBkNPCO1mIxHAFf3tWbCJFpubnwBMQhX/jRojlphHD8LGzIK7N5u4pFkXBJ436YWTa4Qvb4ovAmkRid/EXeEh70p204PLwNHaTqAfEHwpRlSPSTfCOCYpFtJlB6hckQoDtq0hS1EoT9CFYIBtlkmBLA6xBUPJil78QbG0hxxCbRDmV3QjDIIvzgw/57O31SFpCtw/3J0u+Pnx+YZFCxMdElp6FVmKctVh9CRF1o7OZTZD/R1DeJZaPsXrYYwmaFOPGPzgAgbLD7FBtrybYKX2mvqou8AjI4HKLq5jO3teZiFXnp4bvnPaGNY0jjFy0vVphcLEFwNJr3SZHferji0+rQCr3iMCqC6QPkJ8I1fpCaAOuw15bsBmR3RxSkAxW9LuUl+jAoPiRomSqgrM1U16FFy2RamqvAZb+fqv5UeRacTgqLykb/w9z4+qAH2o0DtkkEulsYW/MDSbugrNafznyg00Nv7epiuJ4PRfjHzHEDPxZjRX0dlncG0iloihqIThvu3uOPcbYMkpDjU6LBrttDEzRtxAnRczvcDX84DOg6xrHu593z2HSd19VLvALAxYhXWCr+hUTr2avMemRRxQ9TwKtUxHBJ6w/O57oy0kB7leIY0+rBrvr0Q94rHcQq/TknNJOAa1J9cpMx7ypaFstWy38v5VWlZXIPCuhblQNZaxgI1o0Sl6ZOpH1GvKSEk0LBMH5MQaRD2Nsv0egxoBtTtz2mbO8XN2bZ9DUZuMjk5aOgwXUKKCh4Eo2/zcP4+VGf8wGVB0qcIagge4uBXkn/2lcnRgttf2+ffI/6W6js5hxi351VXXTGfGJYbvzaR3SZ+WY0Tmh+WhU5tBKyl+AWRcqBw6BFv4zMkMkpxHBAb1san7j27vUc5L3x2dzxom0RhngoyHSgDfHM7ET1BztCJ7xL/I4CpEWtWmco+Ys/Gfm87HsYkrqplxlOeNWlwZ7cXQmjeOIMd1Jx39JcwbtRgDTLdXSMI2GbRihYuB+63Tyw/DwrKb2U4hHtHKfFvQbF6vPGKQAfC42ofjnt8j2DgMqH2+vuF0WD83KddFRq1R2JtC0f6yLe72yCjrgqG/KAtKsrNkuPU4CGmsgBT4WfQNhgIyl0DkmuVJUOZlVadq6j+zipsDHFsfUNwmWiplqkmp93IEH7biRaDkLIq5jmRihRkh9kQ/bhyraVwjn9VB75T6/IBylpCWyd+ZjQgg0E/ncgI9S2pHNrmJIk87twl/WfSos3k/lC/I0pWaLj8M2bUHPD84i0Xdn31lNHHygJF+wx+cn4BCprfhcS644Y38tVhZUTXKAg8q7h7G7C+EuNVRTv3tMDU83B3OZ3GOWY+SEv5jPxXzH9Dhxw8fa4H8KmNQ5AW+idHwTqdTWoV8V98R5yok+Ck+88COCqoEdJUGdtOK0RUGMkZ6zGXY+TAp71OBaNDOB/V1HclwUDruhyPhXmV5EBGTxGnc/tBUtGCutIso5epmV0yQFTeJfkgjcpjJ+h8awH3qpcWAfb9DzZxXWUZwJOs7acsD2YYaRti/CxeMloidOs1tA7bV/Vd88GNVeZ5onKevGs9h0o8HU4mxAvTqHmExT+8Mdi48C/lftKZ/CsGy+j301o9oxHyX/hCADqyyUwSKvKt/QGbL7sW5VIgRGLBKo05v3cEpCHtNgse/KEtcVyPvIwjbVJUZc06criw41gsf8jDwPo+nmr64PEqc2DhkBxLFytzGxXiXB72IJ93Hlj4mA3oIwm3yummuo/PWRuefW2l+sxdWXKzr21NLNRnny5nMF45I+1VqZKjoRUo6wTHfTwtXfj5lG/vbSWgsBHwA+hXw3ikJLj1h4kFoThCwvcAd5KlL/7e8LTY9OCmSkBoxY3TLH0OMnOs+uTq4sLQQmFfJjRxs+qeBEdNhS7dqJk6zwM3Ae2u+FP0/bhGFNmkFYrvFlmSHq1o2+0V5NU6nNwf3ZHlx9+CQLoRo9uVfKNtJorrMoGE7WMKLzY7VHyuQoifvhNVLnOvfwCK0K0buEehY6fwZGIgxwtEKps8ZpoqvOFC/j0HvtUya9pGybz9WowjIdu/tiph73Z4MjR/mK4q5IKs4FeGEHSRXa2dt4w4Vn+B/re/cggHjxo5K1nnoVS/gpL0fgcXHlv9geqPOj+Dms0MGFws/GtfqnL2r5YpUqPG0eY9gj6o7FxVjiMc4OWBz0urJgfddyfBAdOX60VR4Zlulz65+9HEvghZboz44mNAY3Ro7vhag4mwXqeABti0YAn4ieYK5vusdmHhpj9/Dg11xeJM8TXmFMmN5deL29+UwlxyukHYS1LxwDyATuosTiJs7argGITlVNAqM/UVXZQo5pdDmY/1aP3bbc9qRvdYKuTX3Sf/TI3tYxI4r/zFt7HEfGnqV3DDnognm/M2d6k6enzrpH8+FZ8cZ1sDIi3E4WEXDN54+Xvu7R2LNJb9vPIl2gnz+L4VRFDYt1ZIQk4vdJRu5nznBDw/GEXJDDHOe3WdbSBEiVDNTwx3H4BTfXTndyLZ2dhAxRKp6E+jsEFx4VbNSg4IX39ImNhsLyrdWN2/qmxPmM57hW4GGNHcjW8MHnPzGFB6NDv30hv52XHExFfbArgziqaBrSUpemzSq0WZuH9SbczxqKSn1396Y1viAudKv4nYuvAb4N+TlD6lvzzA8COn8QnB9HEY/jXwi38ZAx99rIzqRTNeoxRNfrxShCiZHuVdOyrttkMk2dxUvvRr1mkZuNWjlNXPt24cw1cYsnEl8IhBsQVrJRqtxoHmNc2jS/29tACs88FsvVsxX3VrKzWG3B2Ypu+GoUoVRY9a1vhG1UWmDFJ2cID4+aUUj3LDLdR88y0pfrtkei4O1F7+vile57adJGPvS5d9WFU9SSi/HeaxyQMG0CCHHuMXiuN5ZgdfdGcK95G1J+ryLJ4b4psxEBAU6xuZgGPW0JfUU3ldRU84d4/325zWaksfkReBka9871EjJ9aBkuLDeSSK42g8haSPLxiFlqMv1YB7V5aaZ+JGVfwfaZ42PJQO02prTi9TJFMZhJDUBoygDD7ZgJ/bOUWXvDAzebyW50zsqWGGooXm/3j/cgaeJEwvTp/VADdnginNLgbrVGJN4kSXlkEqipY/frc9AnnP0kF5N/jrBXim9/zYZiAm/lnQD/zLojOO62y+FVzbB81YjA3OF4BekRHVGta/8tswDxttsC7+6wVM0/goqmfBTM3nvZZHeJwEr/FAtGlKpWo8ENWJp6NA9WIz4iJcA9WlWya5xKMCNt+nhx7Vzkatby/+B8K8DyRNOwcfV2sMumXG5byN24FpNzjvOxMZ/pUocmVWdg5iCdcuK7wISF/iWDgRZl3IYG/y09YF1gMyeS4THjeBM4B4KLmfKXRgug7l2lanR9RxUKtABRptpAYD31SpVI9iItQPCQzFgk8oyEqEO5B++r8qa8xZBjU9Ibt03dejXpPx4POcTbPp9axUje2Dx4J4YpVAnqfOaOtufA5xpSdbdhsiU9Dc26HS2/DX+ifLesoQni8w1avl4xd3lIK5hsIymM11u5jNhcg+RXfny4dXbaU4ngMSMqrrg3V3p9Ocmuy5TcXMyfw3HkdFByGqpAd7NXs3hF5gxPH7yqoTZDzubi2HpVOS24ecFOCD70lqONwKFWOVQAq6Mbn+jyYh/HyzrH2r+/2uUgbADt0iGn00B1qQjmh9NwQmPlrOfxhpht13MTrdjrvg4mHs4U0lhnVcG6cDFTCMApCPlSg06AtaM0mamZ3Q1XXN9Uj2lrud2zuKaLy2kPuuGmvzOTl/pYeqTmsa6IlHvrNAPc1pmv4HzFnxfCyWJxB1PSr5sjdHvA8PS6MadFVyMpX62g1idMCJD7VH3tQ4COEDrsxOOuAHFsEZchNZzhtGXNmRgPAgyM7Qq9EqjvxmSWBVgMJ3MmoeOFpOe5NQ6EWUi8+zBmV01K3x27AQPHjOQ24CHdh0KW5yENNwgop7sswM+HigRhSpnkpVz0Ivxut+4XIMWELX6dAD8EwADpbnZPQa3FmEQIsLDm3ZrdOk5O84wdVbL3IlGXBP90p2sC0WCKQ9faVapryPkjrVmd3RL+0sh/GlLWlrhWLPyEeWPmA3d/P/yiobY5t/BQEW542jjFqGJf5ecCXa79L70tbfg8FhbXpVsyjVYcnbmeNv6lLGQ2uLQd51NsAYqzU64irgrH0FVqYgD3oxkMFPSWFI1a85znV05G0Hao2klZ+j/kw14O1IB/yyhs+pxhxuDayXc6Yvif7ogx+aVALb55pcT9ttHoauRt3kcUjUvok1xlCkAounfZ2LYZS+OKcXdoH6vN0JwEACjsgJAJYy1J3C4xbC9BT5leXd7wrVJWVkv+zHbO8KVPncVCng8H/ygY9e+V8Kd7g384qnQynoDNR8ky8mISyE7Y3fTdkqo+dSaYAG0ZFNOHVkt510H5yWUO4krP6JAvFY9LbhJYYVcuF0OPsRJiV40qIzueFbP0adbFIG+uI3nWIMzs1KhGD07O8nrFEUf3u3VbBgV/l9s/tC79JR8AnVBpB/D5mgHFGCrVJI//5mk1d//RXWqWsYsS7oG74lhvoGyzGCzWDX2T82SGPGzM8GE12/IytHeuLQBWJ5w1Gtq3hOAMTEXJI/eEB3urYvCPMwcHFFmOXZfIkaX4BzI87/dsZD5IUK2OGszN2fT0hVPVRhNDVhgcrpa2LwbCYmZlKhb4qAnogHJXrWiNv3TJ/HLy2/pAi4t6Yh9ymlzG70Z4odKVHVId7JLarlKZ6C029SlEp2ffd7NtGT2W/wnl8kZUWUTHNQIlrGeScBb7Q3PysYiJYzwDI5CAj4/qdQTOD5inpKb7GEk9sjR07Qke1+YK2a0M1TD5hWqqlfjaU3s8+r2CAK1ttVrWrCilJsqCkb07umzJWC5YcprOA3ULyavJWbzsl0FPwWKbF9AA8AiKvVmDtWXQ7NVus+H7/pb63em9jCFOLy8mjLjrEA227JTjqAa+fZKxCX+u1P5HZ3vt0azh9VMFCUdDsOPQBhsPrh6xMIKkwHRVT0Ri25DtMqtU0DZ5wQ1l51FksucJ6fhui+XmzTYWy7Dp6w1UTClOzCDmnny5WBInkV9uoeKnwN7IF7oyEfp2NVq2lU909vL324922vro5AfAKbqJ4yXn4gfsZEzkP15oODugAYWHTQc+FQzvXvjyahe3z/VRhTVCgl/dLfdEWKX5zMd8+nBp6ijEgyKtYneXbSeBzPsfwuBPi/gCTrz2qumCc91Mcyor3C7sqM9P+O1/SAaXOGk2HR2Evyh15zXCRDzw4oImmVN8XH2eAjAHYmabk/n3FWpEF4bbE5JlTpAZBJ9DujP+vLx11bJiqHnCY+5SQ+at3sUS4kzKNjOU60S8Ieww9yHGCX1IJHXWvoBuNaB7cgxv/Iv4PpQSJ8d1XBgEcT4pEgWmpYxo0fCvW/qA7PjFR+B4LcZy/wvCBCEGR97MpTrLDrnuIUq+3f17HIEqClZjqawonHWSnVRjZseOfZzH9UsEnMkMKdqjilkNGn10G7VxA0gFjv/vp3BLdBY8ARRUEjNcpje5jGzLqSUIPdkKWADIDJQLik5NfVecnb5/Z2Geb8H1pgTl3sl5rLQ1vvXhi7dJdl+qJWgrfMpylXCjj/mBW643KIbfo22sCe54vy8fBciTxST5Y5TQLbkTDhlheTiwT6c0tKht+AwiDF3UTrHEcCjt33+u26YeMgL70M6r04ki7DTnf7rEteaJUaP3T++/WM/hCY9ZpLO35OrxmRc+wyX2rVuzqKIQQc/owEojmCfwTJzS4Z4DWK8i3TCPmh/5n06bGGR9INEwHxpxqNlT3+//EVrhXneEjxH4z3lStVtAKt1qnJAMktnkoos3k3XR6Jmr+rf1RWX2RASKrXTV+z8HYVfrAZGHwIasMPUWE+eOTQ0gfiq2IRmzxsEGoMJS54xJA6/tleekf3xkj0pHy8+vqfjx40erm1c+Rpt3grzhM/a7MuxvHOO8fceHP1/8dNfygRjeBhCQrLhCkd9gyh4Zr50/hBE/sLhWzGkL4Z8DEgxa5LKBkpXrdC+X6iCKXImz9cA/xH4UZYoGLAbNlCGZZBJdyGDiXrLxzSNzjcxB+zCK+CU7YWIEfBcgmhYKxN3vGPXnY+YKqyUQJG1H+6VqV6G8bzYX9GU+Zv8cGnY8WkaBXwe//GvMAdtO/z9/9nLhtiP0RDu0nAAtD5t7mX13zTZ8Oqv3oFSVcxmVK9DAYM6EyMI4ekrj0okxvz8NrvCJO0auHtJI7vStaHwVKv3rMvn11yuNGZm77NjX1amLJO7l7dyTeJm1UagvwAU0AqDNPw3nALn3fhQ0MFuxNRzhhL/1cwOcm5gFDZ7sYK2o8U7hEJpIwgA8HkC/A8a4ptPM8K2IvHYmqRZtvM7Q4WlT9OqAEIQMi86UlPTLx3790+l7G54F+GsEtEgRqankpbDfE2rkkS7HH8mAdBmVIqlcscv2PKHyDrF0F3nCz1GLncyv0AmyfXX5HylTWRtC1qG8QYpeap4hdkonKlPWynsaSTFjL2Zhgi37J3/sdVqUqNgywle5Cehcw8e96gANWnPWulG+8bMum+zR9Q4DhPnXalEYxIFA69hNsqPubH7eavFH8H2tu8Mlj9Vr6ZTAcO0vA3SUtj00WzapFBJrCJfu1tFLKVUQbvWtq/6T/CyQR2OM5Gk0ufiy+/Z4eYMICl6nrwoW9By20fLwXqVzc7oJ2/lq00um5tFpcwMDN6jlj5m7yyBEzADUZx/X9u7aC+89Y5gC7PNC2bDYSUmq0IFulCwdXl4ufFVFrOdoXRnDRxdRzDcYaZO2vCvY9y+6fBOVmo0ppuOqa7T8lJCFFqKGgORBM9alxyMKx8M7XVKzCfgumllvWO+FRzt+tTNrkWXaaJQvyNt01XHZ+QC+lxCwcFR1NiX4GURaabVLlzG6rLMsAXrlwQX83nI3ciM4nOKX3+1u1UfCCWnjPJ8NJQrPQi/0t+lDAaFsh4uy2oqlo1/KW7sIvh/xk0sg5fXVvChB1/fLEhkHa4TmaPES2TarvaFNtjXRkLz10A1qS8NkQFNlzfroSsJWaEVajaTNHCIvsZioArRLW4/IahDffwJ1LbM3SZwX00ZVtqH85N7bGDJe64NzzLfnXxDOlBATpFolYHDhc/F07RP6BSQDIrDPBh2ERFwFRjqBG6f8DlhmON0cdND3AqILqj8/6py4rx6hVyOW78bt8nBlfOurdL5L+u0+GuT9lisX19MX1hE7e4VFLIjrDuOQW52wr9IebzX91ccRauu8008I/WaZjm5iAbd0dm69nIp4Zanj06vz/llTZlrP8AbUNXt109A91B6Oxizoh3Hmnj7qnoWoh0I78hIUwvnktgeTGlgjSc0ela+wA98bCuIhzAjobukaqS6ZatIfvUx5zzE6D8yCHa9cGWw6PVUlAXAtJifpu/kiWPVNlwvJJZ7gMkJU2FY7gNwU8UJK5sCiOampl2WHiTfSGyCUOvxib9lQbv0ff2gAGqqc1gkKS0aX0+bR/GLbZ1aw+qEFEEKrLbhR5/5gbhAFLh1M0WcD5gqI7FafhbKsetsdl6ShUEJPd4h9u3qYOcRjXQyFc36L657Dd7/NB7UlTaYrZEic0y9k0XFb0f4dzX1T6Tt+WD5/T/Yabl/XLQ9Ux3Em6Ap6ZmIwqpMWGelq1CEJth9O07iuFTshmJVWaQzKHWIKbhywihahsVQ54gqX2ET1SE4IsJXzlj16DAGhKR7Ki1Zq5rYxL/hLzy7g2fKwy22+JUJZ/A2PS6N9Xrtl6f6uHZTy9w2JTMQWYMhjXW90yAtVZFhReHMn/Gfhll3mfX7MfX1z4iA2r+KXiCzA2HJrXEF6JfnV3FG1GSMbQBWVO+xjE2j/5bnTLnYEjypLVXLcCUmD+YIXVbUdU7k3jSzcvBhOJZTKQkRCL/vFxc350pWUGVE476gIdyk6W6mCn1zn6vDB/mPQeWSR48Dhjb4W+YEyZDqoFc6T52NNuIV2mk0HAVrmQ7bpaxfUI5hNik05CuZXOefixSN6MnP9v9yB/2m9kU3IWafaUkvCvLP8EOgCbM6wwPBdGX6Yap75oNJwzU1lmDhHwElhz8uDzo558W1m1iuYZcMAuKW8TluJGnmLHQ0tGFKbJa8qsr6024pOwN6uCotNjRsXdEkweCdfvd2y0aFBJBIL1HDv5A5jA7MIck1z+xUCvK6YWqwYY5Safrs6dptDnMs/MKagrJhlWnx8N9/Mf9EpO5ip/C9Ts7A53N94ZPqVsM9Q9o7MnVqsie1jgtfvU0XwKTmjv2GKkSitoB4tBLLtUmmG2xL2nO4ED6b76twKteiCMdpQGLip3cceupMmDealKFKQhJvNIYuAthL466NTn+KXpN5v7UoZF9IDhtMp4LdgwRo5qYQ0TOzwk2be3E+F/X1YeFQkZ+f1hhXQueq0OfbLAFp0yRVU+kbrUjNLZa30DG1BOK7a8HdTpNxGDfOpk1L3kJ4p8UcqhHBExPs2ccf7NxSysY0vWtcEMGIwqGxzCxH/CfcHG+nYctELrWDL0X004YOwmHElWfJXhnd+lsDJZt3bfqg21TwoNAKDw3iU+dIxFdD219+FaRGZ2T+j24+eQz7B21MQGFwrCEG7h3N4xygPSXBkbTU7/qV5SL8PAAf9UhXy3qJPOJl+cJN2WruHt0CFDMN+5jHmtveHUxaypkc/DyCs/BgiP4WPVtLIagSXWGcSS/HgH8eedR/O53b01L5aYTpQZX6NyXQYVDe74ujxgJU7hndeQwxPMCycJeZFugda+KLTigKhMlPNPGvFFwRGpUZpkP+cbb5SUBijRePuVQc2EEMLLdGtUeX2Phlob3nN0GcnxSb8/SBHPPk5zYq9e85+H2+Uj9vQWbuRb/GvCLRv7ruHUvfbp0I67QRHypY2EdEpb82TTG3JXJwn5azHQf86oPydy6crV1Ez9lzgC5SV+CDDJpMyBv19U4TIyLwJQQIWTRfjI/eu9yZFj2ph0YFkQvhxzp7zek0br5AiJ/2jW8nCC5fKD8LD6FoOYjZVKbdcwaiYddofpm76xqyEqRqPpD3UtY3LjPnBNIc4bacY+X9H4ozbjcEmwScRxZmL0nWwdcjbHF7nbve2qsKh7fcpqBjjigm6yeJiFPXDmYCnTOW8mMvxt4lZ8zpSdp/gbfElASHhb165ntQYBEPXl9YpX2sBx5pKXkRgSo0PagEQldNn3gDzB/6FGimsDvrQqAKYmhXLLDD9PzujjSihScJ+Q8XG+lWhQ/mYisVk94V7iMMKgcTUjM8zIMCezM3cQnC/DbdR8SKQFViYiD5MSjQNDKwuzIP7Q+wArKsmN8rQoexoUfkOx8MO7QJlARl3hu1jIplzb8/ESiUsaRvPF0UBhUGVzah8hPFi/7HCB0UTFsZ/eRJPAz7iI8VLDL7PIt5QM/8MV8fJKo61lgnZ11MOG4aNmL9a3UAiWjs8cHjfexTPIlJVeZLBjnWjPw48YAFGBo5E64lco8PPo7CGCR3sJUBxHZdfREhzLhQqwEjFzzY4J1yDEL2wK28yIop8+Hp3FbX+WW/Pl/DBYxKsSt/bkq2pegDIqAmw/jb6di2ALQy6RV1fgIhdQvBIX0sl0EZahHDRANT8gcC+9PVg4p7jOFQ0LnjSNyr7Kd9+DwGsSOQjn+ddKDnd9XfD9xuYTNcFVjc5+Yw5uUUXdHhwPzJpQP+5v1GwY+7uNlCy4AdAWbSC73Eq/XrIyuLrphEt06Opqsp38tBaEi9+iZG3/Eoc5auut5UZi+z/PvwoVkRiwISZcNuZR0NDTfgsHRIN+TrilZlxZbtD7kfxlSInfRpnKLMo8V0QEA4QCez3UskNiD3wwrwuIHxCjgwIPToxUXJZ7rUH00qg/n0KROwSyTyXL/n9wok8WbbRq4NLMMPmSMbxZp92r5b/OLK9eyHxwP/tlHu3x4zsMpe43AnE3fN8C9wMtgMlpFbx4WeRZXv6lMYxyVCw260L84AECbocZIgpGgV5xGRjuv6SYUa4cdxhOQpzvAsY+XmvbxrZG50EKKV47qfT6BDUGu92X6AYIA+4BTbyQ1isiRGNyHgL5nePQ/35d4Gn0U1ZXl1T9Sb/5S+APYVb5KvvNrf/e43eVmsG/DMfeOvKE/X9zTmzdqXHhsXJnny+JgQpEH6xLxJv76tPoP93nGjhNSKnvCLVbrRSERg34bVOGIhbyNEF2pKpO4T0Y6mVY6nJEz6KsuXCBlbzy6zvBQgYVbEhWtkIjoBAjBqh7PGnjfZgv6Wn+Ox6D6eF1rzqaUukzG7mfW11BfAJB4Hi4OrY/e1RtlvkCdwbAnOGO0DnIRdaMAvDNQKMR1OTQWZR7jFko10qxap5JIyN7ESKH8WJbk+OjHdKCFihvj9RUkAjggtD1GltzvvMZpslwoGkoOc6YpMKVigfUXGPD1HEw61IZ+q7/QrewWXpvjRosNXBBiIYy7ZUX2Hw6YNKFZZriuF8RgOWwVQ+QN5i8Q2plAP55e3RDrS3gUYKl5bd8kTxXpXsW+vMsClaAfow2S9KBXuoyHN+rD0+1+kZ91lPsvXAKXBArw6SyjRN+jaO5nmkBU8R4rJtSE02FWeyKJ/xcinePH/X37jIpVb1aY3YgKxHDmjipBbPcOth5izHrs9ixxcmBF9fGC0itbyIk63ynD8P0Ouu0qJXWfZJztDK5C1UJl/pUA2ePhaVQWWCp7aT9quKgMACzISt3uLQ0iYJP827/XvMh9n5jDdr58+MSatqH/twnZ1RvKMB3z2BMh+bs0NqreB2J8YMkwC1dDr01Gjvj335LAJHwh4KmKAkRdsvmP7h0xBAo4QAJs4NUZnvbXReESs9K0fISBqyw6sIXSDr5W0G3bL8aGePDV3alJ3l24cxN489GNqpG3+VDOHvYZFw3BtoavpxuxhEgEU41zEmK5T+9mCGnYkg2NJLchF0dm9hym2W1nZwiCu9y7BRItlWPj685kq21J5ojumoB++C3yKWqB4tYJJkF2mNolusDaxZuZBqysv10RCPR7VflfPcDv4M+lyTU6z1PHMP0wFiMJavPxSHcl2EjmV0J5uQyeqWU5gyaaMN/LlehBdg8WnU8fFgw0qCbn571XmYJ3ULIkG88JLvnss0JaOHwIq73L6yESVtAAOB1ktzdLvg90+nKhWF3SuBy87HX45riDdAvm9+oI33ixIfSJDN26vHi1tHm8/XRJNUw6ER01F5phPr12KhCtKLcvRl2Kzm5n46E8gxX95djV1S/Icqqme6YZ3thdXOJgLCkeZhYr1vIj95v2mCrxUM4Ubusx+D5quPaz//aliReJeQMQUjfjdQBbLc89pEYiqpsQBg9wdqRIvuOLdfNbLljv5P2HtxMV74BUdOnW5rqlDhjbgVUZu/41vmGEg12bap45Pzd0L2X9O1CFDM2SFIel+rHs87hfvXCVRmSusBEtiQ3Vo18aLDeRnNr7qMg0nubZmnAKK/732EWUJspupD0nqmfXDeI7WXIegD2D6f+khR6ZAxQZZXqvo6xqzxyOxefaX8iNX9pltPSPIYsf8sAoaZjGJh2NSXRM3eCjV+y80Udn+oELmweGSBS4A6Bi9WHM6BR76DosGBrhUYN6eaLu4YvNbznJHRZ/D0iFxOe8Pm185nRwQ7i79wtvPIO8vrT12tfB9ZoSuZ/lyHy8cvzU5qLO98CNHK6+YXj85ioHdvSvhbT3CsBuXzKgEAdy4gJStzf0qklxF6VI4uxABR/48HhADIeapOEXXZPjdvENzjm+vaLeAEhqzAvLkvnuTs24unhfytlsZtjk7mTh40ic+9E/bq1Lgd5do+Cz6BEZmQg8nisT85nTTeEzrhDPIJy9DA3aeTP6Ut8RfU0YQucwFKcavePJ8OgmI0gp7yzqHqozxLQYzUC5kUtWagFd4Mfhh9M9prIaS+S7mn/Nm+zRXsNAxJwBqVKiQPRg8bH33/4Jq68UFGiH2mV1EKuQeeyHrwUX2uZROfK70s0NvE+qfmjL7Az37ezYll5V1y3Y0T28AI15VntlkJe6Gly85ac8X0bwdPLkdIJnzdCveOhuLuWIeJqtPXF+Xa2D67PCcM9vxbEpn6XZyK5QAv0LZzXUoHxZgfWNnbpdZ7qn8xg6H5F4wxdek73I9cA0YUGdDdu7dyT7HHhXzt3hj28ZPu47HEjX50q6e3ytcqcRAm+W4bGyZcutm3GLUjEuxynq9llkmSTG+6fAXm7G/zsAuKLGREKJC5QQupU7li++fwV8m3SvsMMbdeFB3acpEmrC7l8o5o2UNO8ZXAYTPMkIX5cDoAJZ9w3cu6VGdyF8kH9xA0tdkX38ObITEHYQiFb6lfKvjRC+F+16TIU9wcAhuFeLU2hBrWnyjVZod8CrO0DAfi5tflKPLW0d0F+6EczAFJiNRxkBOhAMS7dvR14Sa6uakt6tB6sdYWNYbHkizi7zey8RCG4puqtuOUeN5YWp1LjjT5Lrf0Ff9iFxryA5bAVLaBUSnvRTwWuWGt2zFBjv73JjCZU4l8bROnE5eqDFB5cg0+HkBxhOfHL/UsBU2C13KxCXE7323ahMKpu+wMWmI48dA4VJN4Jl2xBmNPE9IRlPtMtx1zkNPOLsLN+dkhHL9Y2MCxDU9noGib88k0FNLQ1ud08EgUEjVITO25SHGc8D4GirZ5YjAaYlschhAH8p27+mfBrqw9nyXXf+isGq/atAseq/QtYlg5uTywhOWFzYT4iprcjvFyDwJL0/QqhBKQD/juR5m7EOXmayudQH7yThLDVhELRd1M4+ZvloNguH8eVKFkTCgtefwNf5+U3+UxKLW+tMunjpdOD0n5risnFi1REjFRxYEQSOE6GM81eGwXQV9sRvYKHw6nOo3J/7Kl3bfhKWdwaUL6IZrDQkWKd2gi8TBhJrfuUCTAcHSzr/Zv9XpMJDWgGFPS5Ia32TKXIXpXXblCibvbJaevrvFg7Ui8qqINlAMmHaBk8kCPv5Y920vbaPzZkTX2TrHGzRcZz4/jWECfsQjFp2QfQNaaMqz+Owo9aUtA6X284R7Ci4iUqTEWoSTq2g0gd8VXry1lf9Fk4lF4b18ohKtuOUWfA2x8qXyFW/529x/NX8sUMHN9+vra8FMn8Kciugn3e1iAZdTkXtBR2dvErVOrm6to4uYI0eQR2WbmZiCaqFTmz+F6ENjcIiUekbE1t3Mq95Cx+BSxHwo+vPtKYyTMPDVTEfaetLwFxgRF7UbyTnjeGugx5HRGr3+xs5SfafEOarDh5oBfkYOEOmG3b9biiy1CaZPq5MGbEIJ7ww/QRbqxYkJKBd+3IDLIJknqSHZTK/AnykB9V7pL8+mGZEeW7xNZrc82ZYGIzY57XlYDIWGAgN23SRKDzKokQRzTRASsilopreQnWqBIGiDkFo1E5zxF4HabctrzCX+HF1yR2AxmLwUYDa4aE2FzUK4Zjnil3PwT5GP+zZsmTW0aau6Z5fCozxMnYVdCia8nW6cr0dogYSGsTlE8DljGFlbE6K3QmNRe80qmqsRf4SaCTIyIAqbqkINNN6O2665EwBMoukBbAD8p8+mNRpj0WQsGw8SJcRjGBLtbr/3rXjtNKnR5VM38brH7rkalHsdMSIrwHnhjizg/x96Gq55I9U1H4LnLy0aKkN4N1hyyZjqH4vVcZldzdmEaawiYVPJUwuYRp33ZPQMFaeoAIu+3G+dSvQNnVjbxB1EGzmUfrpN/iwgstCVMNdaCYVOzARrRaYf5MIzSrffWvyHyLXFHsGDUWEVoi1umJl9V5oxn/b3k5ygNU21SM+IH59B0BGjLToZNGwqut10mygpUjumvYtc7f9ioOYAu/jbk3qV0xLXbKx0g62K4SlMg1dB7dooSlSn8HRw6WKcJ+NRK/UXLIFaF2wsVnqkJXOh5pDoSBx6nEzfM8UjOhvCIEQdgH/Fh2ghPLdur5qeRRLlweIpgpX9vFRCVJ+Z1phIkzFahVBoLR0VB6+JGs9hk7YDoT62iliosda9/nB3aEkfgFEcNWlaIhKIsDCOrPADyNmBaGkwZz+bf4U7gawKQedMZSMLWhDBPGV/NVMAkCMZZq82T91wDFVnIXaWkjB+h0Jx4+kXzJ7KOVNYT8ul+teOgqThSeq4B0Gn6lxPTWUvlh8ITH0xgW60eMKp10fkM3vMsRUm6I405xyByG1l722Siw+F37huBTxlDNG/Ic8a7cNT+HDpBgRZ7bAUa+nIp0iRUnF6ti3cwGq1bBHouia5GLuwf2dO7GLLTJk4r8umOWYTQbCToz/JWPaGseRPYZtVEioiwrvqUcXUF1iVGXVe37kY4/4xyI8IvLf2ci+xjjNbPY9SYbsrf11wbcHL9AHtqKygWTyKLTKJ17z9l/GFDffe/jWaipoN9HbfUd8vR0f6yUX7G3PyIU/DRW/NxqTOjiAV1lgLGxHICW/uNNlcozXuFbuRug1r7eIJlNR+4xy/MrhtKLlhxishX+Kt+IgSnjJqa1FwrWYXvVxSOfjeXQuaH8i/GwuhdY5wTOM25MUcKVGz+n357taAiXaw1knCij8dWLd06dALdjgwKjubkmjX4Bx2AbSyidm+wAnbdc5519XBUdbdsutWpjgopmX/Gmne38i9RwSNHUtZXEVL6TGR2F7zVNhR2J1AmxgO8d3L5Ur4qzc6NBGOLRydKixWC74KNQZXBfG/EEX3uB6knShRNU24dDi1B8d7AYi31XhWbWvJgwBeYo0kfsitIx8Zo8kleShQ9xXcyVW9TjpZIxmUxAvuYt8Waw5UDIjNxn3GtnaootNxv8L6GX/TqOCGbHqeZhNMmWAJ9YTvdepA+hHdd+eYHRNJYjo/lVl0PhelrkDfO33dPJGgm6ok0OHcz4uBqtbf6DWXLJlk23767RtinrI0T+R6i6kuCivgBmABdulYWtVxpxZOoZbr0bH4pgtQ3bgMRnM+iSPffWLng1FAI3SHZhHs2bgdYyutQT2phGR+Bv8o1aZeOdVhByNzuqW7pQ74ug8UBzQbLxnvymHdEmnpMv1ctfxO2vNpKYBL8WQK84JNMNFmgzXKigGlvsnkYLMnZOGWy03OQ3tn4hdAz+aEeC7LxJhipCNHiBWVb5ouF4r82t5QAzjEuMR4kqnPi5bGMMmHdI3thts0GTVtVp+guMYZUKYPqKzYhgM2fghSd3NOjI+gOaocK/p1HT1zsSYp/5JImy92Ib3Cc3NH/MmkN8JzR7ZdP8/jEA/beboDp3ksfJUttcWYpaRidcRr+ppczDfCaXLS0OYmgBzbmKBlQGfs3iyE8epevS/SpEq0abBLq8wuRCC5h17WNlSkzVcoS3eJwdnXZoyhmRmey3LwydZDMxC7hVSnMyp/1fkSt/rKiXxeLKsy8Q7eOZhqH9ayRDTsI341tDCc355igoqmBmlN4NOTIXXYQ3Sjzi3eyTiB3CPQqKBvoufLH+iXezq7rOsftXs8AaFB46Z4hXw2RdxWsvqZEB4IVhj2QVhT7cYdZDgf0qEiiJY0qCDXaL7Lp4saXfs10FWjpnKoCrz7zlhrKdu/O7VS6kwbXugRBH82iA/KT2eRko17k91XcAs3AzEltk6iPleLKZX623bMh5hCBqLK6iIxEhOlZjDS9cAlb3oZKgjBuTnV6UdExO/8cOajqwgxeRVJaQD7h3WXEB95kFXwUkSIDGRUFZAWjD3buPVIiv9mc78LCNm375NH5K3RJQuOqUC2GgmPVN+ilfrMxVjT7PWauP/HGP36yLG8xKEPAA9jwf+/Qb0tVKDS5Md83v4U0ubTeQbKG/L9/1VXIWCmZwTmohv4kcYszjLVY5p6UZSl1NjtEoHuGkT4CMlsw0nr7FisF+S8ZK1v8fRT7mwsBwV92gRdAejFwgmeobLyy3Tr0G6O9bpQfhVf6Qpfko5qzjC1grnxuB7Pu5d1J1rvSGqPx6s5MoxbhcygdkigL7cmdoO3ZjZZbF0xkailinta0K5EeFpDhJzIqCVjPFCqOwSTg5EOwwtkOzxylNDvmgXXp7OSaTFtMI7n3SIhpF1sR88ZpQhi2UHS/ofhKu2Y72ZkzIXU3GYPgILrVWnJNyR7c90vsQYChs/Iezkt7wYD+2wXGWu9jhzKSOMBhW7s2upUhtFghglzwaDLuGecE+RhUDM2luhfQSlzZWDIu3Pfb23wLEgQ82Ka3gkZHfshfx01PF1y3VhhZluATvYpSpnEVLehZ7J1xS9ybLj082zkoJG9Ky5VxXhgxCJcmiieKU762VN2u7CtOD0KVDWQ6PoSvpN8DtLAsBWAuyWLP28wGrMjTt0OrgPmIuob0qWHFKvFiYNrm+VDLkD+a+SwVl+pMGgERHneqd+bbQYtCDeHhfWRp7ewonTzX/ihHZg+SSGWk/yki3eO268rbA5w4vhvcT4Qk8h7IuYvZaQfBwYccN1jzMMAx6riC9lGEyF6Spk/M1EjAPrASHClzzcKHYS0RIfkQyIEPTRBp6ELJPZAcFao3EPxYrbKhqUuX53b2QBIRwiatEOvTVimha3eFnAcAupsRK7wfM24Nputox9NcLmmaJXatXTbyxEOfw3DAkAFcjDRKQLo2+SLp3t1XycI9sNQAX7S8fLIU2eznwfZSK0CnMhrQ7dZV9RA1cta0w1jxeMWUb3GdaqmV7qMZi3Ye8iiFwmnC36EiVbPfsGgCHeNd7NFXMl3tVD8iOzCSP0ZHBMSPRhtj3bXUX4xzrJ1mw0SFa7LDbDobvxCbhA1YTLVq+pawxobQaQFzRGMV1hy714II0nUA4ROAVRNSShjBMqs/8HluY/MGK21Efz8+kSkcVQi7YXVVzAL8Mn+ApKOuCc3X/GwS2KptftMA0TGcS8GLzYqRDQSYIO9NCsettj71pW2tLqAnk0lyxBQq2quYM2rFcHx56SN+exttkMOtl4KOTmKnBzaTkj7G1hdq/k9gSxC0fsODQwoqB9f4Gc22Qc2P6sTN1GJ9tlgu/eFuvQKyC4eAkpB3a2bNoYppvCMML861N22lxp2Bqsk5eBXAWmTdUQYvYveKTxlTyKXGgxSljwQUx8xpGP6OujZdq05XwtJ1iBjg1plwG0yXAPNIoBD8ICWnLD9R2fPgXXSs3GhUq+fXH+j2HlbRLdEjM0UbwXXW6uOpOZHJbecfe7paaIrYragTcwpNOdz52lUsYjfpfbpv57NhosazZgDGJ/5//AFeh4OrmURq3VL7+0UVfjSonC2Y/1QxWSGYEHE95tv4qdY4V/nMQHTSvDjKhfrmZ3lb5X+xHvF6CvLE67EGoC/bVbHsadMN+raULNZio2iIGozgYxZyQWRoD3ZaXP+/cOLcDdXBapeY79iyW/+w8AXEmjwYyoGbP4rgx/oYCV++jaW6DRGAEWCnCwNoj7oZSITQtghHO5okTK556dmGvdPmAjzWol1m0rjSoBMLd3wg+dmSH1UDztJXeBWkfzBRb+BhOnqebFPVp9QWjMrCqeG9sqLiyr/UwEGkQohvbXGAcb+oQ4U8spnETLHoIA33cYCUIfkDzae5bKIYUibu+SrxYj/NcpQvun0eg1ksozk97/M5e5h8etLna0rKdkdln2SBk/fytQQGYj6+79WVk7xUb7KWmZOcW96UmDTwKsdsRnnjaSizGKQiAXSdcveG9RtE/6nhdgF9niJcs7AoGk4xZiNpDiUl9ho9MVIpn3ZKkAF1YAsPnId3OkEPTYP7tWvOLpT6X1bIkIdLfHbwtr9ennmNFIOanDLL9ekx6+kbFeK7526G6yjSTA/hZSQAtyrQQMN0mdvD48LklCR3jKFtggOi97fF46xxx6B3Zus0nqzqs5PV1dZcvxdOa2jK54yALEz4jUSUB85cIowoKo8IdmH8OjNGLBjPATyDbHNdzvZWTZ3ZqXQODMmcNckmvuMUWW+XenPZ8U8R+4yW3x3VR9MTqH/Gy60X368irYaQyT4w0uEj7T7VxJTpm47gWpj+qD53J02oTsw9WlR9N480SrU+D4Uh6hSaGuaJ9edjYBUzw5OhJ6OFyfe4Ld6vzcpYw4oRUsumef6meh73bkn0AIyhDVVMVovyLxMGpzrDI40Pd35cOOlEDa1mkFaA1/lC19+jfkCq6x5UBaDwCcjDWZXIAXCy9h0DH9rGZWzCG7mcrjWWKAxttS3tYEleps7ckHMCav1Kyagrma8Rn0+ZAol/WoO/eXBho9XiG0wsLL6G07ErJOFtLU435MatsFB1BcY7+/XrBJBmMVxKN4my+cypudr92PTMdIYYk10QM4rx5wXwthz5n4GLjrjNyDWd0OhuXX6ZA+pRnj6GSsF84p0kWJ+qf4TYJUId0NnN5liSxSn8u+lBqeUeHI3apqY7VWkM4vq/WwpHiOdRji5GzqFWWx/SiaEJpNgOJ2Knn+FNZxo/uZP+10H3qM6eqGGOcML6FYWDL92ZVIu61WkQi4crWzYbr4Csa8ZpTBMpSJcd01lmOX0n6LOEVyOosRmkIBeqhjO0/+Ud49fpfdL3QGuIt8wSljk93v8ZORzhMnQ79m7DZxIIyPNNnDYL1loFx7N8AmgS+VMEYWEE0gLGp14TZOrY7bdJ8iuxjY42sDzb9hJxST9MSYVAQsvGibiJ33WMXZJzerQeZaU4vCig9WKh9/jUboMicK6pKOH3InFaFBJs8amrw3+TaqaGa+62oOFgiJbDsthNLpaKDOBIn8nYyMEFZ0kCGuhi0zgKP4oC/bkHIEnV4TsJP0O5W/GuLDVsTNT7OGUOCmloCtRKnqBiT/zCvO4WWqFGqcc/OK2Wi6vqLrPKyvTxD+LQ1RZdjMaGJA0WoTbxRr/ae5QOARGze8FgomqrGJ4G/xtMD+XNVubqGT3GB7Oodbfk7pTR03Ocw1sKM3WifhJUsfsK095PXNsTFNHvy63ZFWm1UkWIlnei0t3ZbJz/1MDfmiuYtE3pwvyrRfBqyD5excIHa3pCFWSc7xRddMqNWvzbaEfJ7IlbkRs8eYYzmehxUE7tL19i+dhWqsziOcGVOO8TzEXgiv56NbCeF4pKyOzZo2NI2RC/A18uNlDd1gw64fUhYRlg5FWVLmj8s261PI5WW3O3wWlN3Xi/MCm4fkOD9MKQz0SW5phfJIyZHDDrZw5cB1blQveyRETQNt/rA7lbOe3B2PcrVy3MS8DDDMIIGc6pdeEKU=]]></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FCC1D-C71C-43E8-BD5A-7BD62AFCE740}">
  <ds:schemaRefs/>
</ds:datastoreItem>
</file>

<file path=customXml/itemProps2.xml><?xml version="1.0" encoding="utf-8"?>
<ds:datastoreItem xmlns:ds="http://schemas.openxmlformats.org/officeDocument/2006/customXml" ds:itemID="{89EBAB94-44A0-46A2-B712-30D997D04A6D}">
  <ds:schemaRefs/>
</ds:datastoreItem>
</file>

<file path=customXml/itemProps3.xml><?xml version="1.0" encoding="utf-8"?>
<ds:datastoreItem xmlns:ds="http://schemas.openxmlformats.org/officeDocument/2006/customXml" ds:itemID="{1F37729E-89F6-4D70-BC0B-8EF77515B409}">
  <ds:schemaRefs/>
</ds:datastoreItem>
</file>

<file path=customXml/itemProps4.xml><?xml version="1.0" encoding="utf-8"?>
<ds:datastoreItem xmlns:ds="http://schemas.openxmlformats.org/officeDocument/2006/customXml" ds:itemID="{0631F9FB-B7A5-44F2-9971-DC61FF123010}">
  <ds:schemaRefs/>
</ds:datastoreItem>
</file>

<file path=customXml/itemProps5.xml><?xml version="1.0" encoding="utf-8"?>
<ds:datastoreItem xmlns:ds="http://schemas.openxmlformats.org/officeDocument/2006/customXml" ds:itemID="{880F7F80-DC77-4DD0-8EA1-8214DD0E2280}">
  <ds:schemaRefs/>
</ds:datastoreItem>
</file>

<file path=docProps/app.xml><?xml version="1.0" encoding="utf-8"?>
<Properties xmlns="http://schemas.openxmlformats.org/officeDocument/2006/extended-properties" xmlns:vt="http://schemas.openxmlformats.org/officeDocument/2006/docPropsVTypes">
  <Template>SSEReport.dotm</Template>
  <Company>Sky123.Org</Company>
  <Pages>202</Pages>
  <Words>102947</Words>
  <Characters>134119</Characters>
  <Lines>1480</Lines>
  <Paragraphs>416</Paragraphs>
  <TotalTime>32</TotalTime>
  <ScaleCrop>false</ScaleCrop>
  <LinksUpToDate>false</LinksUpToDate>
  <CharactersWithSpaces>137342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2022-03-30T07:57:00Z</dcterms:created>
  <dc:creator>czq</dc:creator>
  <cp:lastModifiedBy>韦元贤</cp:lastModifiedBy>
  <cp:lastPrinted>2022-03-28T13:34:00Z</cp:lastPrinted>
  <dcterms:modified xsi:type="dcterms:W3CDTF">2022-06-09T06:46:08Z</dcterms:modified>
  <dc:title>股份有限公司</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3D5E525DA62B4C76A20B33B0F1F21F6B</vt:lpwstr>
  </property>
</Properties>
</file>